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rFonts w:ascii="Yu Gothic" w:cs="Yu Gothic" w:eastAsia="Yu Gothic" w:hAnsi="Yu Gothic"/>
          <w:b/>
          <w:bCs/>
          <w:sz w:val="44"/>
          <w:szCs w:val="44"/>
        </w:rPr>
        <w:t xml:space="preserve">経営分析Ⅱ　講義レジュメ（再構成版）</w:t>
      </w:r>
    </w:p>
    <w:p>
      <w:pPr>
        <w:spacing w:after="800"/>
        <w:jc w:val="center"/>
      </w:pPr>
      <w:r>
        <w:rPr>
          <w:rFonts w:ascii="Yu Gothic" w:cs="Yu Gothic" w:eastAsia="Yu Gothic" w:hAnsi="Yu Gothic"/>
          <w:sz w:val="28"/>
          <w:szCs w:val="28"/>
        </w:rPr>
        <w:t xml:space="preserve">会計情報の機能と契約・株式市場・利益調整</w:t>
      </w:r>
    </w:p>
    <w:p>
      <w:pPr>
        <w:spacing w:after="120"/>
        <w:jc w:val="center"/>
      </w:pPr>
      <w:r>
        <w:rPr>
          <w:rFonts w:ascii="Yu Mincho" w:cs="Yu Mincho" w:eastAsia="Yu Mincho" w:hAnsi="Yu Mincho"/>
          <w:sz w:val="22"/>
          <w:szCs w:val="22"/>
        </w:rPr>
        <w:t xml:space="preserve">原講義：首藤昭信（東京大学大学院経済学研究科・経済学部）</w:t>
      </w:r>
    </w:p>
    <w:p>
      <w:pPr>
        <w:spacing w:after="120"/>
        <w:jc w:val="center"/>
      </w:pPr>
      <w:r>
        <w:rPr>
          <w:rFonts w:ascii="Yu Mincho" w:cs="Yu Mincho" w:eastAsia="Yu Mincho" w:hAnsi="Yu Mincho"/>
          <w:sz w:val="22"/>
          <w:szCs w:val="22"/>
        </w:rPr>
        <w:t xml:space="preserve">対象：経営分析Ⅱ　第1回〜第13回講義スライド（全13回）</w:t>
      </w:r>
    </w:p>
    <w:p>
      <w:pPr>
        <w:spacing w:after="60"/>
        <w:jc w:val="center"/>
      </w:pPr>
      <w:r>
        <w:rPr>
          <w:rFonts w:ascii="Yu Mincho" w:cs="Yu Mincho" w:eastAsia="Yu Mincho" w:hAnsi="Yu Mincho"/>
          <w:i/>
          <w:iCs/>
          <w:sz w:val="20"/>
          <w:szCs w:val="20"/>
        </w:rPr>
        <w:t xml:space="preserve">本資料は、原講義スライド（パワーポイント形式）の内容を、情報を削減することなく主題別に再構成し、Word文書形式で読みやすく整理した学習用レジュメである。</w:t>
      </w:r>
    </w:p>
    <w:p>
      <w:pPr>
        <w:spacing w:after="2400"/>
        <w:jc w:val="center"/>
      </w:pPr>
      <w:r>
        <w:rPr>
          <w:rFonts w:ascii="Yu Mincho" w:cs="Yu Mincho" w:eastAsia="Yu Mincho" w:hAnsi="Yu Mincho"/>
          <w:i/>
          <w:iCs/>
          <w:sz w:val="20"/>
          <w:szCs w:val="20"/>
        </w:rPr>
        <w:t xml:space="preserve">章立ては原講義の回次ではなくテーマ別に再編し、複数回にわたって重複していた内容（講義体系図、参考文献、UTOL配布案内等）は統合・整理した。</w:t>
      </w:r>
    </w:p>
    <w:p>
      <w:r>
        <w:br w:type="page"/>
      </w:r>
    </w:p>
    <w:p>
      <w:pPr>
        <w:pStyle w:val="Heading1"/>
        <w:spacing w:after="240"/>
      </w:pPr>
      <w:r>
        <w:t xml:space="preserve">目次</w:t>
      </w:r>
    </w:p>
    <w:p>
      <w:pPr>
        <w:spacing w:after="160"/>
      </w:pPr>
      <w:r>
        <w:rPr>
          <w:rFonts w:ascii="Yu Gothic" w:cs="Yu Gothic" w:eastAsia="Yu Gothic" w:hAnsi="Yu Gothic"/>
          <w:sz w:val="24"/>
          <w:szCs w:val="24"/>
        </w:rPr>
        <w:t xml:space="preserve">序章　本講義の全体像と会計情報の機能</w:t>
      </w:r>
    </w:p>
    <w:p>
      <w:pPr>
        <w:spacing w:after="160"/>
      </w:pPr>
      <w:r>
        <w:rPr>
          <w:rFonts w:ascii="Yu Gothic" w:cs="Yu Gothic" w:eastAsia="Yu Gothic" w:hAnsi="Yu Gothic"/>
          <w:sz w:val="24"/>
          <w:szCs w:val="24"/>
        </w:rPr>
        <w:t xml:space="preserve">第1章　報酬契約と会計情報</w:t>
      </w:r>
    </w:p>
    <w:p>
      <w:pPr>
        <w:spacing w:after="160"/>
      </w:pPr>
      <w:r>
        <w:rPr>
          <w:rFonts w:ascii="Yu Gothic" w:cs="Yu Gothic" w:eastAsia="Yu Gothic" w:hAnsi="Yu Gothic"/>
          <w:sz w:val="24"/>
          <w:szCs w:val="24"/>
        </w:rPr>
        <w:t xml:space="preserve">第2章　債務契約と会計情報</w:t>
      </w:r>
    </w:p>
    <w:p>
      <w:pPr>
        <w:spacing w:after="160"/>
      </w:pPr>
      <w:r>
        <w:rPr>
          <w:rFonts w:ascii="Yu Gothic" w:cs="Yu Gothic" w:eastAsia="Yu Gothic" w:hAnsi="Yu Gothic"/>
          <w:sz w:val="24"/>
          <w:szCs w:val="24"/>
        </w:rPr>
        <w:t xml:space="preserve">第3章　政府契約と会計情報</w:t>
      </w:r>
    </w:p>
    <w:p>
      <w:pPr>
        <w:spacing w:after="160"/>
      </w:pPr>
      <w:r>
        <w:rPr>
          <w:rFonts w:ascii="Yu Gothic" w:cs="Yu Gothic" w:eastAsia="Yu Gothic" w:hAnsi="Yu Gothic"/>
          <w:sz w:val="24"/>
          <w:szCs w:val="24"/>
        </w:rPr>
        <w:t xml:space="preserve">第4章　株式市場と会計情報</w:t>
      </w:r>
    </w:p>
    <w:p>
      <w:pPr>
        <w:spacing w:after="160"/>
      </w:pPr>
      <w:r>
        <w:rPr>
          <w:rFonts w:ascii="Yu Gothic" w:cs="Yu Gothic" w:eastAsia="Yu Gothic" w:hAnsi="Yu Gothic"/>
          <w:sz w:val="24"/>
          <w:szCs w:val="24"/>
        </w:rPr>
        <w:t xml:space="preserve">第5章　自発的情報開示（IR）</w:t>
      </w:r>
    </w:p>
    <w:p>
      <w:pPr>
        <w:spacing w:after="160"/>
      </w:pPr>
      <w:r>
        <w:rPr>
          <w:rFonts w:ascii="Yu Gothic" w:cs="Yu Gothic" w:eastAsia="Yu Gothic" w:hAnsi="Yu Gothic"/>
          <w:sz w:val="24"/>
          <w:szCs w:val="24"/>
        </w:rPr>
        <w:t xml:space="preserve">第6章　利益調整：定義・検出方法・動機・決定要因・経済的帰結</w:t>
      </w:r>
    </w:p>
    <w:p>
      <w:pPr>
        <w:spacing w:after="160"/>
      </w:pPr>
      <w:r>
        <w:rPr>
          <w:rFonts w:ascii="Yu Gothic" w:cs="Yu Gothic" w:eastAsia="Yu Gothic" w:hAnsi="Yu Gothic"/>
          <w:sz w:val="24"/>
          <w:szCs w:val="24"/>
        </w:rPr>
        <w:t xml:space="preserve">付録A　参考文献一覧（統合版）</w:t>
      </w:r>
    </w:p>
    <w:p>
      <w:pPr>
        <w:spacing w:after="160"/>
      </w:pPr>
      <w:r>
        <w:rPr>
          <w:rFonts w:ascii="Yu Gothic" w:cs="Yu Gothic" w:eastAsia="Yu Gothic" w:hAnsi="Yu Gothic"/>
          <w:sz w:val="24"/>
          <w:szCs w:val="24"/>
        </w:rPr>
        <w:t xml:space="preserve">付録B　各回の課題一覧（復習用）</w:t>
      </w:r>
    </w:p>
    <w:p>
      <w:pPr>
        <w:spacing w:before="200"/>
      </w:pPr>
      <w:r>
        <w:rPr>
          <w:rFonts w:ascii="Yu Mincho" w:cs="Yu Mincho" w:eastAsia="Yu Mincho" w:hAnsi="Yu Mincho"/>
          <w:i/>
          <w:iCs/>
          <w:color w:val="888888"/>
          <w:sz w:val="18"/>
          <w:szCs w:val="18"/>
        </w:rPr>
        <w:t xml:space="preserve">※ページ番号はPDFビューアの検索機能、または各見出しへのしおり（ブックマーク）機能をご利用ください。</w:t>
      </w:r>
    </w:p>
    <w:p>
      <w:r>
        <w:br w:type="page"/>
      </w:r>
    </w:p>
    <w:p>
      <w:pPr>
        <w:pStyle w:val="Heading1"/>
        <w:pageBreakBefore/>
        <w:spacing w:after="240" w:before="480"/>
      </w:pPr>
      <w:r>
        <w:t xml:space="preserve">序章　本講義の全体像と会計情報の機能</w:t>
      </w:r>
    </w:p>
    <w:p>
      <w:pPr>
        <w:spacing w:after="140" w:line="320"/>
        <w:jc w:val="left"/>
      </w:pPr>
      <w:r>
        <w:rPr>
          <w:rFonts w:ascii="Yu Mincho" w:cs="Yu Mincho" w:eastAsia="Yu Mincho" w:hAnsi="Yu Mincho"/>
          <w:sz w:val="21"/>
          <w:szCs w:val="21"/>
        </w:rPr>
        <w:t xml:space="preserve">本章は第1回（イントロダクション）と第2回（会計情報と意思決定）の内容を統合し、講義全体を貫く理論的フレームワークをまとめたものである。第3章以降の各契約類型（報酬契約・債務契約・政府契約）や株式市場・IR・利益調整の議論は、すべてこの序章で示す「情報の非対称性→逆選択／モラル・ハザード→財務会計の2つの機能」という枠組みの応用篇にあたる。</w:t>
      </w:r>
    </w:p>
    <w:p>
      <w:pPr>
        <w:pStyle w:val="Heading2"/>
        <w:spacing w:after="160" w:before="360"/>
      </w:pPr>
      <w:r>
        <w:t xml:space="preserve">0.1　講義の目的と位置づけ</w:t>
      </w:r>
    </w:p>
    <w:p>
      <w:pPr>
        <w:spacing w:after="140" w:line="320"/>
        <w:jc w:val="left"/>
      </w:pPr>
      <w:r>
        <w:rPr>
          <w:rFonts w:ascii="Yu Mincho" w:cs="Yu Mincho" w:eastAsia="Yu Mincho" w:hAnsi="Yu Mincho"/>
          <w:sz w:val="21"/>
          <w:szCs w:val="21"/>
        </w:rPr>
        <w:t xml:space="preserve">経営分析Ⅱ（S2ターム、大学院との合併科目）は、実証会計理論（positive accounting theory: PAT）の知見にもとづき、会計情報が経済社会のどのような局面で利用されているかを理論的に考察し、会計情報を利用した戦略的・効率的な意思決定を探求する科目である。キーワードは、利益の質、インセンティブ契約、債務契約、政府規制、企業評価。</w:t>
      </w:r>
    </w:p>
    <w:p>
      <w:pPr>
        <w:spacing w:after="140" w:line="320"/>
        <w:jc w:val="left"/>
      </w:pPr>
      <w:r>
        <w:rPr>
          <w:rFonts w:ascii="Yu Mincho" w:cs="Yu Mincho" w:eastAsia="Yu Mincho" w:hAnsi="Yu Mincho"/>
          <w:sz w:val="21"/>
          <w:szCs w:val="21"/>
        </w:rPr>
        <w:t xml:space="preserve">会計の定義（桜井, 2024）：「ある特定の経済主体の経済活動を、貨幣額などを用いて計数的に測定し、その結果を報告書にまとめて利害関係者に伝達するためのシステム」。会計学には大きく2つの分析視点がある。</w:t>
      </w:r>
    </w:p>
    <w:p>
      <w:pPr>
        <w:pStyle w:val="ListParagraph"/>
        <w:numPr>
          <w:ilvl w:val="0"/>
          <w:numId w:val="2"/>
        </w:numPr>
        <w:spacing w:after="80" w:line="300"/>
      </w:pPr>
      <w:r>
        <w:rPr>
          <w:rFonts w:ascii="Yu Mincho" w:cs="Yu Mincho" w:eastAsia="Yu Mincho" w:hAnsi="Yu Mincho"/>
          <w:sz w:val="21"/>
          <w:szCs w:val="21"/>
        </w:rPr>
        <w:t xml:space="preserve">規範的分析：具体的な会計処理およびその基礎にある会計理論を学習する（会計基準研究）。</w:t>
      </w:r>
    </w:p>
    <w:p>
      <w:pPr>
        <w:pStyle w:val="ListParagraph"/>
        <w:numPr>
          <w:ilvl w:val="0"/>
          <w:numId w:val="2"/>
        </w:numPr>
        <w:spacing w:after="80" w:line="300"/>
      </w:pPr>
      <w:r>
        <w:rPr>
          <w:rFonts w:ascii="Yu Mincho" w:cs="Yu Mincho" w:eastAsia="Yu Mincho" w:hAnsi="Yu Mincho"/>
          <w:sz w:val="21"/>
          <w:szCs w:val="21"/>
        </w:rPr>
        <w:t xml:space="preserve">事実解明的分析（positive）：会計情報が利害関係者の意思決定にどのような影響を与えているかを分析する（現代の実証会計学）。本講義はこちらの立場に立つ。</w:t>
      </w:r>
    </w:p>
    <w:p>
      <w:pPr>
        <w:spacing w:after="140" w:line="320"/>
        <w:jc w:val="left"/>
      </w:pPr>
      <w:r>
        <w:rPr>
          <w:rFonts w:ascii="Yu Mincho" w:cs="Yu Mincho" w:eastAsia="Yu Mincho" w:hAnsi="Yu Mincho"/>
          <w:sz w:val="21"/>
          <w:szCs w:val="21"/>
        </w:rPr>
        <w:t xml:space="preserve">企業から伝達される情報は、有価証券報告書（財務諸表情報、MD&amp;A・リスク情報・サステナビリティ情報等の記述情報）、決算短信（業績予想）、株主総会招集通知（事業報告・計算書類）、コーポレート・ガバナンス報告書、統合報告書、サステナビリティ・レポート等、多岐にわたる。これらすべての情報が現代会計学の分析対象である。</w:t>
      </w:r>
    </w:p>
    <w:p>
      <w:pPr>
        <w:pStyle w:val="Heading3"/>
        <w:spacing w:after="120" w:before="240"/>
      </w:pPr>
      <w:r>
        <w:t xml:space="preserve">従来の会計学講義との違い</w:t>
      </w:r>
    </w:p>
    <w:p>
      <w:pPr>
        <w:pStyle w:val="ListParagraph"/>
        <w:numPr>
          <w:ilvl w:val="0"/>
          <w:numId w:val="2"/>
        </w:numPr>
        <w:spacing w:after="80" w:line="300"/>
      </w:pPr>
      <w:r>
        <w:rPr>
          <w:rFonts w:ascii="Yu Mincho" w:cs="Yu Mincho" w:eastAsia="Yu Mincho" w:hAnsi="Yu Mincho"/>
          <w:sz w:val="21"/>
          <w:szCs w:val="21"/>
        </w:rPr>
        <w:t xml:space="preserve">会計情報の「作り方」ではなく、利用者（または作成者）の意思決定に焦点をあてる。経済学・ファイナンスの理論に依拠して議論を整理する。</w:t>
      </w:r>
    </w:p>
    <w:p>
      <w:pPr>
        <w:pStyle w:val="ListParagraph"/>
        <w:numPr>
          <w:ilvl w:val="0"/>
          <w:numId w:val="2"/>
        </w:numPr>
        <w:spacing w:after="80" w:line="300"/>
      </w:pPr>
      <w:r>
        <w:rPr>
          <w:rFonts w:ascii="Yu Mincho" w:cs="Yu Mincho" w:eastAsia="Yu Mincho" w:hAnsi="Yu Mincho"/>
          <w:sz w:val="21"/>
          <w:szCs w:val="21"/>
        </w:rPr>
        <w:t xml:space="preserve">「すべきである」という規範的な議論ではなく、現状を説明する「なぜ」という事実解明的（positive）な分析視点を重視する。例：減価償却の方法には定率法と定額法があるが、経営者はなぜ特定の会計手続き選択を選好するのか。</w:t>
      </w:r>
    </w:p>
    <w:p>
      <w:pPr>
        <w:pStyle w:val="Heading3"/>
        <w:spacing w:after="120" w:before="240"/>
      </w:pPr>
      <w:r>
        <w:t xml:space="preserve">利益調整の存在という視点</w:t>
      </w:r>
    </w:p>
    <w:p>
      <w:pPr>
        <w:spacing w:after="140" w:line="320"/>
        <w:jc w:val="left"/>
      </w:pPr>
      <w:r>
        <w:rPr>
          <w:rFonts w:ascii="Yu Mincho" w:cs="Yu Mincho" w:eastAsia="Yu Mincho" w:hAnsi="Yu Mincho"/>
          <w:sz w:val="21"/>
          <w:szCs w:val="21"/>
        </w:rPr>
        <w:t xml:space="preserve">会計数値が経済活動の様々な局面で利用されているとすれば、経営者は会計数値を操作するインセンティブを持つ。利益調整（earnings management）とは、会計基準の範囲内で行われる会計数値の調整をいう。会計情報の機能（有用性）と利益調整は表裏一体の関係にあり、本講義では利益調整の見抜き方・動機・経済社会への影響についても第6章で詳しく扱う。</w:t>
      </w:r>
    </w:p>
    <w:p>
      <w:pPr>
        <w:pStyle w:val="Heading2"/>
        <w:spacing w:after="160" w:before="360"/>
      </w:pPr>
      <w:r>
        <w:t xml:space="preserve">0.2　講義の体系（ロードマップ）</w:t>
      </w:r>
    </w:p>
    <w:p>
      <w:pPr>
        <w:spacing w:after="140" w:line="320"/>
        <w:jc w:val="left"/>
      </w:pPr>
      <w:r>
        <w:rPr>
          <w:rFonts w:ascii="Yu Mincho" w:cs="Yu Mincho" w:eastAsia="Yu Mincho" w:hAnsi="Yu Mincho"/>
          <w:sz w:val="21"/>
          <w:szCs w:val="21"/>
        </w:rPr>
        <w:t xml:space="preserve">本講義は、会計情報の役割に関する理論的な考察（第2回＝本章）を基礎として、「契約における会計情報の役割」と「株式市場における会計情報の役割」という2つの応用領域へ展開する構成になっている。全13回の対応関係は以下の通り（本レジュメでは、内容の重複を避けるためテーマ別の章立てに再構成している）。</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3200"/>
        <w:gridCol w:w="2600"/>
      </w:tblGrid>
      <w:tr>
        <w:trPr>
          <w:tblHeader/>
        </w:trPr>
        <w:tc>
          <w:tcPr>
            <w:tcW w:type="dxa" w:w="3200"/>
            <w:shd w:fill="DDE6F0" w:val="clear"/>
            <w:tcMar>
              <w:top w:type="dxa" w:w="60"/>
              <w:left w:type="dxa" w:w="100"/>
              <w:bottom w:type="dxa" w:w="60"/>
              <w:right w:type="dxa" w:w="100"/>
            </w:tcMar>
          </w:tcPr>
          <w:p>
            <w:r>
              <w:rPr>
                <w:rFonts w:ascii="Yu Gothic" w:cs="Yu Gothic" w:eastAsia="Yu Gothic" w:hAnsi="Yu Gothic"/>
                <w:b/>
                <w:bCs/>
                <w:sz w:val="19"/>
                <w:szCs w:val="19"/>
              </w:rPr>
              <w:t xml:space="preserve">テーマ</w:t>
            </w:r>
          </w:p>
        </w:tc>
        <w:tc>
          <w:tcPr>
            <w:tcW w:type="dxa" w:w="3200"/>
            <w:shd w:fill="DDE6F0" w:val="clear"/>
            <w:tcMar>
              <w:top w:type="dxa" w:w="60"/>
              <w:left w:type="dxa" w:w="100"/>
              <w:bottom w:type="dxa" w:w="60"/>
              <w:right w:type="dxa" w:w="100"/>
            </w:tcMar>
          </w:tcPr>
          <w:p>
            <w:r>
              <w:rPr>
                <w:rFonts w:ascii="Yu Gothic" w:cs="Yu Gothic" w:eastAsia="Yu Gothic" w:hAnsi="Yu Gothic"/>
                <w:b/>
                <w:bCs/>
                <w:sz w:val="19"/>
                <w:szCs w:val="19"/>
              </w:rPr>
              <w:t xml:space="preserve">対応する原講義回</w:t>
            </w:r>
          </w:p>
        </w:tc>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本レジュメの章</w:t>
            </w:r>
          </w:p>
        </w:tc>
      </w:tr>
      <w:tr>
        <w:tc>
          <w:tcPr>
            <w:tcW w:type="dxa" w:w="3200"/>
            <w:tcMar>
              <w:top w:type="dxa" w:w="60"/>
              <w:left w:type="dxa" w:w="100"/>
              <w:bottom w:type="dxa" w:w="60"/>
              <w:right w:type="dxa" w:w="100"/>
            </w:tcMar>
          </w:tcPr>
          <w:p>
            <w:r>
              <w:rPr>
                <w:rFonts w:ascii="Yu Mincho" w:cs="Yu Mincho" w:eastAsia="Yu Mincho" w:hAnsi="Yu Mincho"/>
                <w:sz w:val="19"/>
                <w:szCs w:val="19"/>
              </w:rPr>
              <w:t xml:space="preserve">会計情報の役割に関する理論的考察</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第2回</w:t>
            </w:r>
          </w:p>
        </w:tc>
        <w:tc>
          <w:tcPr>
            <w:tcW w:type="dxa" w:w="2600"/>
            <w:tcMar>
              <w:top w:type="dxa" w:w="60"/>
              <w:left w:type="dxa" w:w="100"/>
              <w:bottom w:type="dxa" w:w="60"/>
              <w:right w:type="dxa" w:w="100"/>
            </w:tcMar>
          </w:tcPr>
          <w:p>
            <w:r>
              <w:rPr>
                <w:rFonts w:ascii="Yu Mincho" w:cs="Yu Mincho" w:eastAsia="Yu Mincho" w:hAnsi="Yu Mincho"/>
                <w:sz w:val="19"/>
                <w:szCs w:val="19"/>
              </w:rPr>
              <w:t xml:space="preserve">序章</w:t>
            </w:r>
          </w:p>
        </w:tc>
      </w:tr>
      <w:tr>
        <w:tc>
          <w:tcPr>
            <w:tcW w:type="dxa" w:w="3200"/>
            <w:tcMar>
              <w:top w:type="dxa" w:w="60"/>
              <w:left w:type="dxa" w:w="100"/>
              <w:bottom w:type="dxa" w:w="60"/>
              <w:right w:type="dxa" w:w="100"/>
            </w:tcMar>
          </w:tcPr>
          <w:p>
            <w:r>
              <w:rPr>
                <w:rFonts w:ascii="Yu Mincho" w:cs="Yu Mincho" w:eastAsia="Yu Mincho" w:hAnsi="Yu Mincho"/>
                <w:sz w:val="19"/>
                <w:szCs w:val="19"/>
              </w:rPr>
              <w:t xml:space="preserve">報酬契約と会計情報</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第3回・第4回</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第1章</w:t>
            </w:r>
          </w:p>
        </w:tc>
      </w:tr>
      <w:tr>
        <w:tc>
          <w:tcPr>
            <w:tcW w:type="dxa" w:w="3200"/>
            <w:tcMar>
              <w:top w:type="dxa" w:w="60"/>
              <w:left w:type="dxa" w:w="100"/>
              <w:bottom w:type="dxa" w:w="60"/>
              <w:right w:type="dxa" w:w="100"/>
            </w:tcMar>
          </w:tcPr>
          <w:p>
            <w:r>
              <w:rPr>
                <w:rFonts w:ascii="Yu Mincho" w:cs="Yu Mincho" w:eastAsia="Yu Mincho" w:hAnsi="Yu Mincho"/>
                <w:sz w:val="19"/>
                <w:szCs w:val="19"/>
              </w:rPr>
              <w:t xml:space="preserve">債務契約と会計情報</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第5回・第6回</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第2章</w:t>
            </w:r>
          </w:p>
        </w:tc>
      </w:tr>
      <w:tr>
        <w:tc>
          <w:tcPr>
            <w:tcW w:type="dxa" w:w="3200"/>
            <w:tcMar>
              <w:top w:type="dxa" w:w="60"/>
              <w:left w:type="dxa" w:w="100"/>
              <w:bottom w:type="dxa" w:w="60"/>
              <w:right w:type="dxa" w:w="100"/>
            </w:tcMar>
          </w:tcPr>
          <w:p>
            <w:r>
              <w:rPr>
                <w:rFonts w:ascii="Yu Mincho" w:cs="Yu Mincho" w:eastAsia="Yu Mincho" w:hAnsi="Yu Mincho"/>
                <w:sz w:val="19"/>
                <w:szCs w:val="19"/>
              </w:rPr>
              <w:t xml:space="preserve">政府契約と会計情報</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第7回</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第3章</w:t>
            </w:r>
          </w:p>
        </w:tc>
      </w:tr>
      <w:tr>
        <w:tc>
          <w:tcPr>
            <w:tcW w:type="dxa" w:w="3200"/>
            <w:tcMar>
              <w:top w:type="dxa" w:w="60"/>
              <w:left w:type="dxa" w:w="100"/>
              <w:bottom w:type="dxa" w:w="60"/>
              <w:right w:type="dxa" w:w="100"/>
            </w:tcMar>
          </w:tcPr>
          <w:p>
            <w:r>
              <w:rPr>
                <w:rFonts w:ascii="Yu Mincho" w:cs="Yu Mincho" w:eastAsia="Yu Mincho" w:hAnsi="Yu Mincho"/>
                <w:sz w:val="19"/>
                <w:szCs w:val="19"/>
              </w:rPr>
              <w:t xml:space="preserve">投資戦略（株式市場）と会計情報</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第8回・第9回</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第4章</w:t>
            </w:r>
          </w:p>
        </w:tc>
      </w:tr>
      <w:tr>
        <w:tc>
          <w:tcPr>
            <w:tcW w:type="dxa" w:w="3200"/>
            <w:tcMar>
              <w:top w:type="dxa" w:w="60"/>
              <w:left w:type="dxa" w:w="100"/>
              <w:bottom w:type="dxa" w:w="60"/>
              <w:right w:type="dxa" w:w="100"/>
            </w:tcMar>
          </w:tcPr>
          <w:p>
            <w:r>
              <w:rPr>
                <w:rFonts w:ascii="Yu Mincho" w:cs="Yu Mincho" w:eastAsia="Yu Mincho" w:hAnsi="Yu Mincho"/>
                <w:sz w:val="19"/>
                <w:szCs w:val="19"/>
              </w:rPr>
              <w:t xml:space="preserve">自発的情報開示（IR）</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第10回</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第5章</w:t>
            </w:r>
          </w:p>
        </w:tc>
      </w:tr>
      <w:tr>
        <w:tc>
          <w:tcPr>
            <w:tcW w:type="dxa" w:w="3200"/>
            <w:tcMar>
              <w:top w:type="dxa" w:w="60"/>
              <w:left w:type="dxa" w:w="100"/>
              <w:bottom w:type="dxa" w:w="60"/>
              <w:right w:type="dxa" w:w="100"/>
            </w:tcMar>
          </w:tcPr>
          <w:p>
            <w:r>
              <w:rPr>
                <w:rFonts w:ascii="Yu Mincho" w:cs="Yu Mincho" w:eastAsia="Yu Mincho" w:hAnsi="Yu Mincho"/>
                <w:sz w:val="19"/>
                <w:szCs w:val="19"/>
              </w:rPr>
              <w:t xml:space="preserve">利益調整の見抜き方・動機・決定要因</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第11回・第12回・第13回</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第6章</w:t>
            </w:r>
          </w:p>
        </w:tc>
      </w:tr>
    </w:tbl>
    <w:p>
      <w:pPr>
        <w:spacing w:after="100"/>
      </w:pPr>
    </w:p>
    <w:p>
      <w:pPr>
        <w:spacing w:after="140" w:line="320"/>
        <w:jc w:val="left"/>
      </w:pPr>
      <w:r>
        <w:rPr>
          <w:rFonts w:ascii="Yu Mincho" w:cs="Yu Mincho" w:eastAsia="Yu Mincho" w:hAnsi="Yu Mincho"/>
          <w:sz w:val="21"/>
          <w:szCs w:val="21"/>
        </w:rPr>
        <w:t xml:space="preserve">講義の体系と目標は次の3点に要約される。</w:t>
      </w:r>
    </w:p>
    <w:p>
      <w:pPr>
        <w:pStyle w:val="ListParagraph"/>
        <w:numPr>
          <w:ilvl w:val="0"/>
          <w:numId w:val="3"/>
        </w:numPr>
        <w:spacing w:after="80" w:line="300"/>
      </w:pPr>
      <w:r>
        <w:rPr>
          <w:rFonts w:ascii="Yu Mincho" w:cs="Yu Mincho" w:eastAsia="Yu Mincho" w:hAnsi="Yu Mincho"/>
          <w:sz w:val="21"/>
          <w:szCs w:val="21"/>
        </w:rPr>
        <w:t xml:space="preserve">会計情報が利用される局面を具体的に想定して、財務会計情報の機能を理論的に考察する。</w:t>
      </w:r>
    </w:p>
    <w:p>
      <w:pPr>
        <w:pStyle w:val="ListParagraph"/>
        <w:numPr>
          <w:ilvl w:val="0"/>
          <w:numId w:val="3"/>
        </w:numPr>
        <w:spacing w:after="80" w:line="300"/>
      </w:pPr>
      <w:r>
        <w:rPr>
          <w:rFonts w:ascii="Yu Mincho" w:cs="Yu Mincho" w:eastAsia="Yu Mincho" w:hAnsi="Yu Mincho"/>
          <w:sz w:val="21"/>
          <w:szCs w:val="21"/>
        </w:rPr>
        <w:t xml:space="preserve">会計情報の機能を考察した上で、効率的な契約システムの設定や証券投資意思決定の可能性を検討する。</w:t>
      </w:r>
    </w:p>
    <w:p>
      <w:pPr>
        <w:pStyle w:val="ListParagraph"/>
        <w:numPr>
          <w:ilvl w:val="0"/>
          <w:numId w:val="3"/>
        </w:numPr>
        <w:spacing w:after="80" w:line="300"/>
      </w:pPr>
      <w:r>
        <w:rPr>
          <w:rFonts w:ascii="Yu Mincho" w:cs="Yu Mincho" w:eastAsia="Yu Mincho" w:hAnsi="Yu Mincho"/>
          <w:sz w:val="21"/>
          <w:szCs w:val="21"/>
        </w:rPr>
        <w:t xml:space="preserve">会計情報の有用性と表裏一体の関係にある利益調整について、その意義・方法・経済的影響について理解する。</w:t>
      </w:r>
    </w:p>
    <w:p>
      <w:pPr>
        <w:pStyle w:val="Heading2"/>
        <w:spacing w:after="160" w:before="360"/>
      </w:pPr>
      <w:r>
        <w:t xml:space="preserve">0.3　情報の非対称性がもたらす2つの問題</w:t>
      </w:r>
    </w:p>
    <w:p>
      <w:pPr>
        <w:spacing w:after="140" w:line="320"/>
        <w:jc w:val="left"/>
      </w:pPr>
      <w:r>
        <w:rPr>
          <w:rFonts w:ascii="Yu Mincho" w:cs="Yu Mincho" w:eastAsia="Yu Mincho" w:hAnsi="Yu Mincho"/>
          <w:sz w:val="21"/>
          <w:szCs w:val="21"/>
        </w:rPr>
        <w:t xml:space="preserve">Question：企業はなぜ会計情報を開示するのか？　この問いに答えるための出発点が「情報の非対称性」である。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情報の非対称性（須田, 2000）</w:t>
            </w:r>
          </w:p>
          <w:p>
            <w:pPr>
              <w:spacing w:line="300"/>
            </w:pPr>
            <w:r>
              <w:rPr>
                <w:rFonts w:ascii="Yu Mincho" w:cs="Yu Mincho" w:eastAsia="Yu Mincho" w:hAnsi="Yu Mincho"/>
                <w:sz w:val="20"/>
                <w:szCs w:val="20"/>
              </w:rPr>
              <w:t xml:space="preserve">経済的な取引が行われるとき、取引の当事者全員に必要な情報が行き渡らず、ごく一部の当事者だけに情報が偏在する現象。</w:t>
            </w:r>
          </w:p>
        </w:tc>
      </w:tr>
    </w:tbl>
    <w:p>
      <w:pPr>
        <w:spacing w:after="100"/>
      </w:pPr>
    </w:p>
    <w:p>
      <w:pPr>
        <w:spacing w:after="140" w:line="320"/>
        <w:jc w:val="left"/>
      </w:pPr>
      <w:r>
        <w:rPr>
          <w:rFonts w:ascii="Yu Mincho" w:cs="Yu Mincho" w:eastAsia="Yu Mincho" w:hAnsi="Yu Mincho"/>
          <w:sz w:val="21"/>
          <w:szCs w:val="21"/>
        </w:rPr>
        <w:t xml:space="preserve">情報の非対称性は、①逆選択（adverse selection）と②モラル・ハザード（moral hazard）という2つの問題を引き起こし、放置すれば市場の崩壊につながる。情報の経済学と契約の経済学をベースにして、財務会計情報の意義を検討するのが本講義の基本アプローチである。</w:t>
      </w:r>
    </w:p>
    <w:p>
      <w:pPr>
        <w:pStyle w:val="Heading3"/>
        <w:spacing w:after="120" w:before="240"/>
      </w:pPr>
      <w:r>
        <w:t xml:space="preserve">① 逆選択と会計情報</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逆選択（レモンの原理, Akerlof, 1970）</w:t>
            </w:r>
          </w:p>
          <w:p>
            <w:pPr>
              <w:spacing w:line="300"/>
            </w:pPr>
            <w:r>
              <w:rPr>
                <w:rFonts w:ascii="Yu Mincho" w:cs="Yu Mincho" w:eastAsia="Yu Mincho" w:hAnsi="Yu Mincho"/>
                <w:sz w:val="20"/>
                <w:szCs w:val="20"/>
              </w:rPr>
              <w:t xml:space="preserve">取引される財・サービスの品質について売り手と買い手の間に情報の非対称性があると、低品質の財が市場を支配し、市場の効率性を損なう現象が生じる。「レモン」とはひどいポンコツ車のこと。</w:t>
            </w:r>
          </w:p>
        </w:tc>
      </w:tr>
    </w:tbl>
    <w:p>
      <w:pPr>
        <w:spacing w:after="100"/>
      </w:pPr>
    </w:p>
    <w:p>
      <w:pPr>
        <w:spacing w:after="140" w:line="320"/>
        <w:jc w:val="left"/>
      </w:pPr>
      <w:r>
        <w:rPr>
          <w:rFonts w:ascii="Yu Mincho" w:cs="Yu Mincho" w:eastAsia="Yu Mincho" w:hAnsi="Yu Mincho"/>
          <w:sz w:val="21"/>
          <w:szCs w:val="21"/>
        </w:rPr>
        <w:t xml:space="preserve">中古車市場を例にとる。売り手Aは100円の価値の車、売り手Bは50円の価値の車を持つが、買い手は品質を区別できないため、市場価格は平均的な75円に収斂する。すると高品質の車の所有者（A）は売却をためらい、低品質の車の所有者（B）はむしろ売却の動機が強まる。この状態が続くと中古車市場は低品質の車に支配され、市場は崩壊に向かう。</w:t>
      </w:r>
    </w:p>
    <w:p>
      <w:pPr>
        <w:spacing w:after="140" w:line="320"/>
        <w:jc w:val="left"/>
      </w:pPr>
      <w:r>
        <w:rPr>
          <w:rFonts w:ascii="Yu Mincho" w:cs="Yu Mincho" w:eastAsia="Yu Mincho" w:hAnsi="Yu Mincho"/>
          <w:sz w:val="21"/>
          <w:szCs w:val="21"/>
        </w:rPr>
        <w:t xml:space="preserve">これを証券市場に適用すると、発行企業は証券の品質について情報優位、投資家は情報劣位にある。発行企業に情報が偏在すれば、低品質の証券だけが市場に出回り証券市場が崩壊する恐れがある。そこで、証券市場における情報の非対称性を緩和し逆選択を防ぐために会計情報が重要な役割を果たす——これが財務会計の「意思決定支援機能」である。</w:t>
      </w:r>
    </w:p>
    <w:p>
      <w:pPr>
        <w:pStyle w:val="ListParagraph"/>
        <w:numPr>
          <w:ilvl w:val="0"/>
          <w:numId w:val="2"/>
        </w:numPr>
        <w:spacing w:after="80" w:line="300"/>
      </w:pPr>
      <w:r>
        <w:rPr>
          <w:rFonts w:ascii="Yu Mincho" w:cs="Yu Mincho" w:eastAsia="Yu Mincho" w:hAnsi="Yu Mincho"/>
          <w:sz w:val="21"/>
          <w:szCs w:val="21"/>
        </w:rPr>
        <w:t xml:space="preserve">発行市場でのディスクロージャー制度：有価証券届出書・目論見書（財務諸表と監査報告書を含む）→新規発行証券について信頼できる会計情報にもとづき品質を評価できる。</w:t>
      </w:r>
    </w:p>
    <w:p>
      <w:pPr>
        <w:pStyle w:val="ListParagraph"/>
        <w:numPr>
          <w:ilvl w:val="0"/>
          <w:numId w:val="2"/>
        </w:numPr>
        <w:spacing w:after="80" w:line="300"/>
      </w:pPr>
      <w:r>
        <w:rPr>
          <w:rFonts w:ascii="Yu Mincho" w:cs="Yu Mincho" w:eastAsia="Yu Mincho" w:hAnsi="Yu Mincho"/>
          <w:sz w:val="21"/>
          <w:szCs w:val="21"/>
        </w:rPr>
        <w:t xml:space="preserve">自主的なディスクロージャー（IR）→情報の非対称性の軽減は企業側にとってもメリットがあることを示唆（詳細は第5章）。</w:t>
      </w:r>
    </w:p>
    <w:p>
      <w:pPr>
        <w:pStyle w:val="Heading3"/>
        <w:spacing w:after="120" w:before="240"/>
      </w:pPr>
      <w:r>
        <w:t xml:space="preserve">② モラル・ハザードと会計情報</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モラル・ハザード</w:t>
            </w:r>
          </w:p>
          <w:p>
            <w:pPr>
              <w:spacing w:line="300"/>
            </w:pPr>
            <w:r>
              <w:rPr>
                <w:rFonts w:ascii="Yu Mincho" w:cs="Yu Mincho" w:eastAsia="Yu Mincho" w:hAnsi="Yu Mincho"/>
                <w:sz w:val="20"/>
                <w:szCs w:val="20"/>
              </w:rPr>
              <w:t xml:space="preserve">契約を結ぶことで契約当事者の行動が変化し、最終的に契約当事者のすべてが損失を被る現象。逆選択が財の品質に関する情報の非対称性で生じるのに対し、モラル・ハザードは取引相手の「行動」に関する情報の非対称性によって引き起こされる。</w:t>
            </w:r>
          </w:p>
        </w:tc>
      </w:tr>
    </w:tbl>
    <w:p>
      <w:pPr>
        <w:spacing w:after="100"/>
      </w:pPr>
    </w:p>
    <w:p>
      <w:pPr>
        <w:spacing w:after="140" w:line="320"/>
        <w:jc w:val="left"/>
      </w:pPr>
      <w:r>
        <w:rPr>
          <w:rFonts w:ascii="Yu Mincho" w:cs="Yu Mincho" w:eastAsia="Yu Mincho" w:hAnsi="Yu Mincho"/>
          <w:sz w:val="21"/>
          <w:szCs w:val="21"/>
        </w:rPr>
        <w:t xml:space="preserve">医療保険を例にとる。保険加入者は自分の健康状態や通院行動について情報優位、保険会社は情報劣位にある。ほとんど病院に行かなかった人が保険に加入すると、軽微な病気でも頻繁に通院するようになりうる。保険会社が過去の通院実績で保険料を決めている場合、想定以上のコストを負担することになり、保険料を値上げせざるを得ない。その結果、健康な人ほど保険から離脱し、病気がちの人だけが加入する（逆選択との連鎖）。</w:t>
      </w:r>
    </w:p>
    <w:p>
      <w:pPr>
        <w:spacing w:after="140" w:line="320"/>
        <w:jc w:val="left"/>
      </w:pPr>
      <w:r>
        <w:rPr>
          <w:rFonts w:ascii="Yu Mincho" w:cs="Yu Mincho" w:eastAsia="Yu Mincho" w:hAnsi="Yu Mincho"/>
          <w:sz w:val="21"/>
          <w:szCs w:val="21"/>
        </w:rPr>
        <w:t xml:space="preserve">モラル・ハザードの回避には、契約当事者間で相手の行動を監視し、行動に関する情報を入手できることが必要である。行動の変化を予測してそれを条項に組み込んだ契約を結び、契約後は当事者の行動に関する情報を集め、条項に従って契約を履行する——この「契約で利用される条項に会計数値を用いる」ことがモラル・ハザードの防止に貢献する。これが財務会計の「契約支援機能」である。</w:t>
      </w:r>
    </w:p>
    <w:p>
      <w:pPr>
        <w:pStyle w:val="ListParagraph"/>
        <w:numPr>
          <w:ilvl w:val="0"/>
          <w:numId w:val="2"/>
        </w:numPr>
        <w:spacing w:after="80" w:line="300"/>
      </w:pPr>
      <w:r>
        <w:rPr>
          <w:rFonts w:ascii="Yu Mincho" w:cs="Yu Mincho" w:eastAsia="Yu Mincho" w:hAnsi="Yu Mincho"/>
          <w:sz w:val="21"/>
          <w:szCs w:val="21"/>
        </w:rPr>
        <w:t xml:space="preserve">利益連動型の報酬契約を設定する→経営者と株主の利害対立を減少させ、モラル・ハザードを抑制する（第1章）。</w:t>
      </w:r>
    </w:p>
    <w:p>
      <w:pPr>
        <w:pStyle w:val="ListParagraph"/>
        <w:numPr>
          <w:ilvl w:val="0"/>
          <w:numId w:val="2"/>
        </w:numPr>
        <w:spacing w:after="80" w:line="300"/>
      </w:pPr>
      <w:r>
        <w:rPr>
          <w:rFonts w:ascii="Yu Mincho" w:cs="Yu Mincho" w:eastAsia="Yu Mincho" w:hAnsi="Yu Mincho"/>
          <w:sz w:val="21"/>
          <w:szCs w:val="21"/>
        </w:rPr>
        <w:t xml:space="preserve">債務契約（社債発行）に財務制限条項（財務上の特約）を設定する→株主と債権者の利害対立を減少させ、モラル・ハザードを抑制する（第2章）。</w:t>
      </w:r>
    </w:p>
    <w:p>
      <w:pPr>
        <w:pStyle w:val="ListParagraph"/>
        <w:numPr>
          <w:ilvl w:val="0"/>
          <w:numId w:val="2"/>
        </w:numPr>
        <w:spacing w:after="80" w:line="300"/>
      </w:pPr>
      <w:r>
        <w:rPr>
          <w:rFonts w:ascii="Yu Mincho" w:cs="Yu Mincho" w:eastAsia="Yu Mincho" w:hAnsi="Yu Mincho"/>
          <w:sz w:val="21"/>
          <w:szCs w:val="21"/>
        </w:rPr>
        <w:t xml:space="preserve">徴税の計算に企業会計の利益を組み込む→徴税に付随するコストを減少させる（第3章）。</w:t>
      </w:r>
    </w:p>
    <w:p>
      <w:pPr>
        <w:pStyle w:val="ListParagraph"/>
        <w:numPr>
          <w:ilvl w:val="0"/>
          <w:numId w:val="2"/>
        </w:numPr>
        <w:spacing w:after="80" w:line="300"/>
      </w:pPr>
      <w:r>
        <w:rPr>
          <w:rFonts w:ascii="Yu Mincho" w:cs="Yu Mincho" w:eastAsia="Yu Mincho" w:hAnsi="Yu Mincho"/>
          <w:sz w:val="21"/>
          <w:szCs w:val="21"/>
        </w:rPr>
        <w:t xml:space="preserve">発行市場のディスクロージャーだけでなく、証券発行後も定期的・臨時のディスクロージャーを要求する→株主が経営者の業績を評価し、モラル・ハザードが露見すればペナルティを課すことが可能になる（第4章・第5章）。</w:t>
      </w:r>
    </w:p>
    <w:p>
      <w:pPr>
        <w:pStyle w:val="Heading2"/>
        <w:spacing w:after="160" w:before="360"/>
      </w:pPr>
      <w:r>
        <w:t xml:space="preserve">0.4　財務会計の2つの機能：意思決定支援機能と契約支援機能</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300"/>
        <w:gridCol w:w="33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
            </w:r>
          </w:p>
        </w:tc>
        <w:tc>
          <w:tcPr>
            <w:tcW w:type="dxa" w:w="3300"/>
            <w:shd w:fill="DDE6F0" w:val="clear"/>
            <w:tcMar>
              <w:top w:type="dxa" w:w="60"/>
              <w:left w:type="dxa" w:w="100"/>
              <w:bottom w:type="dxa" w:w="60"/>
              <w:right w:type="dxa" w:w="100"/>
            </w:tcMar>
          </w:tcPr>
          <w:p>
            <w:r>
              <w:rPr>
                <w:rFonts w:ascii="Yu Gothic" w:cs="Yu Gothic" w:eastAsia="Yu Gothic" w:hAnsi="Yu Gothic"/>
                <w:b/>
                <w:bCs/>
                <w:sz w:val="19"/>
                <w:szCs w:val="19"/>
              </w:rPr>
              <w:t xml:space="preserve">意思決定支援機能</w:t>
            </w:r>
          </w:p>
        </w:tc>
        <w:tc>
          <w:tcPr>
            <w:tcW w:type="dxa" w:w="3300"/>
            <w:shd w:fill="DDE6F0" w:val="clear"/>
            <w:tcMar>
              <w:top w:type="dxa" w:w="60"/>
              <w:left w:type="dxa" w:w="100"/>
              <w:bottom w:type="dxa" w:w="60"/>
              <w:right w:type="dxa" w:w="100"/>
            </w:tcMar>
          </w:tcPr>
          <w:p>
            <w:r>
              <w:rPr>
                <w:rFonts w:ascii="Yu Gothic" w:cs="Yu Gothic" w:eastAsia="Yu Gothic" w:hAnsi="Yu Gothic"/>
                <w:b/>
                <w:bCs/>
                <w:sz w:val="19"/>
                <w:szCs w:val="19"/>
              </w:rPr>
              <w:t xml:space="preserve">契約支援機能</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会計情報を活用する時点</w:t>
            </w:r>
          </w:p>
        </w:tc>
        <w:tc>
          <w:tcPr>
            <w:tcW w:type="dxa" w:w="3300"/>
            <w:tcMar>
              <w:top w:type="dxa" w:w="60"/>
              <w:left w:type="dxa" w:w="100"/>
              <w:bottom w:type="dxa" w:w="60"/>
              <w:right w:type="dxa" w:w="100"/>
            </w:tcMar>
          </w:tcPr>
          <w:p>
            <w:r>
              <w:rPr>
                <w:rFonts w:ascii="Yu Mincho" w:cs="Yu Mincho" w:eastAsia="Yu Mincho" w:hAnsi="Yu Mincho"/>
                <w:sz w:val="19"/>
                <w:szCs w:val="19"/>
              </w:rPr>
              <w:t xml:space="preserve">意思決定の事前情報</w:t>
            </w:r>
          </w:p>
        </w:tc>
        <w:tc>
          <w:tcPr>
            <w:tcW w:type="dxa" w:w="3300"/>
            <w:tcMar>
              <w:top w:type="dxa" w:w="60"/>
              <w:left w:type="dxa" w:w="100"/>
              <w:bottom w:type="dxa" w:w="60"/>
              <w:right w:type="dxa" w:w="100"/>
            </w:tcMar>
          </w:tcPr>
          <w:p>
            <w:r>
              <w:rPr>
                <w:rFonts w:ascii="Yu Mincho" w:cs="Yu Mincho" w:eastAsia="Yu Mincho" w:hAnsi="Yu Mincho"/>
                <w:sz w:val="19"/>
                <w:szCs w:val="19"/>
              </w:rPr>
              <w:t xml:space="preserve">意思決定の事後情報</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会計情報を活用する方法</w:t>
            </w:r>
          </w:p>
        </w:tc>
        <w:tc>
          <w:tcPr>
            <w:tcW w:type="dxa" w:w="3300"/>
            <w:tcMar>
              <w:top w:type="dxa" w:w="60"/>
              <w:left w:type="dxa" w:w="100"/>
              <w:bottom w:type="dxa" w:w="60"/>
              <w:right w:type="dxa" w:w="100"/>
            </w:tcMar>
          </w:tcPr>
          <w:p>
            <w:r>
              <w:rPr>
                <w:rFonts w:ascii="Yu Mincho" w:cs="Yu Mincho" w:eastAsia="Yu Mincho" w:hAnsi="Yu Mincho"/>
                <w:sz w:val="19"/>
                <w:szCs w:val="19"/>
              </w:rPr>
              <w:t xml:space="preserve">将来の収益性やキャッシュ・フローの予測</w:t>
            </w:r>
          </w:p>
        </w:tc>
        <w:tc>
          <w:tcPr>
            <w:tcW w:type="dxa" w:w="3300"/>
            <w:tcMar>
              <w:top w:type="dxa" w:w="60"/>
              <w:left w:type="dxa" w:w="100"/>
              <w:bottom w:type="dxa" w:w="60"/>
              <w:right w:type="dxa" w:w="100"/>
            </w:tcMar>
          </w:tcPr>
          <w:p>
            <w:r>
              <w:rPr>
                <w:rFonts w:ascii="Yu Mincho" w:cs="Yu Mincho" w:eastAsia="Yu Mincho" w:hAnsi="Yu Mincho"/>
                <w:sz w:val="19"/>
                <w:szCs w:val="19"/>
              </w:rPr>
              <w:t xml:space="preserve">行動の監視、業績評価、成果配分の基礎</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典型例</w:t>
            </w:r>
          </w:p>
        </w:tc>
        <w:tc>
          <w:tcPr>
            <w:tcW w:type="dxa" w:w="3300"/>
            <w:tcMar>
              <w:top w:type="dxa" w:w="60"/>
              <w:left w:type="dxa" w:w="100"/>
              <w:bottom w:type="dxa" w:w="60"/>
              <w:right w:type="dxa" w:w="100"/>
            </w:tcMar>
          </w:tcPr>
          <w:p>
            <w:r>
              <w:rPr>
                <w:rFonts w:ascii="Yu Mincho" w:cs="Yu Mincho" w:eastAsia="Yu Mincho" w:hAnsi="Yu Mincho"/>
                <w:sz w:val="19"/>
                <w:szCs w:val="19"/>
              </w:rPr>
              <w:t xml:space="preserve">強制的ディスクロージャー（財務諸表・監査報告書）、自主的ディスクロージャー（IR）</w:t>
            </w:r>
          </w:p>
        </w:tc>
        <w:tc>
          <w:tcPr>
            <w:tcW w:type="dxa" w:w="3300"/>
            <w:tcMar>
              <w:top w:type="dxa" w:w="60"/>
              <w:left w:type="dxa" w:w="100"/>
              <w:bottom w:type="dxa" w:w="60"/>
              <w:right w:type="dxa" w:w="100"/>
            </w:tcMar>
          </w:tcPr>
          <w:p>
            <w:r>
              <w:rPr>
                <w:rFonts w:ascii="Yu Mincho" w:cs="Yu Mincho" w:eastAsia="Yu Mincho" w:hAnsi="Yu Mincho"/>
                <w:sz w:val="19"/>
                <w:szCs w:val="19"/>
              </w:rPr>
              <w:t xml:space="preserve">報酬契約、債務契約、政府契約</w:t>
            </w:r>
          </w:p>
        </w:tc>
      </w:tr>
    </w:tbl>
    <w:p>
      <w:pPr>
        <w:spacing w:after="100"/>
      </w:pPr>
    </w:p>
    <w:p>
      <w:pPr>
        <w:pStyle w:val="ListParagraph"/>
        <w:numPr>
          <w:ilvl w:val="0"/>
          <w:numId w:val="2"/>
        </w:numPr>
        <w:spacing w:after="80" w:line="300"/>
      </w:pPr>
      <w:r>
        <w:rPr>
          <w:rFonts w:ascii="Yu Mincho" w:cs="Yu Mincho" w:eastAsia="Yu Mincho" w:hAnsi="Yu Mincho"/>
          <w:b/>
          <w:bCs/>
          <w:sz w:val="21"/>
          <w:szCs w:val="21"/>
        </w:rPr>
        <w:t xml:space="preserve">意思決定支援機能：</w:t>
      </w:r>
    </w:p>
    <w:p>
      <w:pPr>
        <w:spacing w:after="140" w:line="320"/>
        <w:jc w:val="left"/>
      </w:pPr>
      <w:r>
        <w:rPr>
          <w:rFonts w:ascii="Yu Mincho" w:cs="Yu Mincho" w:eastAsia="Yu Mincho" w:hAnsi="Yu Mincho"/>
          <w:sz w:val="21"/>
          <w:szCs w:val="21"/>
        </w:rPr>
        <w:t xml:space="preserve">投資家の意思決定に有用な会計情報を提供し、証券市場における効率的な取引を促進する機能（須田, 2000, 16頁）。情報の非対称性を小さくし、証券市場の機能を適切に果たす。理論的背景は効率的市場仮説（第4章参照）。</w:t>
      </w:r>
    </w:p>
    <w:p>
      <w:pPr>
        <w:pStyle w:val="ListParagraph"/>
        <w:numPr>
          <w:ilvl w:val="0"/>
          <w:numId w:val="2"/>
        </w:numPr>
        <w:spacing w:after="80" w:line="300"/>
      </w:pPr>
      <w:r>
        <w:rPr>
          <w:rFonts w:ascii="Yu Mincho" w:cs="Yu Mincho" w:eastAsia="Yu Mincho" w:hAnsi="Yu Mincho"/>
          <w:b/>
          <w:bCs/>
          <w:sz w:val="21"/>
          <w:szCs w:val="21"/>
        </w:rPr>
        <w:t xml:space="preserve">契約支援機能：</w:t>
      </w:r>
    </w:p>
    <w:p>
      <w:pPr>
        <w:spacing w:after="140" w:line="320"/>
        <w:jc w:val="left"/>
      </w:pPr>
      <w:r>
        <w:rPr>
          <w:rFonts w:ascii="Yu Mincho" w:cs="Yu Mincho" w:eastAsia="Yu Mincho" w:hAnsi="Yu Mincho"/>
          <w:sz w:val="21"/>
          <w:szCs w:val="21"/>
        </w:rPr>
        <w:t xml:space="preserve">契約の監視と履行を促進し、契約当事者の利害対立を減少させ、契約の効率性を高める機能（須田, 2000, 21頁）。理論的背景は契約・エイジェンシー理論。</w:t>
      </w:r>
    </w:p>
    <w:p>
      <w:pPr>
        <w:pStyle w:val="Heading2"/>
        <w:spacing w:after="160" w:before="360"/>
      </w:pPr>
      <w:r>
        <w:t xml:space="preserve">0.5　企業理論とエイジェンシー理論</w:t>
      </w:r>
    </w:p>
    <w:p>
      <w:pPr>
        <w:pStyle w:val="Heading3"/>
        <w:spacing w:after="120" w:before="240"/>
      </w:pPr>
      <w:r>
        <w:t xml:space="preserve">企業理論の展開</w:t>
      </w:r>
    </w:p>
    <w:p>
      <w:pPr>
        <w:pStyle w:val="ListParagraph"/>
        <w:numPr>
          <w:ilvl w:val="0"/>
          <w:numId w:val="2"/>
        </w:numPr>
        <w:spacing w:after="80" w:line="300"/>
      </w:pPr>
      <w:r>
        <w:rPr>
          <w:rFonts w:ascii="Yu Mincho" w:cs="Yu Mincho" w:eastAsia="Yu Mincho" w:hAnsi="Yu Mincho"/>
          <w:sz w:val="21"/>
          <w:szCs w:val="21"/>
        </w:rPr>
        <w:t xml:space="preserve">伝統的なミクロ経済学：企業は原材料などを製品などに変換する装置でしかなく、経済分析において企業の存在は与件。資源配分の調整システムとして「市場」以外のものを想定しない。</w:t>
      </w:r>
    </w:p>
    <w:p>
      <w:pPr>
        <w:pStyle w:val="ListParagraph"/>
        <w:numPr>
          <w:ilvl w:val="0"/>
          <w:numId w:val="2"/>
        </w:numPr>
        <w:spacing w:after="80" w:line="300"/>
      </w:pPr>
      <w:r>
        <w:rPr>
          <w:rFonts w:ascii="Yu Mincho" w:cs="Yu Mincho" w:eastAsia="Yu Mincho" w:hAnsi="Yu Mincho"/>
          <w:sz w:val="21"/>
          <w:szCs w:val="21"/>
        </w:rPr>
        <w:t xml:space="preserve">ロナルド・コース：企業は資源配分の調整システムとして「市場」のほかに「組織」の存在を見逃せないことを指摘。市場取引には取引コストが必要となるが、「組織」はその費用を節約するため、市場取引の一部を組織内で実行する場として機能する。</w:t>
      </w:r>
    </w:p>
    <w:p>
      <w:pPr>
        <w:pStyle w:val="ListParagraph"/>
        <w:numPr>
          <w:ilvl w:val="0"/>
          <w:numId w:val="2"/>
        </w:numPr>
        <w:spacing w:after="80" w:line="300"/>
      </w:pPr>
      <w:r>
        <w:rPr>
          <w:rFonts w:ascii="Yu Mincho" w:cs="Yu Mincho" w:eastAsia="Yu Mincho" w:hAnsi="Yu Mincho"/>
          <w:sz w:val="21"/>
          <w:szCs w:val="21"/>
        </w:rPr>
        <w:t xml:space="preserve">契約の経済学：コース以降、取引コストを基礎概念として企業組織分析と契約の経済分析が行われてきた。理論的な分析が最も進んでいるのがエイジェンシー理論である。</w:t>
      </w:r>
    </w:p>
    <w:p>
      <w:pPr>
        <w:pStyle w:val="Heading3"/>
        <w:spacing w:after="120" w:before="240"/>
      </w:pPr>
      <w:r>
        <w:t xml:space="preserve">エイジェンシー理論</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エイジェンシー理論</w:t>
            </w:r>
          </w:p>
          <w:p>
            <w:pPr>
              <w:spacing w:line="300"/>
            </w:pPr>
            <w:r>
              <w:rPr>
                <w:rFonts w:ascii="Yu Mincho" w:cs="Yu Mincho" w:eastAsia="Yu Mincho" w:hAnsi="Yu Mincho"/>
                <w:sz w:val="20"/>
                <w:szCs w:val="20"/>
              </w:rPr>
              <w:t xml:space="preserve">契約関係を本人（プリンシパル）と代理人（エイジェント）の関係（エイジェンシー関係）としてとらえる。代理人の行動が本人の利害と一致しないときに発生する問題の構造を明らかにし、その問題に対処する方法を考察する。例：株主（本人）と経営者（代理人）、社債権者（本人）と経営者（代理人）。</w:t>
            </w:r>
          </w:p>
        </w:tc>
      </w:tr>
    </w:tbl>
    <w:p>
      <w:pPr>
        <w:spacing w:after="100"/>
      </w:pPr>
    </w:p>
    <w:p>
      <w:pPr>
        <w:spacing w:after="140" w:line="320"/>
        <w:jc w:val="left"/>
      </w:pPr>
      <w:r>
        <w:rPr>
          <w:rFonts w:ascii="Yu Mincho" w:cs="Yu Mincho" w:eastAsia="Yu Mincho" w:hAnsi="Yu Mincho"/>
          <w:sz w:val="21"/>
          <w:szCs w:val="21"/>
        </w:rPr>
        <w:t xml:space="preserve">代理人は利己心にもとづいて行動するため、常に本人の富を最大にするような行動をとるとは限らない（モラル・ハザードの問題）。これに伴う機会費用をエイジェンシー費用という。エイジェンシー費用を削減するためには、以下のような契約システムが用いられる。もっとも、これらのシステムの設計には費用が伴い、エイジェンシー費用の減少とトレードオフの関係にある。この両者を合わせたものを「広義のエイジェンシー費用」という。</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4000"/>
        <w:gridCol w:w="5200"/>
      </w:tblGrid>
      <w:tr>
        <w:trPr>
          <w:tblHeader/>
        </w:trPr>
        <w:tc>
          <w:tcPr>
            <w:tcW w:type="dxa" w:w="4000"/>
            <w:shd w:fill="DDE6F0" w:val="clear"/>
            <w:tcMar>
              <w:top w:type="dxa" w:w="60"/>
              <w:left w:type="dxa" w:w="100"/>
              <w:bottom w:type="dxa" w:w="60"/>
              <w:right w:type="dxa" w:w="100"/>
            </w:tcMar>
          </w:tcPr>
          <w:p>
            <w:r>
              <w:rPr>
                <w:rFonts w:ascii="Yu Gothic" w:cs="Yu Gothic" w:eastAsia="Yu Gothic" w:hAnsi="Yu Gothic"/>
                <w:b/>
                <w:bCs/>
                <w:sz w:val="19"/>
                <w:szCs w:val="19"/>
              </w:rPr>
              <w:t xml:space="preserve">エイジェンシー費用削減のシステム</w:t>
            </w:r>
          </w:p>
        </w:tc>
        <w:tc>
          <w:tcPr>
            <w:tcW w:type="dxa" w:w="5200"/>
            <w:shd w:fill="DDE6F0" w:val="clear"/>
            <w:tcMar>
              <w:top w:type="dxa" w:w="60"/>
              <w:left w:type="dxa" w:w="100"/>
              <w:bottom w:type="dxa" w:w="60"/>
              <w:right w:type="dxa" w:w="100"/>
            </w:tcMar>
          </w:tcPr>
          <w:p>
            <w:r>
              <w:rPr>
                <w:rFonts w:ascii="Yu Gothic" w:cs="Yu Gothic" w:eastAsia="Yu Gothic" w:hAnsi="Yu Gothic"/>
                <w:b/>
                <w:bCs/>
                <w:sz w:val="19"/>
                <w:szCs w:val="19"/>
              </w:rPr>
              <w:t xml:space="preserve">具体例</w:t>
            </w:r>
          </w:p>
        </w:tc>
      </w:tr>
      <w:tr>
        <w:tc>
          <w:tcPr>
            <w:tcW w:type="dxa" w:w="4000"/>
            <w:tcMar>
              <w:top w:type="dxa" w:w="60"/>
              <w:left w:type="dxa" w:w="100"/>
              <w:bottom w:type="dxa" w:w="60"/>
              <w:right w:type="dxa" w:w="100"/>
            </w:tcMar>
          </w:tcPr>
          <w:p>
            <w:r>
              <w:rPr>
                <w:rFonts w:ascii="Yu Mincho" w:cs="Yu Mincho" w:eastAsia="Yu Mincho" w:hAnsi="Yu Mincho"/>
                <w:sz w:val="19"/>
                <w:szCs w:val="19"/>
              </w:rPr>
              <w:t xml:space="preserve">（1）モニタリング・システム</w:t>
            </w:r>
          </w:p>
        </w:tc>
        <w:tc>
          <w:tcPr>
            <w:tcW w:type="dxa" w:w="5200"/>
            <w:tcMar>
              <w:top w:type="dxa" w:w="60"/>
              <w:left w:type="dxa" w:w="100"/>
              <w:bottom w:type="dxa" w:w="60"/>
              <w:right w:type="dxa" w:w="100"/>
            </w:tcMar>
          </w:tcPr>
          <w:p>
            <w:r>
              <w:rPr>
                <w:rFonts w:ascii="Yu Mincho" w:cs="Yu Mincho" w:eastAsia="Yu Mincho" w:hAnsi="Yu Mincho"/>
                <w:sz w:val="19"/>
                <w:szCs w:val="19"/>
              </w:rPr>
              <w:t xml:space="preserve">ディスクロージャー制度、監査制度、銀行の役員派遣</w:t>
            </w:r>
          </w:p>
        </w:tc>
      </w:tr>
      <w:tr>
        <w:tc>
          <w:tcPr>
            <w:tcW w:type="dxa" w:w="4000"/>
            <w:tcMar>
              <w:top w:type="dxa" w:w="60"/>
              <w:left w:type="dxa" w:w="100"/>
              <w:bottom w:type="dxa" w:w="60"/>
              <w:right w:type="dxa" w:w="100"/>
            </w:tcMar>
          </w:tcPr>
          <w:p>
            <w:r>
              <w:rPr>
                <w:rFonts w:ascii="Yu Mincho" w:cs="Yu Mincho" w:eastAsia="Yu Mincho" w:hAnsi="Yu Mincho"/>
                <w:sz w:val="19"/>
                <w:szCs w:val="19"/>
              </w:rPr>
              <w:t xml:space="preserve">（2）インセンティブ・システム</w:t>
            </w:r>
          </w:p>
        </w:tc>
        <w:tc>
          <w:tcPr>
            <w:tcW w:type="dxa" w:w="5200"/>
            <w:tcMar>
              <w:top w:type="dxa" w:w="60"/>
              <w:left w:type="dxa" w:w="100"/>
              <w:bottom w:type="dxa" w:w="60"/>
              <w:right w:type="dxa" w:w="100"/>
            </w:tcMar>
          </w:tcPr>
          <w:p>
            <w:r>
              <w:rPr>
                <w:rFonts w:ascii="Yu Mincho" w:cs="Yu Mincho" w:eastAsia="Yu Mincho" w:hAnsi="Yu Mincho"/>
                <w:sz w:val="19"/>
                <w:szCs w:val="19"/>
              </w:rPr>
              <w:t xml:space="preserve">業績に基づいた報酬制度、ストック・オプション、従業員持株会</w:t>
            </w:r>
          </w:p>
        </w:tc>
      </w:tr>
      <w:tr>
        <w:tc>
          <w:tcPr>
            <w:tcW w:type="dxa" w:w="4000"/>
            <w:tcMar>
              <w:top w:type="dxa" w:w="60"/>
              <w:left w:type="dxa" w:w="100"/>
              <w:bottom w:type="dxa" w:w="60"/>
              <w:right w:type="dxa" w:w="100"/>
            </w:tcMar>
          </w:tcPr>
          <w:p>
            <w:r>
              <w:rPr>
                <w:rFonts w:ascii="Yu Mincho" w:cs="Yu Mincho" w:eastAsia="Yu Mincho" w:hAnsi="Yu Mincho"/>
                <w:sz w:val="19"/>
                <w:szCs w:val="19"/>
              </w:rPr>
              <w:t xml:space="preserve">（3）ボンディング・システム</w:t>
            </w:r>
          </w:p>
        </w:tc>
        <w:tc>
          <w:tcPr>
            <w:tcW w:type="dxa" w:w="5200"/>
            <w:tcMar>
              <w:top w:type="dxa" w:w="60"/>
              <w:left w:type="dxa" w:w="100"/>
              <w:bottom w:type="dxa" w:w="60"/>
              <w:right w:type="dxa" w:w="100"/>
            </w:tcMar>
          </w:tcPr>
          <w:p>
            <w:r>
              <w:rPr>
                <w:rFonts w:ascii="Yu Mincho" w:cs="Yu Mincho" w:eastAsia="Yu Mincho" w:hAnsi="Yu Mincho"/>
                <w:sz w:val="19"/>
                <w:szCs w:val="19"/>
              </w:rPr>
              <w:t xml:space="preserve">無担保社債発行の際に特約される財務制限条項、IR活動</w:t>
            </w:r>
          </w:p>
        </w:tc>
      </w:tr>
    </w:tbl>
    <w:p>
      <w:pPr>
        <w:spacing w:after="100"/>
      </w:pPr>
    </w:p>
    <w:p>
      <w:pPr>
        <w:spacing w:after="140" w:line="320"/>
        <w:jc w:val="left"/>
      </w:pPr>
      <w:r>
        <w:rPr>
          <w:rFonts w:ascii="Yu Mincho" w:cs="Yu Mincho" w:eastAsia="Yu Mincho" w:hAnsi="Yu Mincho"/>
          <w:sz w:val="21"/>
          <w:szCs w:val="21"/>
        </w:rPr>
        <w:t xml:space="preserve">エイジェンシー費用を削減する各システムにおいて、会計情報が重要な役割を果たす。</w:t>
      </w:r>
    </w:p>
    <w:p>
      <w:pPr>
        <w:pStyle w:val="ListParagraph"/>
        <w:numPr>
          <w:ilvl w:val="0"/>
          <w:numId w:val="2"/>
        </w:numPr>
        <w:spacing w:after="80" w:line="300"/>
      </w:pPr>
      <w:r>
        <w:rPr>
          <w:rFonts w:ascii="Yu Mincho" w:cs="Yu Mincho" w:eastAsia="Yu Mincho" w:hAnsi="Yu Mincho"/>
          <w:sz w:val="21"/>
          <w:szCs w:val="21"/>
        </w:rPr>
        <w:t xml:space="preserve">モニタリング・システム：ディスクロージャー制度や監査制度。</w:t>
      </w:r>
    </w:p>
    <w:p>
      <w:pPr>
        <w:pStyle w:val="ListParagraph"/>
        <w:numPr>
          <w:ilvl w:val="0"/>
          <w:numId w:val="2"/>
        </w:numPr>
        <w:spacing w:after="80" w:line="300"/>
      </w:pPr>
      <w:r>
        <w:rPr>
          <w:rFonts w:ascii="Yu Mincho" w:cs="Yu Mincho" w:eastAsia="Yu Mincho" w:hAnsi="Yu Mincho"/>
          <w:sz w:val="21"/>
          <w:szCs w:val="21"/>
        </w:rPr>
        <w:t xml:space="preserve">インセンティブ・システム：業績連動型報酬制度——営業利益や当期純利益に基づいて報酬額が決定される。</w:t>
      </w:r>
    </w:p>
    <w:p>
      <w:pPr>
        <w:pStyle w:val="ListParagraph"/>
        <w:numPr>
          <w:ilvl w:val="0"/>
          <w:numId w:val="2"/>
        </w:numPr>
        <w:spacing w:after="80" w:line="300"/>
      </w:pPr>
      <w:r>
        <w:rPr>
          <w:rFonts w:ascii="Yu Mincho" w:cs="Yu Mincho" w:eastAsia="Yu Mincho" w:hAnsi="Yu Mincho"/>
          <w:sz w:val="21"/>
          <w:szCs w:val="21"/>
        </w:rPr>
        <w:t xml:space="preserve">ボンディング・システム：財務制限条項——配当制限や純資産維持など会計数値に依拠した条項が存在する。IR——会計情報の任意開示。</w:t>
      </w:r>
    </w:p>
    <w:p>
      <w:pPr>
        <w:spacing w:after="140" w:line="320"/>
        <w:jc w:val="left"/>
      </w:pPr>
      <w:r>
        <w:rPr>
          <w:rFonts w:ascii="Yu Mincho" w:cs="Yu Mincho" w:eastAsia="Yu Mincho" w:hAnsi="Yu Mincho"/>
          <w:sz w:val="21"/>
          <w:szCs w:val="21"/>
        </w:rPr>
        <w:t xml:space="preserve">エイジェンシー費用を最小にし、企業価値を最大にする契約が「効率的な契約」であり、その契約の中で会計情報が果たす役割が、財務会計の契約支援機能となる。</w:t>
      </w:r>
    </w:p>
    <w:p>
      <w:pPr>
        <w:pStyle w:val="Heading2"/>
        <w:spacing w:after="160" w:before="360"/>
      </w:pPr>
      <w:r>
        <w:t xml:space="preserve">0.6　補論：契約支援機能とアカウンタビリティ概念、Watts (1977) の発見</w:t>
      </w:r>
    </w:p>
    <w:p>
      <w:pPr>
        <w:pStyle w:val="Heading3"/>
        <w:spacing w:after="120" w:before="240"/>
      </w:pPr>
      <w:r>
        <w:t xml:space="preserve">補論(1)：伝統的なアカウンタビリティ概念との相違</w:t>
      </w:r>
    </w:p>
    <w:p>
      <w:pPr>
        <w:spacing w:after="140" w:line="320"/>
        <w:jc w:val="left"/>
      </w:pPr>
      <w:r>
        <w:rPr>
          <w:rFonts w:ascii="Yu Mincho" w:cs="Yu Mincho" w:eastAsia="Yu Mincho" w:hAnsi="Yu Mincho"/>
          <w:sz w:val="21"/>
          <w:szCs w:val="21"/>
        </w:rPr>
        <w:t xml:space="preserve">伝統的なアカウンタビリティ概念は、会計を権利義務関係の中で捉え、すぐれて法律的な概念である。「経営受託責任観は、経営者は投資家の利益のために行動する義務を負うことを暗黙の前提として」（Beaver, 1981）いる。これに対し、契約支援機能の視点は次のような、アカウンタビリティ概念だけでは説明しきれない論点に光を当てる。</w:t>
      </w:r>
    </w:p>
    <w:p>
      <w:pPr>
        <w:pStyle w:val="ListParagraph"/>
        <w:numPr>
          <w:ilvl w:val="0"/>
          <w:numId w:val="2"/>
        </w:numPr>
        <w:spacing w:after="80" w:line="300"/>
      </w:pPr>
      <w:r>
        <w:rPr>
          <w:rFonts w:ascii="Yu Mincho" w:cs="Yu Mincho" w:eastAsia="Yu Mincho" w:hAnsi="Yu Mincho"/>
          <w:sz w:val="21"/>
          <w:szCs w:val="21"/>
        </w:rPr>
        <w:t xml:space="preserve">経営者の利己的な行動を抑制するインセンティブ・システムに財務会計数値が用いられていることの意義。</w:t>
      </w:r>
    </w:p>
    <w:p>
      <w:pPr>
        <w:pStyle w:val="ListParagraph"/>
        <w:numPr>
          <w:ilvl w:val="0"/>
          <w:numId w:val="2"/>
        </w:numPr>
        <w:spacing w:after="80" w:line="300"/>
      </w:pPr>
      <w:r>
        <w:rPr>
          <w:rFonts w:ascii="Yu Mincho" w:cs="Yu Mincho" w:eastAsia="Yu Mincho" w:hAnsi="Yu Mincho"/>
          <w:sz w:val="21"/>
          <w:szCs w:val="21"/>
        </w:rPr>
        <w:t xml:space="preserve">経営者が「義務」ではなく自ら進んで信頼を獲得するシステム（ボンディング・システム）の意義。</w:t>
      </w:r>
    </w:p>
    <w:p>
      <w:pPr>
        <w:pStyle w:val="ListParagraph"/>
        <w:numPr>
          <w:ilvl w:val="0"/>
          <w:numId w:val="2"/>
        </w:numPr>
        <w:spacing w:after="80" w:line="300"/>
      </w:pPr>
      <w:r>
        <w:rPr>
          <w:rFonts w:ascii="Yu Mincho" w:cs="Yu Mincho" w:eastAsia="Yu Mincho" w:hAnsi="Yu Mincho"/>
          <w:sz w:val="21"/>
          <w:szCs w:val="21"/>
        </w:rPr>
        <w:t xml:space="preserve">実際に経営者が複数の会計手続きの中から選択する際に、一定の選好パターンが見られることの説明。</w:t>
      </w:r>
    </w:p>
    <w:p>
      <w:pPr>
        <w:pStyle w:val="ListParagraph"/>
        <w:numPr>
          <w:ilvl w:val="0"/>
          <w:numId w:val="2"/>
        </w:numPr>
        <w:spacing w:after="80" w:line="300"/>
      </w:pPr>
      <w:r>
        <w:rPr>
          <w:rFonts w:ascii="Yu Mincho" w:cs="Yu Mincho" w:eastAsia="Yu Mincho" w:hAnsi="Yu Mincho"/>
          <w:sz w:val="21"/>
          <w:szCs w:val="21"/>
        </w:rPr>
        <w:t xml:space="preserve">会計基準設定に関するロビー活動の意義。</w:t>
      </w:r>
    </w:p>
    <w:p>
      <w:pPr>
        <w:pStyle w:val="Heading3"/>
        <w:spacing w:after="120" w:before="240"/>
      </w:pPr>
      <w:r>
        <w:t xml:space="preserve">補論(2)：監査済み財務諸表の任意開示——Watts (1977)</w:t>
      </w:r>
    </w:p>
    <w:p>
      <w:pPr>
        <w:spacing w:after="140" w:line="320"/>
        <w:jc w:val="left"/>
      </w:pPr>
      <w:r>
        <w:rPr>
          <w:rFonts w:ascii="Yu Mincho" w:cs="Yu Mincho" w:eastAsia="Yu Mincho" w:hAnsi="Yu Mincho"/>
          <w:sz w:val="21"/>
          <w:szCs w:val="21"/>
        </w:rPr>
        <w:t xml:space="preserve">財務会計には社会的規制が存在し、これが財務会計の経済的意義を捉えにくくする。財務会計を経済学的概念で説明するためには、財務諸表の開示が互酬的行為としての側面を持たなければならない。</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Watts (1977) の発見</w:t>
            </w:r>
          </w:p>
          <w:p>
            <w:pPr>
              <w:spacing w:line="300"/>
            </w:pPr>
            <w:r>
              <w:rPr>
                <w:rFonts w:ascii="Yu Mincho" w:cs="Yu Mincho" w:eastAsia="Yu Mincho" w:hAnsi="Yu Mincho"/>
                <w:sz w:val="20"/>
                <w:szCs w:val="20"/>
              </w:rPr>
              <w:t xml:space="preserve">英国において、財務諸表の開示が法的に要求されていない時代に、監査済み財務諸表が自発的に開示されていたことに注目。当時の各社の定款を調べ、財務諸表の開示会社は共通して特定の契約（配当制限条項または利益連動型報酬契約）を結んでいることを発見した。</w:t>
            </w:r>
          </w:p>
        </w:tc>
      </w:tr>
    </w:tbl>
    <w:p>
      <w:pPr>
        <w:spacing w:after="100"/>
      </w:pPr>
    </w:p>
    <w:p>
      <w:pPr>
        <w:spacing w:after="140" w:line="320"/>
        <w:jc w:val="left"/>
      </w:pPr>
      <w:r>
        <w:rPr>
          <w:rFonts w:ascii="Yu Mincho" w:cs="Yu Mincho" w:eastAsia="Yu Mincho" w:hAnsi="Yu Mincho"/>
          <w:sz w:val="21"/>
          <w:szCs w:val="21"/>
        </w:rPr>
        <w:t xml:space="preserve">法律で求められなくとも、一般会社が監査済み財務諸表を開示したのは、契約を効率的に締結・履行し、エイジェンシー費用を削減するためであったと考えられる。エイジェンシー費用が削減されれば契約当事者全員の効用が増加するので、監査済み財務諸表の任意開示は互酬的行為であったと理解できる。この発見は、契約支援機能というアプローチの実証的な出発点のひとつである。</w:t>
      </w:r>
    </w:p>
    <w:p>
      <w:pPr>
        <w:pStyle w:val="Heading2"/>
        <w:spacing w:after="160" w:before="360"/>
      </w:pPr>
      <w:r>
        <w:t xml:space="preserve">0.7　序章のまとめ</w:t>
      </w:r>
    </w:p>
    <w:p>
      <w:pPr>
        <w:spacing w:after="140" w:line="320"/>
        <w:jc w:val="left"/>
      </w:pPr>
      <w:r>
        <w:rPr>
          <w:rFonts w:ascii="Yu Mincho" w:cs="Yu Mincho" w:eastAsia="Yu Mincho" w:hAnsi="Yu Mincho"/>
          <w:sz w:val="21"/>
          <w:szCs w:val="21"/>
        </w:rPr>
        <w:t xml:space="preserve">以上の理論的フレームワークを図式化すると、次のような因果の連鎖として整理できる。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本講義全体を貫く論理構造</w:t>
            </w:r>
          </w:p>
          <w:p>
            <w:pPr>
              <w:spacing w:line="300"/>
            </w:pPr>
            <w:r>
              <w:rPr>
                <w:rFonts w:ascii="Yu Mincho" w:cs="Yu Mincho" w:eastAsia="Yu Mincho" w:hAnsi="Yu Mincho"/>
                <w:sz w:val="20"/>
                <w:szCs w:val="20"/>
              </w:rPr>
              <w:t xml:space="preserve">情報の非対称性 → 逆選択・モラル・ハザード（市場の崩壊リスク） → 財務会計の2つの機能（意思決定支援機能・契約支援機能）による緩和 → 各局面（報酬契約・債務契約・政府契約・株式市場・IR）への応用 → 機能の裏面としての利益調整の発生。</w:t>
            </w:r>
          </w:p>
        </w:tc>
      </w:tr>
    </w:tbl>
    <w:p>
      <w:pPr>
        <w:spacing w:after="100"/>
      </w:pPr>
    </w:p>
    <w:p>
      <w:pPr>
        <w:spacing w:after="140" w:line="320"/>
        <w:jc w:val="left"/>
      </w:pPr>
      <w:r>
        <w:rPr>
          <w:rFonts w:ascii="Yu Mincho" w:cs="Yu Mincho" w:eastAsia="Yu Mincho" w:hAnsi="Yu Mincho"/>
          <w:sz w:val="21"/>
          <w:szCs w:val="21"/>
        </w:rPr>
        <w:t xml:space="preserve">第1章以降では、この枠組みを「契約支援機能」（報酬契約・債務契約・政府契約）と「意思決定支援機能」（株式市場・IR）の両輪から具体的に検証し、最後に第6章でその裏面である利益調整を扱う。</w:t>
      </w:r>
    </w:p>
    <w:p>
      <w:pPr>
        <w:pStyle w:val="Heading1"/>
        <w:pageBreakBefore/>
        <w:spacing w:after="240" w:before="480"/>
      </w:pPr>
      <w:r>
        <w:t xml:space="preserve">第1章　報酬契約と会計情報</w:t>
      </w:r>
    </w:p>
    <w:p>
      <w:pPr>
        <w:spacing w:after="140" w:line="320"/>
        <w:jc w:val="left"/>
      </w:pPr>
      <w:r>
        <w:rPr>
          <w:rFonts w:ascii="Yu Mincho" w:cs="Yu Mincho" w:eastAsia="Yu Mincho" w:hAnsi="Yu Mincho"/>
          <w:sz w:val="21"/>
          <w:szCs w:val="21"/>
        </w:rPr>
        <w:t xml:space="preserve">本章は第3回（インセンティブ契約と会計情報(1)）と第4回（同(2)）を統合したものである。株主と経営者の間のエイジェンシー関係を確認したうえで、効率的なインセンティブ契約を設計するための3つのポイントを理解し、米国・日本の実際の報酬制度をそのポイントに照らして評価する。最後に2つのケーススタディを通じて評価の視点を実践する。</w:t>
      </w:r>
    </w:p>
    <w:p>
      <w:pPr>
        <w:pStyle w:val="Heading2"/>
        <w:spacing w:after="160" w:before="360"/>
      </w:pPr>
      <w:r>
        <w:t xml:space="preserve">1.1　エイジェンシー関係と効率的インセンティブ契約</w:t>
      </w:r>
    </w:p>
    <w:p>
      <w:pPr>
        <w:spacing w:after="140" w:line="320"/>
        <w:jc w:val="left"/>
      </w:pPr>
      <w:r>
        <w:rPr>
          <w:rFonts w:ascii="Yu Mincho" w:cs="Yu Mincho" w:eastAsia="Yu Mincho" w:hAnsi="Yu Mincho"/>
          <w:sz w:val="21"/>
          <w:szCs w:val="21"/>
        </w:rPr>
        <w:t xml:space="preserve">株主と経営者の関係をエイジェンシー関係としてみた場合、株主は本人（プリンシパル）、経営者は代理人（エイジェント）として捉えることができる。経営者は必ずしも株主の意向に沿うような行動を取るとは限らない。</w:t>
      </w:r>
    </w:p>
    <w:p>
      <w:pPr>
        <w:spacing w:after="140" w:line="320"/>
        <w:jc w:val="left"/>
      </w:pPr>
      <w:r>
        <w:rPr>
          <w:rFonts w:ascii="Yu Mincho" w:cs="Yu Mincho" w:eastAsia="Yu Mincho" w:hAnsi="Yu Mincho"/>
          <w:sz w:val="21"/>
          <w:szCs w:val="21"/>
        </w:rPr>
        <w:t xml:space="preserve">経営者報酬は、コーポレート・ガバナンスの重要な論点であり、企業経営を論じる上で不可欠の要素である。企業が不祥事を起こした際にCEOが多額の報酬を得ていることへの非難や、日本での「お手盛り」批判に見られるように、業績と無関係な報酬決定は問題視される。日本ではこれまで経営者報酬制度の意義・効果が理論的に議論されることは少なかった。本章では、効率的な報酬契約の可能性と、そこでの会計情報の意義を検討する。</w:t>
      </w:r>
    </w:p>
    <w:p>
      <w:pPr>
        <w:spacing w:after="140" w:line="320"/>
        <w:jc w:val="left"/>
      </w:pPr>
      <w:r>
        <w:rPr>
          <w:rFonts w:ascii="Yu Mincho" w:cs="Yu Mincho" w:eastAsia="Yu Mincho" w:hAnsi="Yu Mincho"/>
          <w:sz w:val="21"/>
          <w:szCs w:val="21"/>
        </w:rPr>
        <w:t xml:space="preserve">インセンティブ契約とは、株主と経営者の利害をできるだけ一致させ、株主の富の増加をもたらす行動を経営者に促す契約であり、業績連動型報酬契約はその典型例である。効率的な報酬契約を結ぶための3つのポイントは以下の通り。</w:t>
      </w:r>
    </w:p>
    <w:p>
      <w:pPr>
        <w:pStyle w:val="ListParagraph"/>
        <w:numPr>
          <w:ilvl w:val="0"/>
          <w:numId w:val="4"/>
        </w:numPr>
        <w:spacing w:after="80" w:line="300"/>
      </w:pPr>
      <w:r>
        <w:rPr>
          <w:rFonts w:ascii="Yu Mincho" w:cs="Yu Mincho" w:eastAsia="Yu Mincho" w:hAnsi="Yu Mincho"/>
          <w:sz w:val="21"/>
          <w:szCs w:val="21"/>
        </w:rPr>
        <w:t xml:space="preserve">インセンティブの強度とリスクの大きさ</w:t>
      </w:r>
    </w:p>
    <w:p>
      <w:pPr>
        <w:pStyle w:val="ListParagraph"/>
        <w:numPr>
          <w:ilvl w:val="0"/>
          <w:numId w:val="4"/>
        </w:numPr>
        <w:spacing w:after="80" w:line="300"/>
      </w:pPr>
      <w:r>
        <w:rPr>
          <w:rFonts w:ascii="Yu Mincho" w:cs="Yu Mincho" w:eastAsia="Yu Mincho" w:hAnsi="Yu Mincho"/>
          <w:sz w:val="21"/>
          <w:szCs w:val="21"/>
        </w:rPr>
        <w:t xml:space="preserve">インセンティブ効果の及ぶ範囲</w:t>
      </w:r>
    </w:p>
    <w:p>
      <w:pPr>
        <w:pStyle w:val="ListParagraph"/>
        <w:numPr>
          <w:ilvl w:val="0"/>
          <w:numId w:val="4"/>
        </w:numPr>
        <w:spacing w:after="80" w:line="300"/>
      </w:pPr>
      <w:r>
        <w:rPr>
          <w:rFonts w:ascii="Yu Mincho" w:cs="Yu Mincho" w:eastAsia="Yu Mincho" w:hAnsi="Yu Mincho"/>
          <w:sz w:val="21"/>
          <w:szCs w:val="21"/>
        </w:rPr>
        <w:t xml:space="preserve">経営者の努力を測定する尺度</w:t>
      </w:r>
    </w:p>
    <w:p>
      <w:pPr>
        <w:pStyle w:val="Heading2"/>
        <w:spacing w:after="160" w:before="360"/>
      </w:pPr>
      <w:r>
        <w:t xml:space="preserve">1.2　Point 1：インセンティブの強度とリスクの大きさ</w:t>
      </w:r>
    </w:p>
    <w:p>
      <w:pPr>
        <w:spacing w:after="140" w:line="320"/>
        <w:jc w:val="left"/>
      </w:pPr>
      <w:r>
        <w:rPr>
          <w:rFonts w:ascii="Yu Mincho" w:cs="Yu Mincho" w:eastAsia="Yu Mincho" w:hAnsi="Yu Mincho"/>
          <w:sz w:val="21"/>
          <w:szCs w:val="21"/>
        </w:rPr>
        <w:t xml:space="preserve">経営者の報酬は通常、企業業績と無関係に支払われる固定給（給与）と、業績に連動して支払われる変動給（ボーナス）に区分される。両極端のケースを考えると、この区分の意義が見えてくる。</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2400"/>
        <w:gridCol w:w="2400"/>
        <w:gridCol w:w="25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ケース</w:t>
            </w:r>
          </w:p>
        </w:tc>
        <w:tc>
          <w:tcPr>
            <w:tcW w:type="dxa" w:w="2400"/>
            <w:shd w:fill="DDE6F0" w:val="clear"/>
            <w:tcMar>
              <w:top w:type="dxa" w:w="60"/>
              <w:left w:type="dxa" w:w="100"/>
              <w:bottom w:type="dxa" w:w="60"/>
              <w:right w:type="dxa" w:w="100"/>
            </w:tcMar>
          </w:tcPr>
          <w:p>
            <w:r>
              <w:rPr>
                <w:rFonts w:ascii="Yu Gothic" w:cs="Yu Gothic" w:eastAsia="Yu Gothic" w:hAnsi="Yu Gothic"/>
                <w:b/>
                <w:bCs/>
                <w:sz w:val="19"/>
                <w:szCs w:val="19"/>
              </w:rPr>
              <w:t xml:space="preserve">経営者</w:t>
            </w:r>
          </w:p>
        </w:tc>
        <w:tc>
          <w:tcPr>
            <w:tcW w:type="dxa" w:w="2400"/>
            <w:shd w:fill="DDE6F0" w:val="clear"/>
            <w:tcMar>
              <w:top w:type="dxa" w:w="60"/>
              <w:left w:type="dxa" w:w="100"/>
              <w:bottom w:type="dxa" w:w="60"/>
              <w:right w:type="dxa" w:w="100"/>
            </w:tcMar>
          </w:tcPr>
          <w:p>
            <w:r>
              <w:rPr>
                <w:rFonts w:ascii="Yu Gothic" w:cs="Yu Gothic" w:eastAsia="Yu Gothic" w:hAnsi="Yu Gothic"/>
                <w:b/>
                <w:bCs/>
                <w:sz w:val="19"/>
                <w:szCs w:val="19"/>
              </w:rPr>
              <w:t xml:space="preserve">株主</w:t>
            </w:r>
          </w:p>
        </w:tc>
        <w:tc>
          <w:tcPr>
            <w:tcW w:type="dxa" w:w="2500"/>
            <w:shd w:fill="DDE6F0" w:val="clear"/>
            <w:tcMar>
              <w:top w:type="dxa" w:w="60"/>
              <w:left w:type="dxa" w:w="100"/>
              <w:bottom w:type="dxa" w:w="60"/>
              <w:right w:type="dxa" w:w="100"/>
            </w:tcMar>
          </w:tcPr>
          <w:p>
            <w:r>
              <w:rPr>
                <w:rFonts w:ascii="Yu Gothic" w:cs="Yu Gothic" w:eastAsia="Yu Gothic" w:hAnsi="Yu Gothic"/>
                <w:b/>
                <w:bCs/>
                <w:sz w:val="19"/>
                <w:szCs w:val="19"/>
              </w:rPr>
              <w:t xml:space="preserve">帰結</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ケース1：固定給のみ</w:t>
            </w:r>
          </w:p>
        </w:tc>
        <w:tc>
          <w:tcPr>
            <w:tcW w:type="dxa" w:w="2400"/>
            <w:tcMar>
              <w:top w:type="dxa" w:w="60"/>
              <w:left w:type="dxa" w:w="100"/>
              <w:bottom w:type="dxa" w:w="60"/>
              <w:right w:type="dxa" w:w="100"/>
            </w:tcMar>
          </w:tcPr>
          <w:p>
            <w:r>
              <w:rPr>
                <w:rFonts w:ascii="Yu Mincho" w:cs="Yu Mincho" w:eastAsia="Yu Mincho" w:hAnsi="Yu Mincho"/>
                <w:sz w:val="19"/>
                <w:szCs w:val="19"/>
              </w:rPr>
              <w:t xml:space="preserve">インセンティブなし</w:t>
            </w:r>
          </w:p>
        </w:tc>
        <w:tc>
          <w:tcPr>
            <w:tcW w:type="dxa" w:w="2400"/>
            <w:tcMar>
              <w:top w:type="dxa" w:w="60"/>
              <w:left w:type="dxa" w:w="100"/>
              <w:bottom w:type="dxa" w:w="60"/>
              <w:right w:type="dxa" w:w="100"/>
            </w:tcMar>
          </w:tcPr>
          <w:p>
            <w:r>
              <w:rPr>
                <w:rFonts w:ascii="Yu Mincho" w:cs="Yu Mincho" w:eastAsia="Yu Mincho" w:hAnsi="Yu Mincho"/>
                <w:sz w:val="19"/>
                <w:szCs w:val="19"/>
              </w:rPr>
              <w:t xml:space="preserve">すべてのリスクを負担</w:t>
            </w:r>
          </w:p>
        </w:tc>
        <w:tc>
          <w:tcPr>
            <w:tcW w:type="dxa" w:w="2500"/>
            <w:tcMar>
              <w:top w:type="dxa" w:w="60"/>
              <w:left w:type="dxa" w:w="100"/>
              <w:bottom w:type="dxa" w:w="60"/>
              <w:right w:type="dxa" w:w="100"/>
            </w:tcMar>
          </w:tcPr>
          <w:p>
            <w:r>
              <w:rPr>
                <w:rFonts w:ascii="Yu Mincho" w:cs="Yu Mincho" w:eastAsia="Yu Mincho" w:hAnsi="Yu Mincho"/>
                <w:sz w:val="19"/>
                <w:szCs w:val="19"/>
              </w:rPr>
              <w:t xml:space="preserve">経営者のモラル・ハザードを誘発する</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ケース2：報酬をすべて業績連動</w:t>
            </w:r>
          </w:p>
        </w:tc>
        <w:tc>
          <w:tcPr>
            <w:tcW w:type="dxa" w:w="2400"/>
            <w:tcMar>
              <w:top w:type="dxa" w:w="60"/>
              <w:left w:type="dxa" w:w="100"/>
              <w:bottom w:type="dxa" w:w="60"/>
              <w:right w:type="dxa" w:w="100"/>
            </w:tcMar>
          </w:tcPr>
          <w:p>
            <w:r>
              <w:rPr>
                <w:rFonts w:ascii="Yu Mincho" w:cs="Yu Mincho" w:eastAsia="Yu Mincho" w:hAnsi="Yu Mincho"/>
                <w:sz w:val="19"/>
                <w:szCs w:val="19"/>
              </w:rPr>
              <w:t xml:space="preserve">インセンティブは大きいがリスク負担が過重</w:t>
            </w:r>
          </w:p>
        </w:tc>
        <w:tc>
          <w:tcPr>
            <w:tcW w:type="dxa" w:w="2400"/>
            <w:tcMar>
              <w:top w:type="dxa" w:w="60"/>
              <w:left w:type="dxa" w:w="100"/>
              <w:bottom w:type="dxa" w:w="60"/>
              <w:right w:type="dxa" w:w="100"/>
            </w:tcMar>
          </w:tcPr>
          <w:p>
            <w:r>
              <w:rPr>
                <w:rFonts w:ascii="Yu Mincho" w:cs="Yu Mincho" w:eastAsia="Yu Mincho" w:hAnsi="Yu Mincho"/>
                <w:sz w:val="19"/>
                <w:szCs w:val="19"/>
              </w:rPr>
              <w:t xml:space="preserve">リスクを経営者と分担する</w:t>
            </w:r>
          </w:p>
        </w:tc>
        <w:tc>
          <w:tcPr>
            <w:tcW w:type="dxa" w:w="2500"/>
            <w:tcMar>
              <w:top w:type="dxa" w:w="60"/>
              <w:left w:type="dxa" w:w="100"/>
              <w:bottom w:type="dxa" w:w="60"/>
              <w:right w:type="dxa" w:w="100"/>
            </w:tcMar>
          </w:tcPr>
          <w:p>
            <w:r>
              <w:rPr>
                <w:rFonts w:ascii="Yu Mincho" w:cs="Yu Mincho" w:eastAsia="Yu Mincho" w:hAnsi="Yu Mincho"/>
                <w:sz w:val="19"/>
                <w:szCs w:val="19"/>
              </w:rPr>
              <w:t xml:space="preserve">株主が選好するプロジェクトを経営者は実行せず、リスクの少ない経営に終始する可能性</w:t>
            </w:r>
          </w:p>
        </w:tc>
      </w:tr>
    </w:tbl>
    <w:p>
      <w:pPr>
        <w:spacing w:after="100"/>
      </w:pPr>
    </w:p>
    <w:p>
      <w:pPr>
        <w:spacing w:after="140" w:line="320"/>
        <w:jc w:val="left"/>
      </w:pPr>
      <w:r>
        <w:rPr>
          <w:rFonts w:ascii="Yu Mincho" w:cs="Yu Mincho" w:eastAsia="Yu Mincho" w:hAnsi="Yu Mincho"/>
          <w:sz w:val="21"/>
          <w:szCs w:val="21"/>
        </w:rPr>
        <w:t xml:space="preserve">効率的なインセンティブ契約の設定のポイントは、（1）リスク・シェアリング（経営者と株主がどの程度リスクを分担するか）と（2）インセンティブ提供、この2つの調和にある。「固定給」と「ボーナス」を組み合わせ、その比率を調整することによって経営者の意思決定をコントロールすることが可能になる。</w:t>
      </w:r>
    </w:p>
    <w:p>
      <w:pPr>
        <w:pStyle w:val="Heading2"/>
        <w:spacing w:after="160" w:before="360"/>
      </w:pPr>
      <w:r>
        <w:t xml:space="preserve">1.3　Point 2：インセンティブ効果の及ぶ範囲</w:t>
      </w:r>
    </w:p>
    <w:p>
      <w:pPr>
        <w:spacing w:after="140" w:line="320"/>
        <w:jc w:val="left"/>
      </w:pPr>
      <w:r>
        <w:rPr>
          <w:rFonts w:ascii="Yu Mincho" w:cs="Yu Mincho" w:eastAsia="Yu Mincho" w:hAnsi="Yu Mincho"/>
          <w:sz w:val="21"/>
          <w:szCs w:val="21"/>
        </w:rPr>
        <w:t xml:space="preserve">業績連動型のインセンティブ契約には、短期の業績にもとづいて報酬を決定するものと、長期の業績・指標にもとづいて報酬を決定するものがある。これは経営者の意思決定の範囲（時間軸）に影響を与える。</w:t>
      </w:r>
    </w:p>
    <w:p>
      <w:pPr>
        <w:pStyle w:val="ListParagraph"/>
        <w:numPr>
          <w:ilvl w:val="0"/>
          <w:numId w:val="2"/>
        </w:numPr>
        <w:spacing w:after="80" w:line="300"/>
      </w:pPr>
      <w:r>
        <w:rPr>
          <w:rFonts w:ascii="Yu Mincho" w:cs="Yu Mincho" w:eastAsia="Yu Mincho" w:hAnsi="Yu Mincho"/>
          <w:sz w:val="21"/>
          <w:szCs w:val="21"/>
        </w:rPr>
        <w:t xml:space="preserve">短期インセンティブ契約：年次の会計利益にもとづいて報酬額を決定するボーナス制度等。</w:t>
      </w:r>
    </w:p>
    <w:p>
      <w:pPr>
        <w:pStyle w:val="ListParagraph"/>
        <w:numPr>
          <w:ilvl w:val="0"/>
          <w:numId w:val="2"/>
        </w:numPr>
        <w:spacing w:after="80" w:line="300"/>
      </w:pPr>
      <w:r>
        <w:rPr>
          <w:rFonts w:ascii="Yu Mincho" w:cs="Yu Mincho" w:eastAsia="Yu Mincho" w:hAnsi="Yu Mincho"/>
          <w:sz w:val="21"/>
          <w:szCs w:val="21"/>
        </w:rPr>
        <w:t xml:space="preserve">長期インセンティブ契約：複数年の企業業績にもとづいて報酬を決定するパフォーマンス・ユニット、ストック・オプション等。</w:t>
      </w:r>
    </w:p>
    <w:p>
      <w:pPr>
        <w:spacing w:after="140" w:line="320"/>
        <w:jc w:val="left"/>
      </w:pPr>
      <w:r>
        <w:rPr>
          <w:rFonts w:ascii="Yu Mincho" w:cs="Yu Mincho" w:eastAsia="Yu Mincho" w:hAnsi="Yu Mincho"/>
          <w:sz w:val="21"/>
          <w:szCs w:val="21"/>
        </w:rPr>
        <w:t xml:space="preserve">短期の業績連動型報酬制度のみを採用している場合、研究開発費のような長期的に重要な支出を削減して短期的な利益を捻出するインセンティブが生じうる（近視眼的な意思決定の問題）。とくに経営者交代年度などには深刻な問題となりうる。対策は、短期と長期のインセンティブ・システムを併用すること（例：利益連動型ボーナス制度とストック・オプションの併用）である。</w:t>
      </w:r>
    </w:p>
    <w:p>
      <w:pPr>
        <w:pStyle w:val="Heading2"/>
        <w:spacing w:after="160" w:before="360"/>
      </w:pPr>
      <w:r>
        <w:t xml:space="preserve">1.4　Point 3：経営者の努力を測定する尺度</w:t>
      </w:r>
    </w:p>
    <w:p>
      <w:pPr>
        <w:spacing w:after="140" w:line="320"/>
        <w:jc w:val="left"/>
      </w:pPr>
      <w:r>
        <w:rPr>
          <w:rFonts w:ascii="Yu Mincho" w:cs="Yu Mincho" w:eastAsia="Yu Mincho" w:hAnsi="Yu Mincho"/>
          <w:sz w:val="21"/>
          <w:szCs w:val="21"/>
        </w:rPr>
        <w:t xml:space="preserve">経営者報酬制度で利用される一般的な企業業績尺度は①会計利益と②株価である。両者には一長一短がある。</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400"/>
        <w:gridCol w:w="34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評価軸</w:t>
            </w:r>
          </w:p>
        </w:tc>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会計利益</w:t>
            </w:r>
          </w:p>
        </w:tc>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株価</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業績尺度の操作可能性</w:t>
            </w:r>
          </w:p>
        </w:tc>
        <w:tc>
          <w:tcPr>
            <w:tcW w:type="dxa" w:w="3400"/>
            <w:tcMar>
              <w:top w:type="dxa" w:w="60"/>
              <w:left w:type="dxa" w:w="100"/>
              <w:bottom w:type="dxa" w:w="60"/>
              <w:right w:type="dxa" w:w="100"/>
            </w:tcMar>
          </w:tcPr>
          <w:p>
            <w:r>
              <w:rPr>
                <w:rFonts w:ascii="Yu Mincho" w:cs="Yu Mincho" w:eastAsia="Yu Mincho" w:hAnsi="Yu Mincho"/>
                <w:sz w:val="19"/>
                <w:szCs w:val="19"/>
              </w:rPr>
              <w:t xml:space="preserve">経営者の利益操作の可能性あり（×）</w:t>
            </w:r>
          </w:p>
        </w:tc>
        <w:tc>
          <w:tcPr>
            <w:tcW w:type="dxa" w:w="3400"/>
            <w:tcMar>
              <w:top w:type="dxa" w:w="60"/>
              <w:left w:type="dxa" w:w="100"/>
              <w:bottom w:type="dxa" w:w="60"/>
              <w:right w:type="dxa" w:w="100"/>
            </w:tcMar>
          </w:tcPr>
          <w:p>
            <w:r>
              <w:rPr>
                <w:rFonts w:ascii="Yu Mincho" w:cs="Yu Mincho" w:eastAsia="Yu Mincho" w:hAnsi="Yu Mincho"/>
                <w:sz w:val="19"/>
                <w:szCs w:val="19"/>
              </w:rPr>
              <w:t xml:space="preserve">恣意的操作は難しい（○）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業績尺度と経営者の努力との相関</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利益は経営者がほぼ管理可能であり、努力との相関が高い（○）</w:t>
            </w:r>
          </w:p>
        </w:tc>
        <w:tc>
          <w:tcPr>
            <w:tcW w:type="dxa" w:w="3400"/>
            <w:tcMar>
              <w:top w:type="dxa" w:w="60"/>
              <w:left w:type="dxa" w:w="100"/>
              <w:bottom w:type="dxa" w:w="60"/>
              <w:right w:type="dxa" w:w="100"/>
            </w:tcMar>
          </w:tcPr>
          <w:p>
            <w:r>
              <w:rPr>
                <w:rFonts w:ascii="Yu Mincho" w:cs="Yu Mincho" w:eastAsia="Yu Mincho" w:hAnsi="Yu Mincho"/>
                <w:sz w:val="19"/>
                <w:szCs w:val="19"/>
              </w:rPr>
              <w:t xml:space="preserve">経済環境の変化や仕手戦の影響を受ける可能性。努力との相関は低い（×）</w:t>
            </w:r>
          </w:p>
        </w:tc>
      </w:tr>
    </w:tbl>
    <w:p>
      <w:pPr>
        <w:spacing w:after="100"/>
      </w:pPr>
    </w:p>
    <w:p>
      <w:pPr>
        <w:spacing w:after="140" w:line="320"/>
        <w:jc w:val="left"/>
      </w:pPr>
      <w:r>
        <w:rPr>
          <w:rFonts w:ascii="Yu Mincho" w:cs="Yu Mincho" w:eastAsia="Yu Mincho" w:hAnsi="Yu Mincho"/>
          <w:sz w:val="21"/>
          <w:szCs w:val="21"/>
        </w:rPr>
        <w:t xml:space="preserve">したがって、複数の業績測定尺度にもとづくインセンティブ契約を併用することが効率的な設定のポイントとなる。</w:t>
      </w:r>
    </w:p>
    <w:p>
      <w:pPr>
        <w:pStyle w:val="Heading2"/>
        <w:spacing w:after="160" w:before="360"/>
      </w:pPr>
      <w:r>
        <w:t xml:space="preserve">1.5　米国企業の経営者報酬制度</w:t>
      </w:r>
    </w:p>
    <w:p>
      <w:pPr>
        <w:spacing w:after="140" w:line="320"/>
        <w:jc w:val="left"/>
      </w:pPr>
      <w:r>
        <w:rPr>
          <w:rFonts w:ascii="Yu Mincho" w:cs="Yu Mincho" w:eastAsia="Yu Mincho" w:hAnsi="Yu Mincho"/>
          <w:sz w:val="21"/>
          <w:szCs w:val="21"/>
        </w:rPr>
        <w:t xml:space="preserve">米国の一般的な経営者報酬契約パッケージは、①基本給（企業業績とは無関係に支払われる固定給）、②短期のインセンティブ契約（年1回の短期賞与）、③長期のインセンティブ契約（中長期的な事業・財務目標達成時に支払われる賞与）の3層構造からなる。経営者報酬の詳細は、株主総会招集通知（proxy statement）で開示され、上位5名のCEOの報酬額水準・パッケージ内訳が開示されるのが一般的である（例：コカ・コーラ社では、報酬方針・パッケージ内訳・各報酬プランの算定方式が明記されている）。</w:t>
      </w:r>
    </w:p>
    <w:p>
      <w:pPr>
        <w:pStyle w:val="Heading3"/>
        <w:spacing w:after="120" w:before="240"/>
      </w:pPr>
      <w:r>
        <w:t xml:space="preserve">日米欧CEO報酬比較（ウイリス・タワーズワトソン, 2025年調査）の特徴</w:t>
      </w:r>
    </w:p>
    <w:p>
      <w:pPr>
        <w:pStyle w:val="ListParagraph"/>
        <w:numPr>
          <w:ilvl w:val="0"/>
          <w:numId w:val="2"/>
        </w:numPr>
        <w:spacing w:after="80" w:line="300"/>
      </w:pPr>
      <w:r>
        <w:rPr>
          <w:rFonts w:ascii="Yu Mincho" w:cs="Yu Mincho" w:eastAsia="Yu Mincho" w:hAnsi="Yu Mincho"/>
          <w:sz w:val="21"/>
          <w:szCs w:val="21"/>
        </w:rPr>
        <w:t xml:space="preserve">米国の経営者報酬の水準額は他国と比較して非常に高い。</w:t>
      </w:r>
    </w:p>
    <w:p>
      <w:pPr>
        <w:pStyle w:val="ListParagraph"/>
        <w:numPr>
          <w:ilvl w:val="0"/>
          <w:numId w:val="2"/>
        </w:numPr>
        <w:spacing w:after="80" w:line="300"/>
      </w:pPr>
      <w:r>
        <w:rPr>
          <w:rFonts w:ascii="Yu Mincho" w:cs="Yu Mincho" w:eastAsia="Yu Mincho" w:hAnsi="Yu Mincho"/>
          <w:sz w:val="21"/>
          <w:szCs w:val="21"/>
        </w:rPr>
        <w:t xml:space="preserve">米国はインセンティブ報酬（長期＋短期）の割合が大きい：米国91％、英国79％、日本68％。</w:t>
      </w:r>
    </w:p>
    <w:p>
      <w:pPr>
        <w:pStyle w:val="ListParagraph"/>
        <w:numPr>
          <w:ilvl w:val="0"/>
          <w:numId w:val="2"/>
        </w:numPr>
        <w:spacing w:after="80" w:line="300"/>
      </w:pPr>
      <w:r>
        <w:rPr>
          <w:rFonts w:ascii="Yu Mincho" w:cs="Yu Mincho" w:eastAsia="Yu Mincho" w:hAnsi="Yu Mincho"/>
          <w:sz w:val="21"/>
          <w:szCs w:val="21"/>
        </w:rPr>
        <w:t xml:space="preserve">インセンティブ賞与の中でも、特に長期のインセンティブ報酬の割合が高い：米国73％、英国49％、日本33％。</w:t>
      </w:r>
    </w:p>
    <w:p>
      <w:pPr>
        <w:pStyle w:val="Heading3"/>
        <w:spacing w:after="120" w:before="240"/>
      </w:pPr>
      <w:r>
        <w:t xml:space="preserve">① 基本給</w:t>
      </w:r>
    </w:p>
    <w:p>
      <w:pPr>
        <w:spacing w:after="140" w:line="320"/>
        <w:jc w:val="left"/>
      </w:pPr>
      <w:r>
        <w:rPr>
          <w:rFonts w:ascii="Yu Mincho" w:cs="Yu Mincho" w:eastAsia="Yu Mincho" w:hAnsi="Yu Mincho"/>
          <w:sz w:val="21"/>
          <w:szCs w:val="21"/>
        </w:rPr>
        <w:t xml:space="preserve">業界平均とCEO個人の専門技術等を参考に決定され、業績と無関係に支払われる。具体例：同業他社の基本給の中央値を参考に、最低賃金をその中央値の20％減、最高金額を20％増とした範囲に収まるよう決定し、役員の職位と個人の実績・責任を反映しつつこの範囲内で決定する。評価：リスク・シェアリングなし、インセンティブ提供なし。</w:t>
      </w:r>
    </w:p>
    <w:p>
      <w:pPr>
        <w:pStyle w:val="Heading3"/>
        <w:spacing w:after="120" w:before="240"/>
      </w:pPr>
      <w:r>
        <w:t xml:space="preserve">② 短期のインセンティブ契約</w:t>
      </w:r>
    </w:p>
    <w:p>
      <w:pPr>
        <w:spacing w:after="140" w:line="320"/>
        <w:jc w:val="left"/>
      </w:pPr>
      <w:r>
        <w:rPr>
          <w:rFonts w:ascii="Yu Mincho" w:cs="Yu Mincho" w:eastAsia="Yu Mincho" w:hAnsi="Yu Mincho"/>
          <w:sz w:val="21"/>
          <w:szCs w:val="21"/>
        </w:rPr>
        <w:t xml:space="preserve">年1回の短期契約で、企業業績を図る尺度としては財務目標（1株当たり利益、収益成長率、フリー・キャッシュフロー等）が一般的。複数項目を併用する場合はウェイト付けが行われ、会計利益に連動させるボーナス制度が一般的である。米国の一般的なボーナス制度では、報酬支払額の上限（cap）と下限（bogey）が設けられている。評価：CEOがリスクを分担する。近視眼的な意思決定の問題が生じうる。業績尺度はほとんどの場合が会計利益。</w:t>
      </w:r>
    </w:p>
    <w:p>
      <w:pPr>
        <w:pStyle w:val="Heading3"/>
        <w:spacing w:after="120" w:before="240"/>
      </w:pPr>
      <w:r>
        <w:t xml:space="preserve">③ 長期のインセンティブ契約</w:t>
      </w:r>
    </w:p>
    <w:p>
      <w:pPr>
        <w:spacing w:after="140" w:line="320"/>
        <w:jc w:val="left"/>
      </w:pPr>
      <w:r>
        <w:rPr>
          <w:rFonts w:ascii="Yu Mincho" w:cs="Yu Mincho" w:eastAsia="Yu Mincho" w:hAnsi="Yu Mincho"/>
          <w:sz w:val="21"/>
          <w:szCs w:val="21"/>
        </w:rPr>
        <w:t xml:space="preserve">企業の長期的な成長・発展に対して報酬を与える契約で、一般に3〜7年の期間を対象とする。評価：CEOがリスクを分担する。長期の視点での意思決定を促す。業績尺度はほとんどの場合が株価。</w:t>
      </w:r>
    </w:p>
    <w:p>
      <w:pPr>
        <w:pStyle w:val="ListParagraph"/>
        <w:numPr>
          <w:ilvl w:val="0"/>
          <w:numId w:val="2"/>
        </w:numPr>
        <w:spacing w:after="80" w:line="300"/>
      </w:pPr>
      <w:r>
        <w:rPr>
          <w:rFonts w:ascii="Yu Mincho" w:cs="Yu Mincho" w:eastAsia="Yu Mincho" w:hAnsi="Yu Mincho"/>
          <w:sz w:val="21"/>
          <w:szCs w:val="21"/>
        </w:rPr>
        <w:t xml:space="preserve">株価にもとづくインセンティブ：ストック・オプション、譲渡制限付き株式。</w:t>
      </w:r>
    </w:p>
    <w:p>
      <w:pPr>
        <w:pStyle w:val="ListParagraph"/>
        <w:numPr>
          <w:ilvl w:val="0"/>
          <w:numId w:val="2"/>
        </w:numPr>
        <w:spacing w:after="80" w:line="300"/>
      </w:pPr>
      <w:r>
        <w:rPr>
          <w:rFonts w:ascii="Yu Mincho" w:cs="Yu Mincho" w:eastAsia="Yu Mincho" w:hAnsi="Yu Mincho"/>
          <w:sz w:val="21"/>
          <w:szCs w:val="21"/>
        </w:rPr>
        <w:t xml:space="preserve">パフォーマンス・ユニット：財務数値を用いた業績目標と実行期間（3〜5年）を設ける。</w:t>
      </w:r>
    </w:p>
    <w:p>
      <w:pPr>
        <w:pStyle w:val="Heading3"/>
        <w:spacing w:after="120" w:before="240"/>
      </w:pPr>
      <w:r>
        <w:t xml:space="preserve">米国企業の経営者報酬制度の総合評価</w:t>
      </w:r>
    </w:p>
    <w:p>
      <w:pPr>
        <w:pStyle w:val="ListParagraph"/>
        <w:numPr>
          <w:ilvl w:val="0"/>
          <w:numId w:val="5"/>
        </w:numPr>
        <w:spacing w:after="80" w:line="300"/>
      </w:pPr>
      <w:r>
        <w:rPr>
          <w:rFonts w:ascii="Yu Mincho" w:cs="Yu Mincho" w:eastAsia="Yu Mincho" w:hAnsi="Yu Mincho"/>
          <w:sz w:val="21"/>
          <w:szCs w:val="21"/>
        </w:rPr>
        <w:t xml:space="preserve">インセンティブの強度とリスクの大きさのバランス：固定給とインセンティブ賞与の組み合わせにより、インセンティブ提供と株主とのリスク・シェアリングが実現している。</w:t>
      </w:r>
    </w:p>
    <w:p>
      <w:pPr>
        <w:pStyle w:val="ListParagraph"/>
        <w:numPr>
          <w:ilvl w:val="0"/>
          <w:numId w:val="5"/>
        </w:numPr>
        <w:spacing w:after="80" w:line="300"/>
      </w:pPr>
      <w:r>
        <w:rPr>
          <w:rFonts w:ascii="Yu Mincho" w:cs="Yu Mincho" w:eastAsia="Yu Mincho" w:hAnsi="Yu Mincho"/>
          <w:sz w:val="21"/>
          <w:szCs w:val="21"/>
        </w:rPr>
        <w:t xml:space="preserve">インセンティブ効果の及ぶ範囲：短期（会計利益）と長期（株価）を組み合わせることで、経営者の近視眼的な意思決定の問題に対処している。</w:t>
      </w:r>
    </w:p>
    <w:p>
      <w:pPr>
        <w:pStyle w:val="ListParagraph"/>
        <w:numPr>
          <w:ilvl w:val="0"/>
          <w:numId w:val="5"/>
        </w:numPr>
        <w:spacing w:after="80" w:line="300"/>
      </w:pPr>
      <w:r>
        <w:rPr>
          <w:rFonts w:ascii="Yu Mincho" w:cs="Yu Mincho" w:eastAsia="Yu Mincho" w:hAnsi="Yu Mincho"/>
          <w:sz w:val="21"/>
          <w:szCs w:val="21"/>
        </w:rPr>
        <w:t xml:space="preserve">経営者の努力を測定する尺度：会計利益と株価を併用することで、各指標が有する問題点を軽減している。</w:t>
      </w:r>
    </w:p>
    <w:p>
      <w:pPr>
        <w:spacing w:after="140" w:line="320"/>
        <w:jc w:val="left"/>
      </w:pPr>
      <w:r>
        <w:rPr>
          <w:rFonts w:ascii="Yu Mincho" w:cs="Yu Mincho" w:eastAsia="Yu Mincho" w:hAnsi="Yu Mincho"/>
          <w:sz w:val="21"/>
          <w:szCs w:val="21"/>
        </w:rPr>
        <w:t xml:space="preserve">⇒米国企業の経営者報酬制度は3つのポイントを考慮した効率的なパッケージとなっており、会計情報が重要な役割を果たしていることがわかる。</w:t>
      </w:r>
    </w:p>
    <w:p>
      <w:pPr>
        <w:pStyle w:val="Heading2"/>
        <w:spacing w:after="160" w:before="360"/>
      </w:pPr>
      <w:r>
        <w:t xml:space="preserve">1.6　経営者報酬に関する実証研究</w:t>
      </w:r>
    </w:p>
    <w:p>
      <w:pPr>
        <w:pStyle w:val="ListParagraph"/>
        <w:numPr>
          <w:ilvl w:val="0"/>
          <w:numId w:val="2"/>
        </w:numPr>
        <w:spacing w:after="80" w:line="300"/>
      </w:pPr>
      <w:r>
        <w:rPr>
          <w:rFonts w:ascii="Yu Mincho" w:cs="Yu Mincho" w:eastAsia="Yu Mincho" w:hAnsi="Yu Mincho"/>
          <w:sz w:val="21"/>
          <w:szCs w:val="21"/>
        </w:rPr>
        <w:t xml:space="preserve">経営者報酬は会計利益の増減に応じて決定される（Murphy, 1998；乙政, 2004）。</w:t>
      </w:r>
    </w:p>
    <w:p>
      <w:pPr>
        <w:pStyle w:val="ListParagraph"/>
        <w:numPr>
          <w:ilvl w:val="0"/>
          <w:numId w:val="2"/>
        </w:numPr>
        <w:spacing w:after="80" w:line="300"/>
      </w:pPr>
      <w:r>
        <w:rPr>
          <w:rFonts w:ascii="Yu Mincho" w:cs="Yu Mincho" w:eastAsia="Yu Mincho" w:hAnsi="Yu Mincho"/>
          <w:sz w:val="21"/>
          <w:szCs w:val="21"/>
        </w:rPr>
        <w:t xml:space="preserve">経営者の雇用期間が限定的な場合（定年退職を控えている等）、研究開発費を裁量的にカットするなど近視眼的な意思決定の問題が発生する（Dechow and Sloan, 1991）。</w:t>
      </w:r>
    </w:p>
    <w:p>
      <w:pPr>
        <w:pStyle w:val="ListParagraph"/>
        <w:numPr>
          <w:ilvl w:val="0"/>
          <w:numId w:val="2"/>
        </w:numPr>
        <w:spacing w:after="80" w:line="300"/>
      </w:pPr>
      <w:r>
        <w:rPr>
          <w:rFonts w:ascii="Yu Mincho" w:cs="Yu Mincho" w:eastAsia="Yu Mincho" w:hAnsi="Yu Mincho"/>
          <w:sz w:val="21"/>
          <w:szCs w:val="21"/>
        </w:rPr>
        <w:t xml:space="preserve">会計利益と株価を比較すると、会計利益のほうが経営者の現金報酬と関連性が高い。ただし成長企業では株価を重視する（Lambert and Larcker, 1987）。</w:t>
      </w:r>
    </w:p>
    <w:p>
      <w:pPr>
        <w:pStyle w:val="ListParagraph"/>
        <w:numPr>
          <w:ilvl w:val="0"/>
          <w:numId w:val="2"/>
        </w:numPr>
        <w:spacing w:after="80" w:line="300"/>
      </w:pPr>
      <w:r>
        <w:rPr>
          <w:rFonts w:ascii="Yu Mincho" w:cs="Yu Mincho" w:eastAsia="Yu Mincho" w:hAnsi="Yu Mincho"/>
          <w:sz w:val="21"/>
          <w:szCs w:val="21"/>
        </w:rPr>
        <w:t xml:space="preserve">経営者報酬契約に会計利益が利用されるのは、株価に経営者の努力以外のノイズが含まれているためである（Sloan, 1993）。</w:t>
      </w:r>
    </w:p>
    <w:p>
      <w:pPr>
        <w:pStyle w:val="ListParagraph"/>
        <w:numPr>
          <w:ilvl w:val="0"/>
          <w:numId w:val="2"/>
        </w:numPr>
        <w:spacing w:after="80" w:line="300"/>
      </w:pPr>
      <w:r>
        <w:rPr>
          <w:rFonts w:ascii="Yu Mincho" w:cs="Yu Mincho" w:eastAsia="Yu Mincho" w:hAnsi="Yu Mincho"/>
          <w:sz w:val="21"/>
          <w:szCs w:val="21"/>
        </w:rPr>
        <w:t xml:space="preserve">個別企業の業績のみに連動させるより、産業業績等と相対比較（相対業績評価）したほうがインセンティブ契約の効率性が高まる（Antle and Smith, 1985；Gibbons and Murphy, 1990）。ただし相対業績評価は日本では観察されない（Joh, 1999；首藤, 2002；乙政, 2004）。</w:t>
      </w:r>
    </w:p>
    <w:p>
      <w:pPr>
        <w:pStyle w:val="ListParagraph"/>
        <w:numPr>
          <w:ilvl w:val="0"/>
          <w:numId w:val="2"/>
        </w:numPr>
        <w:spacing w:after="80" w:line="300"/>
      </w:pPr>
      <w:r>
        <w:rPr>
          <w:rFonts w:ascii="Yu Mincho" w:cs="Yu Mincho" w:eastAsia="Yu Mincho" w:hAnsi="Yu Mincho"/>
          <w:sz w:val="21"/>
          <w:szCs w:val="21"/>
        </w:rPr>
        <w:t xml:space="preserve">利益に連動するボーナス制度を採用している企業ほど将来の業績（自己資本利益率）が改善する（Abowd, 1990）。</w:t>
      </w:r>
    </w:p>
    <w:p>
      <w:pPr>
        <w:pStyle w:val="ListParagraph"/>
        <w:numPr>
          <w:ilvl w:val="0"/>
          <w:numId w:val="2"/>
        </w:numPr>
        <w:spacing w:after="80" w:line="300"/>
      </w:pPr>
      <w:r>
        <w:rPr>
          <w:rFonts w:ascii="Yu Mincho" w:cs="Yu Mincho" w:eastAsia="Yu Mincho" w:hAnsi="Yu Mincho"/>
          <w:sz w:val="21"/>
          <w:szCs w:val="21"/>
        </w:rPr>
        <w:t xml:space="preserve">パフォーマンス制度採用の情報は証券市場にグッド・ニュースとして受け入れられる（Larcker, 1983）。</w:t>
      </w:r>
    </w:p>
    <w:p>
      <w:pPr>
        <w:pStyle w:val="ListParagraph"/>
        <w:numPr>
          <w:ilvl w:val="0"/>
          <w:numId w:val="2"/>
        </w:numPr>
        <w:spacing w:after="80" w:line="300"/>
      </w:pPr>
      <w:r>
        <w:rPr>
          <w:rFonts w:ascii="Yu Mincho" w:cs="Yu Mincho" w:eastAsia="Yu Mincho" w:hAnsi="Yu Mincho"/>
          <w:sz w:val="21"/>
          <w:szCs w:val="21"/>
        </w:rPr>
        <w:t xml:space="preserve">利益連動型報酬契約を結んでいる企業の経営者は、ボーナス受取額を最大化するような利益調整を行う（Healy, 1985；Shuto, 2007）。詳細は第6章で扱う。</w:t>
      </w:r>
    </w:p>
    <w:p>
      <w:pPr>
        <w:pStyle w:val="Heading2"/>
        <w:spacing w:after="160" w:before="360"/>
      </w:pPr>
      <w:r>
        <w:t xml:space="preserve">1.7　日本企業の経営者報酬制度の変遷</w:t>
      </w:r>
    </w:p>
    <w:p>
      <w:pPr>
        <w:pStyle w:val="Heading3"/>
        <w:spacing w:after="120" w:before="240"/>
      </w:pPr>
      <w:r>
        <w:t xml:space="preserve">1990年代までの日本の経営者報酬</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3200"/>
        <w:gridCol w:w="3200"/>
      </w:tblGrid>
      <w:tr>
        <w:trPr>
          <w:tblHeader/>
        </w:trPr>
        <w:tc>
          <w:tcPr>
            <w:tcW w:type="dxa" w:w="2800"/>
            <w:shd w:fill="DDE6F0" w:val="clear"/>
            <w:tcMar>
              <w:top w:type="dxa" w:w="60"/>
              <w:left w:type="dxa" w:w="100"/>
              <w:bottom w:type="dxa" w:w="60"/>
              <w:right w:type="dxa" w:w="100"/>
            </w:tcMar>
          </w:tcPr>
          <w:p>
            <w:r>
              <w:rPr>
                <w:rFonts w:ascii="Yu Gothic" w:cs="Yu Gothic" w:eastAsia="Yu Gothic" w:hAnsi="Yu Gothic"/>
                <w:b/>
                <w:bCs/>
                <w:sz w:val="19"/>
                <w:szCs w:val="19"/>
              </w:rPr>
              <w:t xml:space="preserve">報酬の内容</w:t>
            </w:r>
          </w:p>
        </w:tc>
        <w:tc>
          <w:tcPr>
            <w:tcW w:type="dxa" w:w="3200"/>
            <w:shd w:fill="DDE6F0" w:val="clear"/>
            <w:tcMar>
              <w:top w:type="dxa" w:w="60"/>
              <w:left w:type="dxa" w:w="100"/>
              <w:bottom w:type="dxa" w:w="60"/>
              <w:right w:type="dxa" w:w="100"/>
            </w:tcMar>
          </w:tcPr>
          <w:p>
            <w:r>
              <w:rPr>
                <w:rFonts w:ascii="Yu Gothic" w:cs="Yu Gothic" w:eastAsia="Yu Gothic" w:hAnsi="Yu Gothic"/>
                <w:b/>
                <w:bCs/>
                <w:sz w:val="19"/>
                <w:szCs w:val="19"/>
              </w:rPr>
              <w:t xml:space="preserve">日本</w:t>
            </w:r>
          </w:p>
        </w:tc>
        <w:tc>
          <w:tcPr>
            <w:tcW w:type="dxa" w:w="3200"/>
            <w:shd w:fill="DDE6F0" w:val="clear"/>
            <w:tcMar>
              <w:top w:type="dxa" w:w="60"/>
              <w:left w:type="dxa" w:w="100"/>
              <w:bottom w:type="dxa" w:w="60"/>
              <w:right w:type="dxa" w:w="100"/>
            </w:tcMar>
          </w:tcPr>
          <w:p>
            <w:r>
              <w:rPr>
                <w:rFonts w:ascii="Yu Gothic" w:cs="Yu Gothic" w:eastAsia="Yu Gothic" w:hAnsi="Yu Gothic"/>
                <w:b/>
                <w:bCs/>
                <w:sz w:val="19"/>
                <w:szCs w:val="19"/>
              </w:rPr>
              <w:t xml:space="preserve">アメリカ</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基本給</w:t>
            </w:r>
          </w:p>
        </w:tc>
        <w:tc>
          <w:tcPr>
            <w:tcW w:type="dxa" w:w="3200"/>
            <w:tcMar>
              <w:top w:type="dxa" w:w="60"/>
              <w:left w:type="dxa" w:w="100"/>
              <w:bottom w:type="dxa" w:w="60"/>
              <w:right w:type="dxa" w:w="100"/>
            </w:tcMar>
          </w:tcPr>
          <w:p>
            <w:r>
              <w:rPr>
                <w:rFonts w:ascii="Yu Mincho" w:cs="Yu Mincho" w:eastAsia="Yu Mincho" w:hAnsi="Yu Mincho"/>
                <w:sz w:val="19"/>
                <w:szCs w:val="19"/>
              </w:rPr>
              <w:t xml:space="preserve">50万〜70万ドル</w:t>
            </w:r>
          </w:p>
        </w:tc>
        <w:tc>
          <w:tcPr>
            <w:tcW w:type="dxa" w:w="3200"/>
            <w:tcMar>
              <w:top w:type="dxa" w:w="60"/>
              <w:left w:type="dxa" w:w="100"/>
              <w:bottom w:type="dxa" w:w="60"/>
              <w:right w:type="dxa" w:w="100"/>
            </w:tcMar>
          </w:tcPr>
          <w:p>
            <w:r>
              <w:rPr>
                <w:rFonts w:ascii="Yu Mincho" w:cs="Yu Mincho" w:eastAsia="Yu Mincho" w:hAnsi="Yu Mincho"/>
                <w:sz w:val="19"/>
                <w:szCs w:val="19"/>
              </w:rPr>
              <w:t xml:space="preserve">50万〜100万ドル</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年次ボーナス</w:t>
            </w:r>
          </w:p>
        </w:tc>
        <w:tc>
          <w:tcPr>
            <w:tcW w:type="dxa" w:w="3200"/>
            <w:tcMar>
              <w:top w:type="dxa" w:w="60"/>
              <w:left w:type="dxa" w:w="100"/>
              <w:bottom w:type="dxa" w:w="60"/>
              <w:right w:type="dxa" w:w="100"/>
            </w:tcMar>
          </w:tcPr>
          <w:p>
            <w:r>
              <w:rPr>
                <w:rFonts w:ascii="Yu Mincho" w:cs="Yu Mincho" w:eastAsia="Yu Mincho" w:hAnsi="Yu Mincho"/>
                <w:sz w:val="19"/>
                <w:szCs w:val="19"/>
              </w:rPr>
              <w:t xml:space="preserve">基本給の50〜100％（変動幅が小さい）</w:t>
            </w:r>
          </w:p>
        </w:tc>
        <w:tc>
          <w:tcPr>
            <w:tcW w:type="dxa" w:w="3200"/>
            <w:tcMar>
              <w:top w:type="dxa" w:w="60"/>
              <w:left w:type="dxa" w:w="100"/>
              <w:bottom w:type="dxa" w:w="60"/>
              <w:right w:type="dxa" w:w="100"/>
            </w:tcMar>
          </w:tcPr>
          <w:p>
            <w:r>
              <w:rPr>
                <w:rFonts w:ascii="Yu Mincho" w:cs="Yu Mincho" w:eastAsia="Yu Mincho" w:hAnsi="Yu Mincho"/>
                <w:sz w:val="19"/>
                <w:szCs w:val="19"/>
              </w:rPr>
              <w:t xml:space="preserve">基本給の50〜150％（変動幅が大きい）</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ストック・オプション</w:t>
            </w:r>
          </w:p>
        </w:tc>
        <w:tc>
          <w:tcPr>
            <w:tcW w:type="dxa" w:w="3200"/>
            <w:tcMar>
              <w:top w:type="dxa" w:w="60"/>
              <w:left w:type="dxa" w:w="100"/>
              <w:bottom w:type="dxa" w:w="60"/>
              <w:right w:type="dxa" w:w="100"/>
            </w:tcMar>
          </w:tcPr>
          <w:p>
            <w:r>
              <w:rPr>
                <w:rFonts w:ascii="Yu Mincho" w:cs="Yu Mincho" w:eastAsia="Yu Mincho" w:hAnsi="Yu Mincho"/>
                <w:sz w:val="19"/>
                <w:szCs w:val="19"/>
              </w:rPr>
              <w:t xml:space="preserve">1997年に導入。それ以前はなし</w:t>
            </w:r>
          </w:p>
        </w:tc>
        <w:tc>
          <w:tcPr>
            <w:tcW w:type="dxa" w:w="3200"/>
            <w:tcMar>
              <w:top w:type="dxa" w:w="60"/>
              <w:left w:type="dxa" w:w="100"/>
              <w:bottom w:type="dxa" w:w="60"/>
              <w:right w:type="dxa" w:w="100"/>
            </w:tcMar>
          </w:tcPr>
          <w:p>
            <w:r>
              <w:rPr>
                <w:rFonts w:ascii="Yu Mincho" w:cs="Yu Mincho" w:eastAsia="Yu Mincho" w:hAnsi="Yu Mincho"/>
                <w:sz w:val="19"/>
                <w:szCs w:val="19"/>
              </w:rPr>
              <w:t xml:space="preserve">高額、増加傾向（現在価値は基本給の50〜100％）</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他の長期インセンティブ契約</w:t>
            </w:r>
          </w:p>
        </w:tc>
        <w:tc>
          <w:tcPr>
            <w:tcW w:type="dxa" w:w="3200"/>
            <w:tcMar>
              <w:top w:type="dxa" w:w="60"/>
              <w:left w:type="dxa" w:w="100"/>
              <w:bottom w:type="dxa" w:w="60"/>
              <w:right w:type="dxa" w:w="100"/>
            </w:tcMar>
          </w:tcPr>
          <w:p>
            <w:r>
              <w:rPr>
                <w:rFonts w:ascii="Yu Mincho" w:cs="Yu Mincho" w:eastAsia="Yu Mincho" w:hAnsi="Yu Mincho"/>
                <w:sz w:val="19"/>
                <w:szCs w:val="19"/>
              </w:rPr>
              <w:t xml:space="preserve">なし</w:t>
            </w:r>
          </w:p>
        </w:tc>
        <w:tc>
          <w:tcPr>
            <w:tcW w:type="dxa" w:w="3200"/>
            <w:tcMar>
              <w:top w:type="dxa" w:w="60"/>
              <w:left w:type="dxa" w:w="100"/>
              <w:bottom w:type="dxa" w:w="60"/>
              <w:right w:type="dxa" w:w="100"/>
            </w:tcMar>
          </w:tcPr>
          <w:p>
            <w:r>
              <w:rPr>
                <w:rFonts w:ascii="Yu Mincho" w:cs="Yu Mincho" w:eastAsia="Yu Mincho" w:hAnsi="Yu Mincho"/>
                <w:sz w:val="19"/>
                <w:szCs w:val="19"/>
              </w:rPr>
              <w:t xml:space="preserve">ほとんどの企業が採用（基本給の25〜50％）</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年金</w:t>
            </w:r>
          </w:p>
        </w:tc>
        <w:tc>
          <w:tcPr>
            <w:tcW w:type="dxa" w:w="3200"/>
            <w:tcMar>
              <w:top w:type="dxa" w:w="60"/>
              <w:left w:type="dxa" w:w="100"/>
              <w:bottom w:type="dxa" w:w="60"/>
              <w:right w:type="dxa" w:w="100"/>
            </w:tcMar>
          </w:tcPr>
          <w:p>
            <w:r>
              <w:rPr>
                <w:rFonts w:ascii="Yu Mincho" w:cs="Yu Mincho" w:eastAsia="Yu Mincho" w:hAnsi="Yu Mincho"/>
                <w:sz w:val="19"/>
                <w:szCs w:val="19"/>
              </w:rPr>
              <w:t xml:space="preserve">手厚く支給</w:t>
            </w:r>
          </w:p>
        </w:tc>
        <w:tc>
          <w:tcPr>
            <w:tcW w:type="dxa" w:w="3200"/>
            <w:tcMar>
              <w:top w:type="dxa" w:w="60"/>
              <w:left w:type="dxa" w:w="100"/>
              <w:bottom w:type="dxa" w:w="60"/>
              <w:right w:type="dxa" w:w="100"/>
            </w:tcMar>
          </w:tcPr>
          <w:p>
            <w:r>
              <w:rPr>
                <w:rFonts w:ascii="Yu Mincho" w:cs="Yu Mincho" w:eastAsia="Yu Mincho" w:hAnsi="Yu Mincho"/>
                <w:sz w:val="19"/>
                <w:szCs w:val="19"/>
              </w:rPr>
              <w:t xml:space="preserve">手厚く支給</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フリンジ・ベネフィット</w:t>
            </w:r>
          </w:p>
        </w:tc>
        <w:tc>
          <w:tcPr>
            <w:tcW w:type="dxa" w:w="3200"/>
            <w:tcMar>
              <w:top w:type="dxa" w:w="60"/>
              <w:left w:type="dxa" w:w="100"/>
              <w:bottom w:type="dxa" w:w="60"/>
              <w:right w:type="dxa" w:w="100"/>
            </w:tcMar>
          </w:tcPr>
          <w:p>
            <w:r>
              <w:rPr>
                <w:rFonts w:ascii="Yu Mincho" w:cs="Yu Mincho" w:eastAsia="Yu Mincho" w:hAnsi="Yu Mincho"/>
                <w:sz w:val="19"/>
                <w:szCs w:val="19"/>
              </w:rPr>
              <w:t xml:space="preserve">あり</w:t>
            </w:r>
          </w:p>
        </w:tc>
        <w:tc>
          <w:tcPr>
            <w:tcW w:type="dxa" w:w="3200"/>
            <w:tcMar>
              <w:top w:type="dxa" w:w="60"/>
              <w:left w:type="dxa" w:w="100"/>
              <w:bottom w:type="dxa" w:w="60"/>
              <w:right w:type="dxa" w:w="100"/>
            </w:tcMar>
          </w:tcPr>
          <w:p>
            <w:r>
              <w:rPr>
                <w:rFonts w:ascii="Yu Mincho" w:cs="Yu Mincho" w:eastAsia="Yu Mincho" w:hAnsi="Yu Mincho"/>
                <w:sz w:val="19"/>
                <w:szCs w:val="19"/>
              </w:rPr>
              <w:t xml:space="preserve">あり</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住宅手当</w:t>
            </w:r>
          </w:p>
        </w:tc>
        <w:tc>
          <w:tcPr>
            <w:tcW w:type="dxa" w:w="3200"/>
            <w:tcMar>
              <w:top w:type="dxa" w:w="60"/>
              <w:left w:type="dxa" w:w="100"/>
              <w:bottom w:type="dxa" w:w="60"/>
              <w:right w:type="dxa" w:w="100"/>
            </w:tcMar>
          </w:tcPr>
          <w:p>
            <w:r>
              <w:rPr>
                <w:rFonts w:ascii="Yu Mincho" w:cs="Yu Mincho" w:eastAsia="Yu Mincho" w:hAnsi="Yu Mincho"/>
                <w:sz w:val="19"/>
                <w:szCs w:val="19"/>
              </w:rPr>
              <w:t xml:space="preserve">一般的で金額も多い</w:t>
            </w:r>
          </w:p>
        </w:tc>
        <w:tc>
          <w:tcPr>
            <w:tcW w:type="dxa" w:w="3200"/>
            <w:tcMar>
              <w:top w:type="dxa" w:w="60"/>
              <w:left w:type="dxa" w:w="100"/>
              <w:bottom w:type="dxa" w:w="60"/>
              <w:right w:type="dxa" w:w="100"/>
            </w:tcMar>
          </w:tcPr>
          <w:p>
            <w:r>
              <w:rPr>
                <w:rFonts w:ascii="Yu Mincho" w:cs="Yu Mincho" w:eastAsia="Yu Mincho" w:hAnsi="Yu Mincho"/>
                <w:sz w:val="19"/>
                <w:szCs w:val="19"/>
              </w:rPr>
              <w:t xml:space="preserve">ほとんどない</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他の役得</w:t>
            </w:r>
          </w:p>
        </w:tc>
        <w:tc>
          <w:tcPr>
            <w:tcW w:type="dxa" w:w="3200"/>
            <w:tcMar>
              <w:top w:type="dxa" w:w="60"/>
              <w:left w:type="dxa" w:w="100"/>
              <w:bottom w:type="dxa" w:w="60"/>
              <w:right w:type="dxa" w:w="100"/>
            </w:tcMar>
          </w:tcPr>
          <w:p>
            <w:r>
              <w:rPr>
                <w:rFonts w:ascii="Yu Mincho" w:cs="Yu Mincho" w:eastAsia="Yu Mincho" w:hAnsi="Yu Mincho"/>
                <w:sz w:val="19"/>
                <w:szCs w:val="19"/>
              </w:rPr>
              <w:t xml:space="preserve">多くて重要性が大きい（高額なゴルフ会員権等）</w:t>
            </w:r>
          </w:p>
        </w:tc>
        <w:tc>
          <w:tcPr>
            <w:tcW w:type="dxa" w:w="3200"/>
            <w:tcMar>
              <w:top w:type="dxa" w:w="60"/>
              <w:left w:type="dxa" w:w="100"/>
              <w:bottom w:type="dxa" w:w="60"/>
              <w:right w:type="dxa" w:w="100"/>
            </w:tcMar>
          </w:tcPr>
          <w:p>
            <w:r>
              <w:rPr>
                <w:rFonts w:ascii="Yu Mincho" w:cs="Yu Mincho" w:eastAsia="Yu Mincho" w:hAnsi="Yu Mincho"/>
                <w:sz w:val="19"/>
                <w:szCs w:val="19"/>
              </w:rPr>
              <w:t xml:space="preserve">あるが減少傾向</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年次報酬の概算</w:t>
            </w:r>
          </w:p>
        </w:tc>
        <w:tc>
          <w:tcPr>
            <w:tcW w:type="dxa" w:w="3200"/>
            <w:tcMar>
              <w:top w:type="dxa" w:w="60"/>
              <w:left w:type="dxa" w:w="100"/>
              <w:bottom w:type="dxa" w:w="60"/>
              <w:right w:type="dxa" w:w="100"/>
            </w:tcMar>
          </w:tcPr>
          <w:p>
            <w:r>
              <w:rPr>
                <w:rFonts w:ascii="Yu Mincho" w:cs="Yu Mincho" w:eastAsia="Yu Mincho" w:hAnsi="Yu Mincho"/>
                <w:sz w:val="19"/>
                <w:szCs w:val="19"/>
              </w:rPr>
              <w:t xml:space="preserve">100万〜200万ドル</w:t>
            </w:r>
          </w:p>
        </w:tc>
        <w:tc>
          <w:tcPr>
            <w:tcW w:type="dxa" w:w="3200"/>
            <w:tcMar>
              <w:top w:type="dxa" w:w="60"/>
              <w:left w:type="dxa" w:w="100"/>
              <w:bottom w:type="dxa" w:w="60"/>
              <w:right w:type="dxa" w:w="100"/>
            </w:tcMar>
          </w:tcPr>
          <w:p>
            <w:r>
              <w:rPr>
                <w:rFonts w:ascii="Yu Mincho" w:cs="Yu Mincho" w:eastAsia="Yu Mincho" w:hAnsi="Yu Mincho"/>
                <w:sz w:val="19"/>
                <w:szCs w:val="19"/>
              </w:rPr>
              <w:t xml:space="preserve">300万〜500万ドル</w:t>
            </w:r>
          </w:p>
        </w:tc>
      </w:tr>
    </w:tbl>
    <w:p>
      <w:pPr>
        <w:spacing w:after="160"/>
      </w:pPr>
      <w:r>
        <w:rPr>
          <w:rFonts w:ascii="Yu Mincho" w:cs="Yu Mincho" w:eastAsia="Yu Mincho" w:hAnsi="Yu Mincho"/>
          <w:i/>
          <w:iCs/>
          <w:color w:val="666666"/>
          <w:sz w:val="16"/>
          <w:szCs w:val="16"/>
        </w:rPr>
        <w:t xml:space="preserve">出所: Key (1998), p.57; 須田（2000）, 97頁より作成。</w:t>
      </w:r>
    </w:p>
    <w:p>
      <w:pPr>
        <w:spacing w:after="140" w:line="320"/>
        <w:jc w:val="left"/>
      </w:pPr>
      <w:r>
        <w:rPr>
          <w:rFonts w:ascii="Yu Mincho" w:cs="Yu Mincho" w:eastAsia="Yu Mincho" w:hAnsi="Yu Mincho"/>
          <w:sz w:val="21"/>
          <w:szCs w:val="21"/>
        </w:rPr>
        <w:t xml:space="preserve">1990年代の日本企業の年次ボーナスは変動幅が小さくインセンティブ報酬としての役割が乏しく、長期インセンティブ契約（ストック・オプション等）を設けている企業もほとんど存在しなかった。日本企業の経営者報酬は役員報酬・役員賞与・役員退職慰労金からなり、通常は株主総会の決議で（総額のみ）決定され、個々の役員への配分は取締役会で決められていた。⇒1990年代の日本の経営者報酬の大半は、形式的なインセンティブ報酬としての性格を有しておらず、情報開示の面でも大きく立ち遅れていた。</w:t>
      </w:r>
    </w:p>
    <w:p>
      <w:pPr>
        <w:pStyle w:val="Heading3"/>
        <w:spacing w:after="120" w:before="240"/>
      </w:pPr>
      <w:r>
        <w:t xml:space="preserve">近年の環境変化</w:t>
      </w:r>
    </w:p>
    <w:p>
      <w:pPr>
        <w:pStyle w:val="ListParagraph"/>
        <w:numPr>
          <w:ilvl w:val="0"/>
          <w:numId w:val="2"/>
        </w:numPr>
        <w:spacing w:after="80" w:line="300"/>
      </w:pPr>
      <w:r>
        <w:rPr>
          <w:rFonts w:ascii="Yu Mincho" w:cs="Yu Mincho" w:eastAsia="Yu Mincho" w:hAnsi="Yu Mincho"/>
          <w:sz w:val="21"/>
          <w:szCs w:val="21"/>
        </w:rPr>
        <w:t xml:space="preserve">株主価値を重視した経営の重視：コーポレート・ガバナンスの整備。</w:t>
      </w:r>
    </w:p>
    <w:p>
      <w:pPr>
        <w:pStyle w:val="ListParagraph"/>
        <w:numPr>
          <w:ilvl w:val="0"/>
          <w:numId w:val="2"/>
        </w:numPr>
        <w:spacing w:after="80" w:line="300"/>
      </w:pPr>
      <w:r>
        <w:rPr>
          <w:rFonts w:ascii="Yu Mincho" w:cs="Yu Mincho" w:eastAsia="Yu Mincho" w:hAnsi="Yu Mincho"/>
          <w:sz w:val="21"/>
          <w:szCs w:val="21"/>
        </w:rPr>
        <w:t xml:space="preserve">ストック・オプションの導入（1997年）：長期インセンティブ契約の主要な項目に。</w:t>
      </w:r>
    </w:p>
    <w:p>
      <w:pPr>
        <w:pStyle w:val="ListParagraph"/>
        <w:numPr>
          <w:ilvl w:val="0"/>
          <w:numId w:val="2"/>
        </w:numPr>
        <w:spacing w:after="80" w:line="300"/>
      </w:pPr>
      <w:r>
        <w:rPr>
          <w:rFonts w:ascii="Yu Mincho" w:cs="Yu Mincho" w:eastAsia="Yu Mincho" w:hAnsi="Yu Mincho"/>
          <w:sz w:val="21"/>
          <w:szCs w:val="21"/>
        </w:rPr>
        <w:t xml:space="preserve">固定的な後払い報酬である退職慰労金を見直す企業の増加。</w:t>
      </w:r>
    </w:p>
    <w:p>
      <w:pPr>
        <w:pStyle w:val="ListParagraph"/>
        <w:numPr>
          <w:ilvl w:val="0"/>
          <w:numId w:val="2"/>
        </w:numPr>
        <w:spacing w:after="80" w:line="300"/>
      </w:pPr>
      <w:r>
        <w:rPr>
          <w:rFonts w:ascii="Yu Mincho" w:cs="Yu Mincho" w:eastAsia="Yu Mincho" w:hAnsi="Yu Mincho"/>
          <w:sz w:val="21"/>
          <w:szCs w:val="21"/>
        </w:rPr>
        <w:t xml:space="preserve">「役員賞与に関する会計基準」の整備（2005年）：役員賞与が従来の利益処分項目から費用計上に。</w:t>
      </w:r>
    </w:p>
    <w:p>
      <w:pPr>
        <w:pStyle w:val="ListParagraph"/>
        <w:numPr>
          <w:ilvl w:val="0"/>
          <w:numId w:val="2"/>
        </w:numPr>
        <w:spacing w:after="80" w:line="300"/>
      </w:pPr>
      <w:r>
        <w:rPr>
          <w:rFonts w:ascii="Yu Mincho" w:cs="Yu Mincho" w:eastAsia="Yu Mincho" w:hAnsi="Yu Mincho"/>
          <w:sz w:val="21"/>
          <w:szCs w:val="21"/>
        </w:rPr>
        <w:t xml:space="preserve">役員報酬1億円以上の開示義務化（2010年3月期決算より、改正企業内容等の開示に関する内閣府令）：報酬等の総額・種類別（基本報酬・ストックオプション・賞与・退職慰労金等）総額を有価証券報告書に記載。</w:t>
      </w:r>
    </w:p>
    <w:p>
      <w:pPr>
        <w:pStyle w:val="ListParagraph"/>
        <w:numPr>
          <w:ilvl w:val="0"/>
          <w:numId w:val="2"/>
        </w:numPr>
        <w:spacing w:after="80" w:line="300"/>
      </w:pPr>
      <w:r>
        <w:rPr>
          <w:rFonts w:ascii="Yu Mincho" w:cs="Yu Mincho" w:eastAsia="Yu Mincho" w:hAnsi="Yu Mincho"/>
          <w:sz w:val="21"/>
          <w:szCs w:val="21"/>
        </w:rPr>
        <w:t xml:space="preserve">2019年1月改正内閣府令の施行：報酬額等の決定方針、業績連動報酬、株主総会決議、報酬委員会等の活動内容などの開示項目が拡充。</w:t>
      </w:r>
    </w:p>
    <w:p>
      <w:pPr>
        <w:spacing w:after="140" w:line="320"/>
        <w:jc w:val="left"/>
      </w:pPr>
      <w:r>
        <w:rPr>
          <w:rFonts w:ascii="Yu Mincho" w:cs="Yu Mincho" w:eastAsia="Yu Mincho" w:hAnsi="Yu Mincho"/>
          <w:sz w:val="21"/>
          <w:szCs w:val="21"/>
        </w:rPr>
        <w:t xml:space="preserve">⇒2000年代以降、日本企業の経営者報酬制度はインセンティブ報酬としての性格を強め、米国と類似した制度への移行が進んでいる（①短期のインセンティブ契約、②長期のインセンティブ契約、③経営者報酬の開示、の3点で変化）。もっとも、経済産業省（2015）「日本と海外の役員報酬の実態及び制度等に関する調査報告書」やデロイトトーマツグループ（2019）「役員報酬サーベイ2019年版」によれば、長期インセンティブ導入企業の比率は上昇傾向にあるが米国と比較すると導入は進んでいない（導入企業ではストックオプションが多いが、譲渡制限付株式・株式交付信託も今後増加が見込まれる）。取締役報酬の開示手段は有価証券報告書が最多だが、明文化された報酬ポリシーを開示している企業は「報酬の目的」「重視する項目」で20％台にとどまり、多くは「明文化された方針は存在するが非開示」「方針自体が存在しない」という状況にある。</w:t>
      </w:r>
    </w:p>
    <w:p>
      <w:pPr>
        <w:pStyle w:val="Heading2"/>
        <w:spacing w:after="160" w:before="360"/>
      </w:pPr>
      <w:r>
        <w:t xml:space="preserve">1.8　日本企業の経営者報酬開示の実態：資生堂とHOYAの事例</w:t>
      </w:r>
    </w:p>
    <w:p>
      <w:pPr>
        <w:spacing w:after="140" w:line="320"/>
        <w:jc w:val="left"/>
      </w:pPr>
      <w:r>
        <w:rPr>
          <w:rFonts w:ascii="Yu Mincho" w:cs="Yu Mincho" w:eastAsia="Yu Mincho" w:hAnsi="Yu Mincho"/>
          <w:sz w:val="21"/>
          <w:szCs w:val="21"/>
        </w:rPr>
        <w:t xml:space="preserve">米国では経営者報酬の詳細が株主総会招集通知（proxy statement）で開示されるが、日本ではそのような開示はほとんど見られなかった。2010年の株主総会から多少見られるようになった背景には、有価証券報告書での1億円以上役員情報の開示義務化があり、これに先行する形で招集通知での開示企業が増加した（日本経済新聞2010年6月15日）。</w:t>
      </w:r>
    </w:p>
    <w:p>
      <w:pPr>
        <w:pStyle w:val="ListParagraph"/>
        <w:numPr>
          <w:ilvl w:val="0"/>
          <w:numId w:val="2"/>
        </w:numPr>
        <w:spacing w:after="80" w:line="300"/>
      </w:pPr>
      <w:r>
        <w:rPr>
          <w:rFonts w:ascii="Yu Mincho" w:cs="Yu Mincho" w:eastAsia="Yu Mincho" w:hAnsi="Yu Mincho"/>
          <w:sz w:val="21"/>
          <w:szCs w:val="21"/>
        </w:rPr>
        <w:t xml:space="preserve">資生堂：招集通知で3役員の報酬を開示。固定給と賞与のバランスは40％対60％、インセンティブ報酬の内訳は短期・中期・長期の報酬契約を併用、固定報酬は同業他社水準を考慮、退職慰労金は廃止。</w:t>
      </w:r>
    </w:p>
    <w:p>
      <w:pPr>
        <w:pStyle w:val="ListParagraph"/>
        <w:numPr>
          <w:ilvl w:val="0"/>
          <w:numId w:val="2"/>
        </w:numPr>
        <w:spacing w:after="80" w:line="300"/>
      </w:pPr>
      <w:r>
        <w:rPr>
          <w:rFonts w:ascii="Yu Mincho" w:cs="Yu Mincho" w:eastAsia="Yu Mincho" w:hAnsi="Yu Mincho"/>
          <w:sz w:val="21"/>
          <w:szCs w:val="21"/>
        </w:rPr>
        <w:t xml:space="preserve">全日空：招集通知で役員報酬の決定方針を先行開示（「業績との連動性を高め、株主価値の向上に資するように努める」）。</w:t>
      </w:r>
    </w:p>
    <w:p>
      <w:pPr>
        <w:pStyle w:val="ListParagraph"/>
        <w:numPr>
          <w:ilvl w:val="0"/>
          <w:numId w:val="2"/>
        </w:numPr>
        <w:spacing w:after="80" w:line="300"/>
      </w:pPr>
      <w:r>
        <w:rPr>
          <w:rFonts w:ascii="Yu Mincho" w:cs="Yu Mincho" w:eastAsia="Yu Mincho" w:hAnsi="Yu Mincho"/>
          <w:sz w:val="21"/>
          <w:szCs w:val="21"/>
        </w:rPr>
        <w:t xml:space="preserve">HOYA：2010年6月18日の第72期定時株主総会で15の株主提案が提出され、その1つが役員報酬の個別開示を求めるもの（定款一部変更）。株主側は「役員報酬を総額開示ではなく個々の役員ごとに開示し、モニタリングの観点から重要な開示としてほしい」と主張し、役員側は「報酬の総額開示だけで経営コストの面からは十分。個別開示は法令に準拠（1億円以上のみ）」と反論した。</w:t>
      </w:r>
    </w:p>
    <w:p>
      <w:pPr>
        <w:pStyle w:val="Heading2"/>
        <w:spacing w:after="160" w:before="360"/>
      </w:pPr>
      <w:r>
        <w:t xml:space="preserve">1.9　ケーススタディ</w:t>
      </w:r>
    </w:p>
    <w:p>
      <w:pPr>
        <w:pStyle w:val="Heading3"/>
        <w:spacing w:after="120" w:before="240"/>
      </w:pPr>
      <w:r>
        <w:t xml:space="preserve">ケース課題1：A社（富士通）の評価</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課題文</w:t>
            </w:r>
          </w:p>
          <w:p>
            <w:pPr>
              <w:spacing w:line="300"/>
            </w:pPr>
            <w:r>
              <w:rPr>
                <w:rFonts w:ascii="Yu Mincho" w:cs="Yu Mincho" w:eastAsia="Yu Mincho" w:hAnsi="Yu Mincho"/>
                <w:sz w:val="20"/>
                <w:szCs w:val="20"/>
              </w:rPr>
              <w:t xml:space="preserve">日本企業のA社は、これまでの硬直的な経営者報酬制度を見直し、インセンティブ報酬制度を導入することにした。具体的には、役員に支払う賞与の総額を個別財務諸表における税引後当期純利益の0.4％とする制度を採用した。この他には、月次の固定給として給与が支払われている。給与の額は、従来通り、業界の平均値を参考にして決定されている。また退任後報酬（退任慰労金）は業界内で高い水準にある。</w:t>
            </w:r>
          </w:p>
        </w:tc>
      </w:tr>
    </w:tbl>
    <w:p>
      <w:pPr>
        <w:spacing w:after="100"/>
      </w:pPr>
    </w:p>
    <w:p>
      <w:pPr>
        <w:spacing w:after="140" w:line="320"/>
        <w:jc w:val="left"/>
      </w:pPr>
      <w:r>
        <w:rPr>
          <w:rFonts w:ascii="Yu Mincho" w:cs="Yu Mincho" w:eastAsia="Yu Mincho" w:hAnsi="Yu Mincho"/>
          <w:sz w:val="21"/>
          <w:szCs w:val="21"/>
        </w:rPr>
        <w:t xml:space="preserve">A社＝富士通（日本経済新聞1998年6月24日）。導入の最大の理由は役員の経営責任の明確化とコーポレート・ガバナンス改革の足場作りであり、まずストック・オプションではなく短期報酬である役員賞与から着手した点に独自の意思が感じられる。また社員には厳しい研修制度と年功序列を排除した成果主義を採用（社員へのメッセージという側面）。</w:t>
      </w:r>
    </w:p>
    <w:p>
      <w:pPr>
        <w:spacing w:after="140" w:line="320"/>
        <w:jc w:val="left"/>
      </w:pPr>
      <w:r>
        <w:rPr>
          <w:rFonts w:ascii="Yu Mincho" w:cs="Yu Mincho" w:eastAsia="Yu Mincho" w:hAnsi="Yu Mincho"/>
          <w:sz w:val="21"/>
          <w:szCs w:val="21"/>
        </w:rPr>
        <w:t xml:space="preserve">3つのポイントに沿った評価：</w:t>
      </w:r>
    </w:p>
    <w:p>
      <w:pPr>
        <w:pStyle w:val="ListParagraph"/>
        <w:numPr>
          <w:ilvl w:val="0"/>
          <w:numId w:val="6"/>
        </w:numPr>
        <w:spacing w:after="80" w:line="300"/>
      </w:pPr>
      <w:r>
        <w:rPr>
          <w:rFonts w:ascii="Yu Mincho" w:cs="Yu Mincho" w:eastAsia="Yu Mincho" w:hAnsi="Yu Mincho"/>
          <w:sz w:val="21"/>
          <w:szCs w:val="21"/>
        </w:rPr>
        <w:t xml:space="preserve">インセンティブの強度とリスクの大きさ：役員賞与をインセンティブ報酬として明確化したこと自体は、従来の硬直的な報酬体系からの改善として高く評価できる。</w:t>
      </w:r>
    </w:p>
    <w:p>
      <w:pPr>
        <w:pStyle w:val="ListParagraph"/>
        <w:numPr>
          <w:ilvl w:val="0"/>
          <w:numId w:val="6"/>
        </w:numPr>
        <w:spacing w:after="80" w:line="300"/>
      </w:pPr>
      <w:r>
        <w:rPr>
          <w:rFonts w:ascii="Yu Mincho" w:cs="Yu Mincho" w:eastAsia="Yu Mincho" w:hAnsi="Yu Mincho"/>
          <w:sz w:val="21"/>
          <w:szCs w:val="21"/>
        </w:rPr>
        <w:t xml:space="preserve">インセンティブ効果の及ぶ範囲：年次利益にもとづく短期のインセンティブ報酬のみで、長期のインセンティブ制度を導入していない。→短期の利益追求を重視しすぎる近視眼的意思決定の問題が発生する可能性がある。改善策：ストック・オプション等の長期インセンティブ契約の併用。</w:t>
      </w:r>
    </w:p>
    <w:p>
      <w:pPr>
        <w:pStyle w:val="ListParagraph"/>
        <w:numPr>
          <w:ilvl w:val="0"/>
          <w:numId w:val="6"/>
        </w:numPr>
        <w:spacing w:after="80" w:line="300"/>
      </w:pPr>
      <w:r>
        <w:rPr>
          <w:rFonts w:ascii="Yu Mincho" w:cs="Yu Mincho" w:eastAsia="Yu Mincho" w:hAnsi="Yu Mincho"/>
          <w:sz w:val="21"/>
          <w:szCs w:val="21"/>
        </w:rPr>
        <w:t xml:space="preserve">経営者の努力を測定する尺度：業績測定尺度が当期純利益のみ。→会計利益は操作の可能性があり、短期の業績指標に偏っている。改善策：企業の目標を明確化した上で、株価等の他の業績尺度を併用する。</w:t>
      </w:r>
    </w:p>
    <w:p>
      <w:pPr>
        <w:spacing w:after="140" w:line="320"/>
        <w:jc w:val="left"/>
      </w:pPr>
      <w:r>
        <w:rPr>
          <w:rFonts w:ascii="Yu Mincho" w:cs="Yu Mincho" w:eastAsia="Yu Mincho" w:hAnsi="Yu Mincho"/>
          <w:sz w:val="21"/>
          <w:szCs w:val="21"/>
        </w:rPr>
        <w:t xml:space="preserve">その他のポイント：</w:t>
      </w:r>
    </w:p>
    <w:p>
      <w:pPr>
        <w:pStyle w:val="ListParagraph"/>
        <w:numPr>
          <w:ilvl w:val="0"/>
          <w:numId w:val="2"/>
        </w:numPr>
        <w:spacing w:after="80" w:line="300"/>
      </w:pPr>
      <w:r>
        <w:rPr>
          <w:rFonts w:ascii="Yu Mincho" w:cs="Yu Mincho" w:eastAsia="Yu Mincho" w:hAnsi="Yu Mincho"/>
          <w:sz w:val="21"/>
          <w:szCs w:val="21"/>
        </w:rPr>
        <w:t xml:space="preserve">個別財務諸表の当期純利益を利用している→経営者は企業グループの経営に責任を持つため、連結業績指標も検討すべき。</w:t>
      </w:r>
    </w:p>
    <w:p>
      <w:pPr>
        <w:pStyle w:val="ListParagraph"/>
        <w:numPr>
          <w:ilvl w:val="0"/>
          <w:numId w:val="2"/>
        </w:numPr>
        <w:spacing w:after="80" w:line="300"/>
      </w:pPr>
      <w:r>
        <w:rPr>
          <w:rFonts w:ascii="Yu Mincho" w:cs="Yu Mincho" w:eastAsia="Yu Mincho" w:hAnsi="Yu Mincho"/>
          <w:sz w:val="21"/>
          <w:szCs w:val="21"/>
        </w:rPr>
        <w:t xml:space="preserve">ボーナス制度で上限（cap）と下限（bogey）を設定していない。</w:t>
      </w:r>
    </w:p>
    <w:p>
      <w:pPr>
        <w:pStyle w:val="ListParagraph"/>
        <w:numPr>
          <w:ilvl w:val="0"/>
          <w:numId w:val="2"/>
        </w:numPr>
        <w:spacing w:after="80" w:line="300"/>
      </w:pPr>
      <w:r>
        <w:rPr>
          <w:rFonts w:ascii="Yu Mincho" w:cs="Yu Mincho" w:eastAsia="Yu Mincho" w:hAnsi="Yu Mincho"/>
          <w:sz w:val="21"/>
          <w:szCs w:val="21"/>
        </w:rPr>
        <w:t xml:space="preserve">課題文からは方針変更の理由（なぜ税引後当期純利益なのか、なぜ長期インセンティブを採用しないのか）が明確でない。</w:t>
      </w:r>
    </w:p>
    <w:p>
      <w:pPr>
        <w:pStyle w:val="ListParagraph"/>
        <w:numPr>
          <w:ilvl w:val="0"/>
          <w:numId w:val="2"/>
        </w:numPr>
        <w:spacing w:after="80" w:line="300"/>
      </w:pPr>
      <w:r>
        <w:rPr>
          <w:rFonts w:ascii="Yu Mincho" w:cs="Yu Mincho" w:eastAsia="Yu Mincho" w:hAnsi="Yu Mincho"/>
          <w:sz w:val="21"/>
          <w:szCs w:val="21"/>
        </w:rPr>
        <w:t xml:space="preserve">退職慰労金が業界内で高水準。近年は退職慰労金を廃止する企業が増えている一方、退職慰労金にもメリット（在任中の業務専念を促す、健全な経営を行わなければ支給されない場合もあり長期インセンティブになりうる）とデメリット（後払いの固定的報酬としての性格が強く在任時のインセンティブになりにくい）の両面があることに留意。</w:t>
      </w:r>
    </w:p>
    <w:p>
      <w:pPr>
        <w:spacing w:after="140" w:line="320"/>
        <w:jc w:val="left"/>
      </w:pPr>
      <w:r>
        <w:rPr>
          <w:rFonts w:ascii="Yu Mincho" w:cs="Yu Mincho" w:eastAsia="Yu Mincho" w:hAnsi="Yu Mincho"/>
          <w:sz w:val="21"/>
          <w:szCs w:val="21"/>
        </w:rPr>
        <w:t xml:space="preserve">まとめ：A社は年次利益にもとづく短期インセンティブ報酬の導入によって従来の固定的な報酬制度を改善しているが、長期のインセンティブ報酬を導入していないため、短期の業績を追求しすぎるインセンティブを与えてしまう可能性がある。改善策として、ストック・オプションやパフォーマンス・ユニット等の長期インセンティブ報酬契約の導入が不可欠。追加的には、連結財務諸表にもとづく業績測定尺度の利用、ボーナス制度の上限・下限設定、退職慰労金の改廃が挙げられる。何より重要なのは、A社の報酬改革の方針を明確にし、それと首尾一貫した報酬パッケージ・業績測定尺度を用いることである。</w:t>
      </w:r>
    </w:p>
    <w:p>
      <w:pPr>
        <w:spacing w:after="140" w:line="320"/>
        <w:jc w:val="left"/>
      </w:pPr>
      <w:r>
        <w:rPr>
          <w:rFonts w:ascii="Yu Mincho" w:cs="Yu Mincho" w:eastAsia="Yu Mincho" w:hAnsi="Yu Mincho"/>
          <w:sz w:val="21"/>
          <w:szCs w:val="21"/>
        </w:rPr>
        <w:t xml:space="preserve">補足：富士通は2001年度からこの成果主義を見直し、0.4％一律連動の役員賞与も同時に取りやめた（日本経済新聞2001年4月20日）。「日本に成果主義は馴染まない」という短絡的な議論ではなく、理論的な考察が重要である。</w:t>
      </w:r>
    </w:p>
    <w:p>
      <w:pPr>
        <w:pStyle w:val="Heading3"/>
        <w:spacing w:after="120" w:before="240"/>
      </w:pPr>
      <w:r>
        <w:t xml:space="preserve">ケース課題2：B社の評価</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課題文</w:t>
            </w:r>
          </w:p>
          <w:p>
            <w:pPr>
              <w:spacing w:line="300"/>
            </w:pPr>
            <w:r>
              <w:rPr>
                <w:rFonts w:ascii="Yu Mincho" w:cs="Yu Mincho" w:eastAsia="Yu Mincho" w:hAnsi="Yu Mincho"/>
                <w:sz w:val="20"/>
                <w:szCs w:val="20"/>
              </w:rPr>
              <w:t xml:space="preserve">日本企業のB社は、小売業界の成熟企業である。マーケットシェアが1位の商品を多く抱えており、現在のリーディング・カンパニーとしての安定的な地位を継続することを第1の目標にしている。株主もまたこれを望んでいる。同社では、これまで給与と変動性の低い賞与からなる報酬制度を設定してきたが、株主価値を高めるべく、インセンティブ報酬制度を導入することにした。固定給：業界平均を参考に決定。年次のインセンティブ報酬：連結総資産営業利益率と連結総資産経常利益率にそれぞれ一定の％を掛けた額が報酬として支払われる（ウェイト付けあり）。長期のインセンティブ報酬：ストック・オプションを導入。経営者報酬総額に占めるインセンティブ報酬の割合は約20％。</w:t>
            </w:r>
          </w:p>
        </w:tc>
      </w:tr>
    </w:tbl>
    <w:p>
      <w:pPr>
        <w:spacing w:after="100"/>
      </w:pPr>
    </w:p>
    <w:p>
      <w:pPr>
        <w:spacing w:after="140" w:line="320"/>
        <w:jc w:val="left"/>
      </w:pPr>
      <w:r>
        <w:rPr>
          <w:rFonts w:ascii="Yu Mincho" w:cs="Yu Mincho" w:eastAsia="Yu Mincho" w:hAnsi="Yu Mincho"/>
          <w:sz w:val="21"/>
          <w:szCs w:val="21"/>
        </w:rPr>
        <w:t xml:space="preserve">3つのポイントに沿った概観：</w:t>
      </w:r>
    </w:p>
    <w:p>
      <w:pPr>
        <w:pStyle w:val="ListParagraph"/>
        <w:numPr>
          <w:ilvl w:val="0"/>
          <w:numId w:val="7"/>
        </w:numPr>
        <w:spacing w:after="80" w:line="300"/>
      </w:pPr>
      <w:r>
        <w:rPr>
          <w:rFonts w:ascii="Yu Mincho" w:cs="Yu Mincho" w:eastAsia="Yu Mincho" w:hAnsi="Yu Mincho"/>
          <w:sz w:val="21"/>
          <w:szCs w:val="21"/>
        </w:rPr>
        <w:t xml:space="preserve">インセンティブの強度とリスクの大きさ：給与とボーナスを組み合わせている。</w:t>
      </w:r>
    </w:p>
    <w:p>
      <w:pPr>
        <w:pStyle w:val="ListParagraph"/>
        <w:numPr>
          <w:ilvl w:val="0"/>
          <w:numId w:val="7"/>
        </w:numPr>
        <w:spacing w:after="80" w:line="300"/>
      </w:pPr>
      <w:r>
        <w:rPr>
          <w:rFonts w:ascii="Yu Mincho" w:cs="Yu Mincho" w:eastAsia="Yu Mincho" w:hAnsi="Yu Mincho"/>
          <w:sz w:val="21"/>
          <w:szCs w:val="21"/>
        </w:rPr>
        <w:t xml:space="preserve">インセンティブ効果の及ぶ範囲：短期と長期のインセンティブ報酬を併用している。</w:t>
      </w:r>
    </w:p>
    <w:p>
      <w:pPr>
        <w:pStyle w:val="ListParagraph"/>
        <w:numPr>
          <w:ilvl w:val="0"/>
          <w:numId w:val="7"/>
        </w:numPr>
        <w:spacing w:after="80" w:line="300"/>
      </w:pPr>
      <w:r>
        <w:rPr>
          <w:rFonts w:ascii="Yu Mincho" w:cs="Yu Mincho" w:eastAsia="Yu Mincho" w:hAnsi="Yu Mincho"/>
          <w:sz w:val="21"/>
          <w:szCs w:val="21"/>
        </w:rPr>
        <w:t xml:space="preserve">経営者の努力を測定する尺度：複数の業績測定尺度（会計利益と株価）を併用している。</w:t>
      </w:r>
    </w:p>
    <w:p>
      <w:pPr>
        <w:spacing w:after="140" w:line="320"/>
        <w:jc w:val="left"/>
      </w:pPr>
      <w:r>
        <w:rPr>
          <w:rFonts w:ascii="Yu Mincho" w:cs="Yu Mincho" w:eastAsia="Yu Mincho" w:hAnsi="Yu Mincho"/>
          <w:sz w:val="21"/>
          <w:szCs w:val="21"/>
        </w:rPr>
        <w:t xml:space="preserve">→標準的な経営者報酬パッケージとなっており、大きな問題はないように思われる。その他の改善ポイント：</w:t>
      </w:r>
    </w:p>
    <w:p>
      <w:pPr>
        <w:pStyle w:val="ListParagraph"/>
        <w:numPr>
          <w:ilvl w:val="0"/>
          <w:numId w:val="2"/>
        </w:numPr>
        <w:spacing w:after="80" w:line="300"/>
      </w:pPr>
      <w:r>
        <w:rPr>
          <w:rFonts w:ascii="Yu Mincho" w:cs="Yu Mincho" w:eastAsia="Yu Mincho" w:hAnsi="Yu Mincho"/>
          <w:sz w:val="21"/>
          <w:szCs w:val="21"/>
        </w:rPr>
        <w:t xml:space="preserve">インセンティブ報酬の割合：B社は20％。米国90％、欧州76％、日本58％（前回資料）と比較すると、経営者のインセンティブ強度を高めるためにもう少し割合を高めた方がよい可能性がある。</w:t>
      </w:r>
    </w:p>
    <w:p>
      <w:pPr>
        <w:pStyle w:val="ListParagraph"/>
        <w:numPr>
          <w:ilvl w:val="0"/>
          <w:numId w:val="2"/>
        </w:numPr>
        <w:spacing w:after="80" w:line="300"/>
      </w:pPr>
      <w:r>
        <w:rPr>
          <w:rFonts w:ascii="Yu Mincho" w:cs="Yu Mincho" w:eastAsia="Yu Mincho" w:hAnsi="Yu Mincho"/>
          <w:sz w:val="21"/>
          <w:szCs w:val="21"/>
        </w:rPr>
        <w:t xml:space="preserve">業績評価指標の選択（マーケット・シェアの意識）：連結総資産営業利益率と連結総資産経常利益率は定義が近い利益であり、制度設計の方針が不明瞭。マーケットシェアを意識するなら売上高や販売数量（非財務情報）の利用も考えられる。コスト管理を意識するなら売上高と併せて経常利益・当期純利益の併用も可。ライバル会社との相対業績評価も一案。</w:t>
      </w:r>
    </w:p>
    <w:p>
      <w:pPr>
        <w:pStyle w:val="ListParagraph"/>
        <w:numPr>
          <w:ilvl w:val="0"/>
          <w:numId w:val="2"/>
        </w:numPr>
        <w:spacing w:after="80" w:line="300"/>
      </w:pPr>
      <w:r>
        <w:rPr>
          <w:rFonts w:ascii="Yu Mincho" w:cs="Yu Mincho" w:eastAsia="Yu Mincho" w:hAnsi="Yu Mincho"/>
          <w:sz w:val="21"/>
          <w:szCs w:val="21"/>
        </w:rPr>
        <w:t xml:space="preserve">成熟企業であることの考慮：B社はすでに十分なシェアを有するリーディング・カンパニーであり、経営者・株主とも現在の地位の継続を望んでいる。株主が期待するリターンの形態（キャピタル・ゲイン vs インカム・ゲイン）を経営者報酬制度に反映させるべき。配当原資となる当期純利益にもとづくインセンティブ報酬の割合を増やす、配当総額と役員報酬総額の連動を高める（議論あり）といった方向性がありうる。</w:t>
      </w:r>
    </w:p>
    <w:p>
      <w:pPr>
        <w:spacing w:after="140" w:line="320"/>
        <w:jc w:val="left"/>
      </w:pPr>
      <w:r>
        <w:rPr>
          <w:rFonts w:ascii="Yu Mincho" w:cs="Yu Mincho" w:eastAsia="Yu Mincho" w:hAnsi="Yu Mincho"/>
          <w:sz w:val="21"/>
          <w:szCs w:val="21"/>
        </w:rPr>
        <w:t xml:space="preserve">まとめ：B社は効率的な報酬契約のポイントから見て概ね効率的に設計されているが、①インセンティブ報酬の割合を上げる、②マーケット・シェアを意識した業績測定尺度を利用する、③成熟企業であることを考慮した報酬制度を設計する、という改善余地がある。</w:t>
      </w:r>
    </w:p>
    <w:p>
      <w:pPr>
        <w:pStyle w:val="Heading2"/>
        <w:spacing w:after="160" w:before="360"/>
      </w:pPr>
      <w:r>
        <w:t xml:space="preserve">1.10　本章のまとめ</w:t>
      </w:r>
    </w:p>
    <w:p>
      <w:pPr>
        <w:pStyle w:val="ListParagraph"/>
        <w:numPr>
          <w:ilvl w:val="0"/>
          <w:numId w:val="2"/>
        </w:numPr>
        <w:spacing w:after="80" w:line="300"/>
      </w:pPr>
      <w:r>
        <w:rPr>
          <w:rFonts w:ascii="Yu Mincho" w:cs="Yu Mincho" w:eastAsia="Yu Mincho" w:hAnsi="Yu Mincho"/>
          <w:sz w:val="21"/>
          <w:szCs w:val="21"/>
        </w:rPr>
        <w:t xml:space="preserve">効率的な経営者報酬契約を結ぶための3つのポイント：インセンティブの強度とリスクの大きさ、インセンティブ効果の及ぶ範囲、経営者の努力を測定する尺度。</w:t>
      </w:r>
    </w:p>
    <w:p>
      <w:pPr>
        <w:pStyle w:val="ListParagraph"/>
        <w:numPr>
          <w:ilvl w:val="0"/>
          <w:numId w:val="2"/>
        </w:numPr>
        <w:spacing w:after="80" w:line="300"/>
      </w:pPr>
      <w:r>
        <w:rPr>
          <w:rFonts w:ascii="Yu Mincho" w:cs="Yu Mincho" w:eastAsia="Yu Mincho" w:hAnsi="Yu Mincho"/>
          <w:sz w:val="21"/>
          <w:szCs w:val="21"/>
        </w:rPr>
        <w:t xml:space="preserve">米国の経営者報酬制はこの3ポイントを踏まえた効率的なパッケージとなっている一方、日本企業は転換期にある。</w:t>
      </w:r>
    </w:p>
    <w:p>
      <w:pPr>
        <w:pStyle w:val="ListParagraph"/>
        <w:numPr>
          <w:ilvl w:val="0"/>
          <w:numId w:val="2"/>
        </w:numPr>
        <w:spacing w:after="80" w:line="300"/>
      </w:pPr>
      <w:r>
        <w:rPr>
          <w:rFonts w:ascii="Yu Mincho" w:cs="Yu Mincho" w:eastAsia="Yu Mincho" w:hAnsi="Yu Mincho"/>
          <w:sz w:val="21"/>
          <w:szCs w:val="21"/>
        </w:rPr>
        <w:t xml:space="preserve">経営者報酬制度は経営者の意思決定と行動に影響を与えるため、その設計は企業価値にも影響を与える重要な契約である。</w:t>
      </w:r>
    </w:p>
    <w:p>
      <w:pPr>
        <w:pStyle w:val="ListParagraph"/>
        <w:numPr>
          <w:ilvl w:val="0"/>
          <w:numId w:val="2"/>
        </w:numPr>
        <w:spacing w:after="80" w:line="300"/>
      </w:pPr>
      <w:r>
        <w:rPr>
          <w:rFonts w:ascii="Yu Mincho" w:cs="Yu Mincho" w:eastAsia="Yu Mincho" w:hAnsi="Yu Mincho"/>
          <w:sz w:val="21"/>
          <w:szCs w:val="21"/>
        </w:rPr>
        <w:t xml:space="preserve">経営者にとって、報酬制度設計の方針・意義等を含む詳細な開示を行うことで、その効果は大きくなる（戦略的IRの可能性、第5章）。</w:t>
      </w:r>
    </w:p>
    <w:p>
      <w:pPr>
        <w:pStyle w:val="ListParagraph"/>
        <w:numPr>
          <w:ilvl w:val="0"/>
          <w:numId w:val="2"/>
        </w:numPr>
        <w:spacing w:after="80" w:line="300"/>
      </w:pPr>
      <w:r>
        <w:rPr>
          <w:rFonts w:ascii="Yu Mincho" w:cs="Yu Mincho" w:eastAsia="Yu Mincho" w:hAnsi="Yu Mincho"/>
          <w:sz w:val="21"/>
          <w:szCs w:val="21"/>
        </w:rPr>
        <w:t xml:space="preserve">契約においても会計情報が重要な役割を果たしている——財務会計の契約支援機能の確認。</w:t>
      </w:r>
    </w:p>
    <w:p>
      <w:pPr>
        <w:pStyle w:val="ListParagraph"/>
        <w:numPr>
          <w:ilvl w:val="0"/>
          <w:numId w:val="2"/>
        </w:numPr>
        <w:spacing w:after="80" w:line="300"/>
      </w:pPr>
      <w:r>
        <w:rPr>
          <w:rFonts w:ascii="Yu Mincho" w:cs="Yu Mincho" w:eastAsia="Yu Mincho" w:hAnsi="Yu Mincho"/>
          <w:sz w:val="21"/>
          <w:szCs w:val="21"/>
        </w:rPr>
        <w:t xml:space="preserve">日本企業に適した経営者報酬制度の設計は今後の課題。インセンティブ契約が日本企業に適用するか否かという単純な議論ではなく、理論的な議論をベースにした制度設計が必要。</w:t>
      </w:r>
    </w:p>
    <w:p>
      <w:pPr>
        <w:pStyle w:val="Heading1"/>
        <w:pageBreakBefore/>
        <w:spacing w:after="240" w:before="480"/>
      </w:pPr>
      <w:r>
        <w:t xml:space="preserve">第2章　債務契約と会計情報</w:t>
      </w:r>
    </w:p>
    <w:p>
      <w:pPr>
        <w:spacing w:after="140" w:line="320"/>
        <w:jc w:val="left"/>
      </w:pPr>
      <w:r>
        <w:rPr>
          <w:rFonts w:ascii="Yu Mincho" w:cs="Yu Mincho" w:eastAsia="Yu Mincho" w:hAnsi="Yu Mincho"/>
          <w:sz w:val="21"/>
          <w:szCs w:val="21"/>
        </w:rPr>
        <w:t xml:space="preserve">本章は第5回（債務契約と会計情報(1)）と第6回（同(2)）を統合したものである。負債のエイジェンシー費用という視点から財務制限条項（財務上の特約）の意義を検討し（事後的な契約履行の視点）、続いて債務契約の事前的な意思決定における会計情報の有用性——デフォルト・リスクの推計と倒産予測——を検討する。</w:t>
      </w:r>
    </w:p>
    <w:p>
      <w:pPr>
        <w:pStyle w:val="Heading2"/>
        <w:spacing w:after="160" w:before="360"/>
      </w:pPr>
      <w:r>
        <w:t xml:space="preserve">2.1　負債のエイジェンシー費用</w:t>
      </w:r>
    </w:p>
    <w:p>
      <w:pPr>
        <w:spacing w:after="140" w:line="320"/>
        <w:jc w:val="left"/>
      </w:pPr>
      <w:r>
        <w:rPr>
          <w:rFonts w:ascii="Yu Mincho" w:cs="Yu Mincho" w:eastAsia="Yu Mincho" w:hAnsi="Yu Mincho"/>
          <w:sz w:val="21"/>
          <w:szCs w:val="21"/>
        </w:rPr>
        <w:t xml:space="preserve">企業が結ぶ債務契約に関するエイジェンシー関係では、債権者が本人（プリンシパル）、経営者が代理人（エイジェント）となる。過半数の発行済株式を経営者が所有する「オーナー経営者」企業が社債を発行する場合を想定すると、経営者は債権者よりも株主（＝自分自身）のために行動するインセンティブを持つ。すなわち、社債発行後に社債権者を犠牲にして自分（株主）の富を増加させる投資戦略・財務戦略を選択する動機がある。</w:t>
      </w:r>
    </w:p>
    <w:p>
      <w:pPr>
        <w:spacing w:after="140" w:line="320"/>
        <w:jc w:val="left"/>
      </w:pPr>
      <w:r>
        <w:rPr>
          <w:rFonts w:ascii="Yu Mincho" w:cs="Yu Mincho" w:eastAsia="Yu Mincho" w:hAnsi="Yu Mincho"/>
          <w:sz w:val="21"/>
          <w:szCs w:val="21"/>
        </w:rPr>
        <w:t xml:space="preserve">オーナー経営者が行いうる3つのモラル・ハザード：</w:t>
      </w:r>
    </w:p>
    <w:p>
      <w:pPr>
        <w:pStyle w:val="ListParagraph"/>
        <w:numPr>
          <w:ilvl w:val="0"/>
          <w:numId w:val="8"/>
        </w:numPr>
        <w:spacing w:after="80" w:line="300"/>
      </w:pPr>
      <w:r>
        <w:rPr>
          <w:rFonts w:ascii="Yu Mincho" w:cs="Yu Mincho" w:eastAsia="Yu Mincho" w:hAnsi="Yu Mincho"/>
          <w:sz w:val="21"/>
          <w:szCs w:val="21"/>
        </w:rPr>
        <w:t xml:space="preserve">危険度の高い投資をする（ハイリスク・ハイリターンの投資）：成功すれば株主は株価上昇・配当で富を得るが債権者は契約通りの利息・元本以上のメリットはない。失敗すれば株主は損失を被り、債権者は利息・元本を失う可能性がある。⇒経営者は社債権者の望まないハイリスク・ハイリターン投資を行う可能性がある（リスク・シフティング／資産代替）。</w:t>
      </w:r>
    </w:p>
    <w:p>
      <w:pPr>
        <w:pStyle w:val="ListParagraph"/>
        <w:numPr>
          <w:ilvl w:val="0"/>
          <w:numId w:val="8"/>
        </w:numPr>
        <w:spacing w:after="80" w:line="300"/>
      </w:pPr>
      <w:r>
        <w:rPr>
          <w:rFonts w:ascii="Yu Mincho" w:cs="Yu Mincho" w:eastAsia="Yu Mincho" w:hAnsi="Yu Mincho"/>
          <w:sz w:val="21"/>
          <w:szCs w:val="21"/>
        </w:rPr>
        <w:t xml:space="preserve">負債を増加させる：契約締結後に追加的な社債発行や銀行借入等により負債を増加させる。⇒社債の債務不履行の確率が増加する。</w:t>
      </w:r>
    </w:p>
    <w:p>
      <w:pPr>
        <w:pStyle w:val="ListParagraph"/>
        <w:numPr>
          <w:ilvl w:val="0"/>
          <w:numId w:val="8"/>
        </w:numPr>
        <w:spacing w:after="80" w:line="300"/>
      </w:pPr>
      <w:r>
        <w:rPr>
          <w:rFonts w:ascii="Yu Mincho" w:cs="Yu Mincho" w:eastAsia="Yu Mincho" w:hAnsi="Yu Mincho"/>
          <w:sz w:val="21"/>
          <w:szCs w:val="21"/>
        </w:rPr>
        <w:t xml:space="preserve">現金配当を増やす：社債発行時に予定した投資プロジェクトを放棄し、その資金で配当を行う。⇒社債権者から株主へ富が移転する典型的なモラル・ハザード。</w:t>
      </w:r>
    </w:p>
    <w:p>
      <w:pPr>
        <w:spacing w:after="140" w:line="320"/>
        <w:jc w:val="left"/>
      </w:pPr>
      <w:r>
        <w:rPr>
          <w:rFonts w:ascii="Yu Mincho" w:cs="Yu Mincho" w:eastAsia="Yu Mincho" w:hAnsi="Yu Mincho"/>
          <w:sz w:val="21"/>
          <w:szCs w:val="21"/>
        </w:rPr>
        <w:t xml:space="preserve">資本市場が効率的で合理的期待を形成するならば、社債投資家はこのようなオーナー経営者の動機を事前に織り込み、それに見合った高い利息を要求するか、投資額を減少させる。その結果、資本コストが増加し、オーナー経営者はそのコストを負担せざるを得なくなる——このコストを「負債のエイジェンシー費用」とよぶ。</w:t>
      </w:r>
    </w:p>
    <w:p>
      <w:pPr>
        <w:spacing w:after="140" w:line="320"/>
        <w:jc w:val="left"/>
      </w:pPr>
      <w:r>
        <w:rPr>
          <w:rFonts w:ascii="Yu Mincho" w:cs="Yu Mincho" w:eastAsia="Yu Mincho" w:hAnsi="Yu Mincho"/>
          <w:sz w:val="21"/>
          <w:szCs w:val="21"/>
        </w:rPr>
        <w:t xml:space="preserve">オーナー経営者の対応（費用削減のための実行手段）：</w:t>
      </w:r>
    </w:p>
    <w:p>
      <w:pPr>
        <w:pStyle w:val="ListParagraph"/>
        <w:numPr>
          <w:ilvl w:val="0"/>
          <w:numId w:val="2"/>
        </w:numPr>
        <w:spacing w:after="80" w:line="300"/>
      </w:pPr>
      <w:r>
        <w:rPr>
          <w:rFonts w:ascii="Yu Mincho" w:cs="Yu Mincho" w:eastAsia="Yu Mincho" w:hAnsi="Yu Mincho"/>
          <w:sz w:val="21"/>
          <w:szCs w:val="21"/>
        </w:rPr>
        <w:t xml:space="preserve">①情報格差の是正：ディスクロージャー、IR、債権の格付け取得。</w:t>
      </w:r>
    </w:p>
    <w:p>
      <w:pPr>
        <w:pStyle w:val="ListParagraph"/>
        <w:numPr>
          <w:ilvl w:val="0"/>
          <w:numId w:val="2"/>
        </w:numPr>
        <w:spacing w:after="80" w:line="300"/>
      </w:pPr>
      <w:r>
        <w:rPr>
          <w:rFonts w:ascii="Yu Mincho" w:cs="Yu Mincho" w:eastAsia="Yu Mincho" w:hAnsi="Yu Mincho"/>
          <w:sz w:val="21"/>
          <w:szCs w:val="21"/>
        </w:rPr>
        <w:t xml:space="preserve">②社債権者の利益擁護：財務制限条項、社債管理会社の設置。</w:t>
      </w:r>
    </w:p>
    <w:p>
      <w:pPr>
        <w:spacing w:after="140" w:line="320"/>
        <w:jc w:val="left"/>
      </w:pPr>
      <w:r>
        <w:rPr>
          <w:rFonts w:ascii="Yu Mincho" w:cs="Yu Mincho" w:eastAsia="Yu Mincho" w:hAnsi="Yu Mincho"/>
          <w:sz w:val="21"/>
          <w:szCs w:val="21"/>
        </w:rPr>
        <w:t xml:space="preserve">これらの実行には費用が伴い、その費用はエイジェンシー費用の減少とトレードオフの関係にある。両者を合わせたものが「広義の負債のエイジェンシー費用」である。以下では、会計数値が重要な役割を果たす財務制限条項について考察する。</w:t>
      </w:r>
    </w:p>
    <w:p>
      <w:pPr>
        <w:pStyle w:val="Heading2"/>
        <w:spacing w:after="160" w:before="360"/>
      </w:pPr>
      <w:r>
        <w:t xml:space="preserve">2.2　米国の財務制限条項</w:t>
      </w:r>
    </w:p>
    <w:p>
      <w:pPr>
        <w:spacing w:after="140" w:line="320"/>
        <w:jc w:val="left"/>
      </w:pPr>
      <w:r>
        <w:rPr>
          <w:rFonts w:ascii="Yu Mincho" w:cs="Yu Mincho" w:eastAsia="Yu Mincho" w:hAnsi="Yu Mincho"/>
          <w:sz w:val="21"/>
          <w:szCs w:val="21"/>
        </w:rPr>
        <w:t xml:space="preserve">財務制限条項は上記の問題を解決し、負債のエイジェンシー費用を削減するために締結される。無担保社債の発行に際して設定される財務制限条項には以下のものがある（須田, 2000）。</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200"/>
      </w:tblGrid>
      <w:tr>
        <w:trPr>
          <w:tblHeader/>
        </w:trPr>
        <w:tc>
          <w:tcPr>
            <w:tcW w:type="dxa" w:w="3000"/>
            <w:shd w:fill="DDE6F0" w:val="clear"/>
            <w:tcMar>
              <w:top w:type="dxa" w:w="60"/>
              <w:left w:type="dxa" w:w="100"/>
              <w:bottom w:type="dxa" w:w="60"/>
              <w:right w:type="dxa" w:w="100"/>
            </w:tcMar>
          </w:tcPr>
          <w:p>
            <w:r>
              <w:rPr>
                <w:rFonts w:ascii="Yu Gothic" w:cs="Yu Gothic" w:eastAsia="Yu Gothic" w:hAnsi="Yu Gothic"/>
                <w:b/>
                <w:bCs/>
                <w:sz w:val="19"/>
                <w:szCs w:val="19"/>
              </w:rPr>
              <w:t xml:space="preserve">財務制限条項</w:t>
            </w:r>
          </w:p>
        </w:tc>
        <w:tc>
          <w:tcPr>
            <w:tcW w:type="dxa" w:w="62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c>
          <w:tcPr>
            <w:tcW w:type="dxa" w:w="3000"/>
            <w:tcMar>
              <w:top w:type="dxa" w:w="60"/>
              <w:left w:type="dxa" w:w="100"/>
              <w:bottom w:type="dxa" w:w="60"/>
              <w:right w:type="dxa" w:w="100"/>
            </w:tcMar>
          </w:tcPr>
          <w:p>
            <w:r>
              <w:rPr>
                <w:rFonts w:ascii="Yu Mincho" w:cs="Yu Mincho" w:eastAsia="Yu Mincho" w:hAnsi="Yu Mincho"/>
                <w:sz w:val="19"/>
                <w:szCs w:val="19"/>
              </w:rPr>
              <w:t xml:space="preserve">①留保利益制限条項</w:t>
            </w:r>
          </w:p>
        </w:tc>
        <w:tc>
          <w:tcPr>
            <w:tcW w:type="dxa" w:w="6200"/>
            <w:tcMar>
              <w:top w:type="dxa" w:w="60"/>
              <w:left w:type="dxa" w:w="100"/>
              <w:bottom w:type="dxa" w:w="60"/>
              <w:right w:type="dxa" w:w="100"/>
            </w:tcMar>
          </w:tcPr>
          <w:p>
            <w:r>
              <w:rPr>
                <w:rFonts w:ascii="Yu Mincho" w:cs="Yu Mincho" w:eastAsia="Yu Mincho" w:hAnsi="Yu Mincho"/>
                <w:sz w:val="19"/>
                <w:szCs w:val="19"/>
              </w:rPr>
              <w:t xml:space="preserve">一定限度の留保利益が維持されていない場合、配当および自己株式取得を制限する。</w:t>
            </w:r>
          </w:p>
        </w:tc>
      </w:tr>
      <w:tr>
        <w:tc>
          <w:tcPr>
            <w:tcW w:type="dxa" w:w="3000"/>
            <w:tcMar>
              <w:top w:type="dxa" w:w="60"/>
              <w:left w:type="dxa" w:w="100"/>
              <w:bottom w:type="dxa" w:w="60"/>
              <w:right w:type="dxa" w:w="100"/>
            </w:tcMar>
          </w:tcPr>
          <w:p>
            <w:r>
              <w:rPr>
                <w:rFonts w:ascii="Yu Mincho" w:cs="Yu Mincho" w:eastAsia="Yu Mincho" w:hAnsi="Yu Mincho"/>
                <w:sz w:val="19"/>
                <w:szCs w:val="19"/>
              </w:rPr>
              <w:t xml:space="preserve">②運転資本制限条項</w:t>
            </w:r>
          </w:p>
        </w:tc>
        <w:tc>
          <w:tcPr>
            <w:tcW w:type="dxa" w:w="6200"/>
            <w:tcMar>
              <w:top w:type="dxa" w:w="60"/>
              <w:left w:type="dxa" w:w="100"/>
              <w:bottom w:type="dxa" w:w="60"/>
              <w:right w:type="dxa" w:w="100"/>
            </w:tcMar>
          </w:tcPr>
          <w:p>
            <w:r>
              <w:rPr>
                <w:rFonts w:ascii="Yu Mincho" w:cs="Yu Mincho" w:eastAsia="Yu Mincho" w:hAnsi="Yu Mincho"/>
                <w:sz w:val="19"/>
                <w:szCs w:val="19"/>
              </w:rPr>
              <w:t xml:space="preserve">一定限度の運転資本が維持されていない場合、特定の活動（社債の追加発行、配当支払、M&amp;A等）を禁止する。</w:t>
            </w:r>
          </w:p>
        </w:tc>
      </w:tr>
      <w:tr>
        <w:tc>
          <w:tcPr>
            <w:tcW w:type="dxa" w:w="3000"/>
            <w:tcMar>
              <w:top w:type="dxa" w:w="60"/>
              <w:left w:type="dxa" w:w="100"/>
              <w:bottom w:type="dxa" w:w="60"/>
              <w:right w:type="dxa" w:w="100"/>
            </w:tcMar>
          </w:tcPr>
          <w:p>
            <w:r>
              <w:rPr>
                <w:rFonts w:ascii="Yu Mincho" w:cs="Yu Mincho" w:eastAsia="Yu Mincho" w:hAnsi="Yu Mincho"/>
                <w:sz w:val="19"/>
                <w:szCs w:val="19"/>
              </w:rPr>
              <w:t xml:space="preserve">③純資産制限条項</w:t>
            </w:r>
          </w:p>
        </w:tc>
        <w:tc>
          <w:tcPr>
            <w:tcW w:type="dxa" w:w="6200"/>
            <w:tcMar>
              <w:top w:type="dxa" w:w="60"/>
              <w:left w:type="dxa" w:w="100"/>
              <w:bottom w:type="dxa" w:w="60"/>
              <w:right w:type="dxa" w:w="100"/>
            </w:tcMar>
          </w:tcPr>
          <w:p>
            <w:r>
              <w:rPr>
                <w:rFonts w:ascii="Yu Mincho" w:cs="Yu Mincho" w:eastAsia="Yu Mincho" w:hAnsi="Yu Mincho"/>
                <w:sz w:val="19"/>
                <w:szCs w:val="19"/>
              </w:rPr>
              <w:t xml:space="preserve">一定限度の純資産が維持されていない場合、投資活動や配当支払等の活動を禁止する。</w:t>
            </w:r>
          </w:p>
        </w:tc>
      </w:tr>
      <w:tr>
        <w:tc>
          <w:tcPr>
            <w:tcW w:type="dxa" w:w="3000"/>
            <w:tcMar>
              <w:top w:type="dxa" w:w="60"/>
              <w:left w:type="dxa" w:w="100"/>
              <w:bottom w:type="dxa" w:w="60"/>
              <w:right w:type="dxa" w:w="100"/>
            </w:tcMar>
          </w:tcPr>
          <w:p>
            <w:r>
              <w:rPr>
                <w:rFonts w:ascii="Yu Mincho" w:cs="Yu Mincho" w:eastAsia="Yu Mincho" w:hAnsi="Yu Mincho"/>
                <w:sz w:val="19"/>
                <w:szCs w:val="19"/>
              </w:rPr>
              <w:t xml:space="preserve">④負債比率制限条項</w:t>
            </w:r>
          </w:p>
        </w:tc>
        <w:tc>
          <w:tcPr>
            <w:tcW w:type="dxa" w:w="6200"/>
            <w:tcMar>
              <w:top w:type="dxa" w:w="60"/>
              <w:left w:type="dxa" w:w="100"/>
              <w:bottom w:type="dxa" w:w="60"/>
              <w:right w:type="dxa" w:w="100"/>
            </w:tcMar>
          </w:tcPr>
          <w:p>
            <w:r>
              <w:rPr>
                <w:rFonts w:ascii="Yu Mincho" w:cs="Yu Mincho" w:eastAsia="Yu Mincho" w:hAnsi="Yu Mincho"/>
                <w:sz w:val="19"/>
                <w:szCs w:val="19"/>
              </w:rPr>
              <w:t xml:space="preserve">社債の追加発行により一定限度の負債比率を超過するようであれば、追加発行を認めない。</w:t>
            </w:r>
          </w:p>
        </w:tc>
      </w:tr>
    </w:tbl>
    <w:p>
      <w:pPr>
        <w:spacing w:after="100"/>
      </w:pPr>
    </w:p>
    <w:p>
      <w:pPr>
        <w:spacing w:after="140" w:line="320"/>
        <w:jc w:val="left"/>
      </w:pPr>
      <w:r>
        <w:rPr>
          <w:rFonts w:ascii="Yu Mincho" w:cs="Yu Mincho" w:eastAsia="Yu Mincho" w:hAnsi="Yu Mincho"/>
          <w:sz w:val="21"/>
          <w:szCs w:val="21"/>
        </w:rPr>
        <w:t xml:space="preserve">これらの条項は、①経営者のモラル・ハザードを抑制する形で設定されている（危険度の高い投資→M&amp;Aや投資活動の禁止、負債の増加→社債追加発行の禁止、配当の増加→配当の禁止）。②各条項で企業の実態を把握するために多くの会計情報が利用されている。⇒財務会計数値に依拠した財務制限条項を債務契約で設定すれば、エイジェンシー費用の削減をもたらし企業価値の増加に結びつく。会計情報が経営者のモラル・ハザードを抑制し、企業価値の向上に貢献している。</w:t>
      </w:r>
    </w:p>
    <w:p>
      <w:pPr>
        <w:pStyle w:val="Heading2"/>
        <w:spacing w:after="160" w:before="360"/>
      </w:pPr>
      <w:r>
        <w:t xml:space="preserve">2.3　日本の財務制限条項（財務上の特約）</w:t>
      </w:r>
    </w:p>
    <w:p>
      <w:pPr>
        <w:spacing w:after="140" w:line="320"/>
        <w:jc w:val="left"/>
      </w:pPr>
      <w:r>
        <w:rPr>
          <w:rFonts w:ascii="Yu Mincho" w:cs="Yu Mincho" w:eastAsia="Yu Mincho" w:hAnsi="Yu Mincho"/>
          <w:sz w:val="21"/>
          <w:szCs w:val="21"/>
        </w:rPr>
        <w:t xml:space="preserve">1990年代後半から企業金融が間接金融から直接金融へシフトし、その中で無担保社債が重要な役割を果たすようになった。ほとんどの無担保社債で財務制限条項（財務上の特約）が設けられ、投資家保護の観点から注目された。</w:t>
      </w:r>
    </w:p>
    <w:p>
      <w:pPr>
        <w:spacing w:after="140" w:line="320"/>
        <w:jc w:val="left"/>
      </w:pPr>
      <w:r>
        <w:rPr>
          <w:rFonts w:ascii="Yu Mincho" w:cs="Yu Mincho" w:eastAsia="Yu Mincho" w:hAnsi="Yu Mincho"/>
          <w:sz w:val="21"/>
          <w:szCs w:val="21"/>
        </w:rPr>
        <w:t xml:space="preserve">大蔵省が1990年11月1日に公表した「普通社債、転換社債及び新株引受権付き社債の適債基準財務制限条項の見直しについて」にもとづき、わが国の財務制限条項は大蔵省の行政指導のもと画一的に運用されてきた。設定される条項は次の4種：①担保提供制限条項（本社債発行後に他の債務のため担保権を設定する場合、本社債のためにも同順位担保権を設定）、②純資産額維持条項（純資産を発行直前期の75％以上に維持）、③配当制限条項（配当金累計額が税引後当期純損益の累計額に一定額を加えた額を越える配当を禁止）、④利益維持条項（経常損益が3期連続して損失となった場合、社債全額について期限の利益を喪失）。社債の格付けが低い企業ほど、多くの財務制限条項を設定しなければならない。</w:t>
      </w:r>
    </w:p>
    <w:p>
      <w:pPr>
        <w:spacing w:after="140" w:line="320"/>
        <w:jc w:val="left"/>
      </w:pPr>
      <w:r>
        <w:rPr>
          <w:rFonts w:ascii="Yu Mincho" w:cs="Yu Mincho" w:eastAsia="Yu Mincho" w:hAnsi="Yu Mincho"/>
          <w:sz w:val="21"/>
          <w:szCs w:val="21"/>
        </w:rPr>
        <w:t xml:space="preserve">大蔵省は1995年3月11日にこのルールを撤廃し、1996年1月1日以降発行決議の銘柄から、財務制限条項は「財務上の特約」という名称のもとで自由に設定できるようになった（米国では従来から当事者間で自由に設定）。1996年に発行された完全無担保の国内公募普通社債297銘柄（分析対象291銘柄）の設定状況は次の通り。</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5500"/>
        <w:gridCol w:w="3700"/>
      </w:tblGrid>
      <w:tr>
        <w:trPr>
          <w:tblHeader/>
        </w:trPr>
        <w:tc>
          <w:tcPr>
            <w:tcW w:type="dxa" w:w="5500"/>
            <w:shd w:fill="DDE6F0" w:val="clear"/>
            <w:tcMar>
              <w:top w:type="dxa" w:w="60"/>
              <w:left w:type="dxa" w:w="100"/>
              <w:bottom w:type="dxa" w:w="60"/>
              <w:right w:type="dxa" w:w="100"/>
            </w:tcMar>
          </w:tcPr>
          <w:p>
            <w:r>
              <w:rPr>
                <w:rFonts w:ascii="Yu Gothic" w:cs="Yu Gothic" w:eastAsia="Yu Gothic" w:hAnsi="Yu Gothic"/>
                <w:b/>
                <w:bCs/>
                <w:sz w:val="19"/>
                <w:szCs w:val="19"/>
              </w:rPr>
              <w:t xml:space="preserve">特約の組み合わせ</w:t>
            </w:r>
          </w:p>
        </w:tc>
        <w:tc>
          <w:tcPr>
            <w:tcW w:type="dxa" w:w="3700"/>
            <w:shd w:fill="DDE6F0" w:val="clear"/>
            <w:tcMar>
              <w:top w:type="dxa" w:w="60"/>
              <w:left w:type="dxa" w:w="100"/>
              <w:bottom w:type="dxa" w:w="60"/>
              <w:right w:type="dxa" w:w="100"/>
            </w:tcMar>
          </w:tcPr>
          <w:p>
            <w:r>
              <w:rPr>
                <w:rFonts w:ascii="Yu Gothic" w:cs="Yu Gothic" w:eastAsia="Yu Gothic" w:hAnsi="Yu Gothic"/>
                <w:b/>
                <w:bCs/>
                <w:sz w:val="19"/>
                <w:szCs w:val="19"/>
              </w:rPr>
              <w:t xml:space="preserve">銘柄数（割合）</w:t>
            </w:r>
          </w:p>
        </w:tc>
      </w:tr>
      <w:tr>
        <w:tc>
          <w:tcPr>
            <w:tcW w:type="dxa" w:w="5500"/>
            <w:tcMar>
              <w:top w:type="dxa" w:w="60"/>
              <w:left w:type="dxa" w:w="100"/>
              <w:bottom w:type="dxa" w:w="60"/>
              <w:right w:type="dxa" w:w="100"/>
            </w:tcMar>
          </w:tcPr>
          <w:p>
            <w:r>
              <w:rPr>
                <w:rFonts w:ascii="Yu Mincho" w:cs="Yu Mincho" w:eastAsia="Yu Mincho" w:hAnsi="Yu Mincho"/>
                <w:sz w:val="19"/>
                <w:szCs w:val="19"/>
              </w:rPr>
              <w:t xml:space="preserve">担保のみ</w:t>
            </w:r>
          </w:p>
        </w:tc>
        <w:tc>
          <w:tcPr>
            <w:tcW w:type="dxa" w:w="3700"/>
            <w:tcMar>
              <w:top w:type="dxa" w:w="60"/>
              <w:left w:type="dxa" w:w="100"/>
              <w:bottom w:type="dxa" w:w="60"/>
              <w:right w:type="dxa" w:w="100"/>
            </w:tcMar>
          </w:tcPr>
          <w:p>
            <w:r>
              <w:rPr>
                <w:rFonts w:ascii="Yu Mincho" w:cs="Yu Mincho" w:eastAsia="Yu Mincho" w:hAnsi="Yu Mincho"/>
                <w:sz w:val="19"/>
                <w:szCs w:val="19"/>
              </w:rPr>
              <w:t xml:space="preserve">203（69.77％）</w:t>
            </w:r>
          </w:p>
        </w:tc>
      </w:tr>
      <w:tr>
        <w:tc>
          <w:tcPr>
            <w:tcW w:type="dxa" w:w="5500"/>
            <w:tcMar>
              <w:top w:type="dxa" w:w="60"/>
              <w:left w:type="dxa" w:w="100"/>
              <w:bottom w:type="dxa" w:w="60"/>
              <w:right w:type="dxa" w:w="100"/>
            </w:tcMar>
          </w:tcPr>
          <w:p>
            <w:r>
              <w:rPr>
                <w:rFonts w:ascii="Yu Mincho" w:cs="Yu Mincho" w:eastAsia="Yu Mincho" w:hAnsi="Yu Mincho"/>
                <w:sz w:val="19"/>
                <w:szCs w:val="19"/>
              </w:rPr>
              <w:t xml:space="preserve">担保＋純資産</w:t>
            </w:r>
          </w:p>
        </w:tc>
        <w:tc>
          <w:tcPr>
            <w:tcW w:type="dxa" w:w="3700"/>
            <w:tcMar>
              <w:top w:type="dxa" w:w="60"/>
              <w:left w:type="dxa" w:w="100"/>
              <w:bottom w:type="dxa" w:w="60"/>
              <w:right w:type="dxa" w:w="100"/>
            </w:tcMar>
          </w:tcPr>
          <w:p>
            <w:r>
              <w:rPr>
                <w:rFonts w:ascii="Yu Mincho" w:cs="Yu Mincho" w:eastAsia="Yu Mincho" w:hAnsi="Yu Mincho"/>
                <w:sz w:val="19"/>
                <w:szCs w:val="19"/>
              </w:rPr>
              <w:t xml:space="preserve">37（12.71％）</w:t>
            </w:r>
          </w:p>
        </w:tc>
      </w:tr>
      <w:tr>
        <w:tc>
          <w:tcPr>
            <w:tcW w:type="dxa" w:w="5500"/>
            <w:tcMar>
              <w:top w:type="dxa" w:w="60"/>
              <w:left w:type="dxa" w:w="100"/>
              <w:bottom w:type="dxa" w:w="60"/>
              <w:right w:type="dxa" w:w="100"/>
            </w:tcMar>
          </w:tcPr>
          <w:p>
            <w:r>
              <w:rPr>
                <w:rFonts w:ascii="Yu Mincho" w:cs="Yu Mincho" w:eastAsia="Yu Mincho" w:hAnsi="Yu Mincho"/>
                <w:sz w:val="19"/>
                <w:szCs w:val="19"/>
              </w:rPr>
              <w:t xml:space="preserve">担保＋利益</w:t>
            </w:r>
          </w:p>
        </w:tc>
        <w:tc>
          <w:tcPr>
            <w:tcW w:type="dxa" w:w="3700"/>
            <w:tcMar>
              <w:top w:type="dxa" w:w="60"/>
              <w:left w:type="dxa" w:w="100"/>
              <w:bottom w:type="dxa" w:w="60"/>
              <w:right w:type="dxa" w:w="100"/>
            </w:tcMar>
          </w:tcPr>
          <w:p>
            <w:r>
              <w:rPr>
                <w:rFonts w:ascii="Yu Mincho" w:cs="Yu Mincho" w:eastAsia="Yu Mincho" w:hAnsi="Yu Mincho"/>
                <w:sz w:val="19"/>
                <w:szCs w:val="19"/>
              </w:rPr>
              <w:t xml:space="preserve">25（8.59％）</w:t>
            </w:r>
          </w:p>
        </w:tc>
      </w:tr>
      <w:tr>
        <w:tc>
          <w:tcPr>
            <w:tcW w:type="dxa" w:w="5500"/>
            <w:tcMar>
              <w:top w:type="dxa" w:w="60"/>
              <w:left w:type="dxa" w:w="100"/>
              <w:bottom w:type="dxa" w:w="60"/>
              <w:right w:type="dxa" w:w="100"/>
            </w:tcMar>
          </w:tcPr>
          <w:p>
            <w:r>
              <w:rPr>
                <w:rFonts w:ascii="Yu Mincho" w:cs="Yu Mincho" w:eastAsia="Yu Mincho" w:hAnsi="Yu Mincho"/>
                <w:sz w:val="19"/>
                <w:szCs w:val="19"/>
              </w:rPr>
              <w:t xml:space="preserve">担保＋純資産＋利益</w:t>
            </w:r>
          </w:p>
        </w:tc>
        <w:tc>
          <w:tcPr>
            <w:tcW w:type="dxa" w:w="3700"/>
            <w:tcMar>
              <w:top w:type="dxa" w:w="60"/>
              <w:left w:type="dxa" w:w="100"/>
              <w:bottom w:type="dxa" w:w="60"/>
              <w:right w:type="dxa" w:w="100"/>
            </w:tcMar>
          </w:tcPr>
          <w:p>
            <w:r>
              <w:rPr>
                <w:rFonts w:ascii="Yu Mincho" w:cs="Yu Mincho" w:eastAsia="Yu Mincho" w:hAnsi="Yu Mincho"/>
                <w:sz w:val="19"/>
                <w:szCs w:val="19"/>
              </w:rPr>
              <w:t xml:space="preserve">25（8.59％）</w:t>
            </w:r>
          </w:p>
        </w:tc>
      </w:tr>
      <w:tr>
        <w:tc>
          <w:tcPr>
            <w:tcW w:type="dxa" w:w="5500"/>
            <w:tcMar>
              <w:top w:type="dxa" w:w="60"/>
              <w:left w:type="dxa" w:w="100"/>
              <w:bottom w:type="dxa" w:w="60"/>
              <w:right w:type="dxa" w:w="100"/>
            </w:tcMar>
          </w:tcPr>
          <w:p>
            <w:r>
              <w:rPr>
                <w:rFonts w:ascii="Yu Mincho" w:cs="Yu Mincho" w:eastAsia="Yu Mincho" w:hAnsi="Yu Mincho"/>
                <w:sz w:val="19"/>
                <w:szCs w:val="19"/>
              </w:rPr>
              <w:t xml:space="preserve">担保＋純資産＋利益＋配当</w:t>
            </w:r>
          </w:p>
        </w:tc>
        <w:tc>
          <w:tcPr>
            <w:tcW w:type="dxa" w:w="3700"/>
            <w:tcMar>
              <w:top w:type="dxa" w:w="60"/>
              <w:left w:type="dxa" w:w="100"/>
              <w:bottom w:type="dxa" w:w="60"/>
              <w:right w:type="dxa" w:w="100"/>
            </w:tcMar>
          </w:tcPr>
          <w:p>
            <w:r>
              <w:rPr>
                <w:rFonts w:ascii="Yu Mincho" w:cs="Yu Mincho" w:eastAsia="Yu Mincho" w:hAnsi="Yu Mincho"/>
                <w:sz w:val="19"/>
                <w:szCs w:val="19"/>
              </w:rPr>
              <w:t xml:space="preserve">1（0.34％）</w:t>
            </w:r>
          </w:p>
        </w:tc>
      </w:tr>
      <w:tr>
        <w:tc>
          <w:tcPr>
            <w:tcW w:type="dxa" w:w="5500"/>
            <w:tcMar>
              <w:top w:type="dxa" w:w="60"/>
              <w:left w:type="dxa" w:w="100"/>
              <w:bottom w:type="dxa" w:w="60"/>
              <w:right w:type="dxa" w:w="100"/>
            </w:tcMar>
          </w:tcPr>
          <w:p>
            <w:r>
              <w:rPr>
                <w:rFonts w:ascii="Yu Mincho" w:cs="Yu Mincho" w:eastAsia="Yu Mincho" w:hAnsi="Yu Mincho"/>
                <w:sz w:val="19"/>
                <w:szCs w:val="19"/>
              </w:rPr>
              <w:t xml:space="preserve">合計</w:t>
            </w:r>
          </w:p>
        </w:tc>
        <w:tc>
          <w:tcPr>
            <w:tcW w:type="dxa" w:w="3700"/>
            <w:tcMar>
              <w:top w:type="dxa" w:w="60"/>
              <w:left w:type="dxa" w:w="100"/>
              <w:bottom w:type="dxa" w:w="60"/>
              <w:right w:type="dxa" w:w="100"/>
            </w:tcMar>
          </w:tcPr>
          <w:p>
            <w:r>
              <w:rPr>
                <w:rFonts w:ascii="Yu Mincho" w:cs="Yu Mincho" w:eastAsia="Yu Mincho" w:hAnsi="Yu Mincho"/>
                <w:sz w:val="19"/>
                <w:szCs w:val="19"/>
              </w:rPr>
              <w:t xml:space="preserve">291（100％）</w:t>
            </w:r>
          </w:p>
        </w:tc>
      </w:tr>
    </w:tbl>
    <w:p>
      <w:pPr>
        <w:spacing w:after="160"/>
      </w:pPr>
      <w:r>
        <w:rPr>
          <w:rFonts w:ascii="Yu Mincho" w:cs="Yu Mincho" w:eastAsia="Yu Mincho" w:hAnsi="Yu Mincho"/>
          <w:i/>
          <w:iCs/>
          <w:color w:val="666666"/>
          <w:sz w:val="16"/>
          <w:szCs w:val="16"/>
        </w:rPr>
        <w:t xml:space="preserve">出所: 須田一幸（2000）『財務会計の機能』白桃書房、83頁・85頁。</w:t>
      </w:r>
    </w:p>
    <w:p>
      <w:pPr>
        <w:spacing w:after="140" w:line="320"/>
        <w:jc w:val="left"/>
      </w:pPr>
      <w:r>
        <w:rPr>
          <w:rFonts w:ascii="Yu Mincho" w:cs="Yu Mincho" w:eastAsia="Yu Mincho" w:hAnsi="Yu Mincho"/>
          <w:sz w:val="21"/>
          <w:szCs w:val="21"/>
        </w:rPr>
        <w:t xml:space="preserve">格付け別に見ると、負債のエイジェンシー費用の大きい企業（格付けの低い企業）ほど財務上の特約を多く設定している（AAA・AA格企業の担保のみの割合37.11％に対し、BBB格企業では0.00％で、より多くの特約を併用）。⇒日本でも財務上の特約が負債のエイジェンシー費用の削減に貢献しており、（1）日本の財務制限条項は従来の行政指導による画一的な設定から近年自由化されたが、いずれも経営者のモラル・ハザードを抑制する形で設定されている。（2）各条項で企業の実態把握に多くの会計情報が利用されている。</w:t>
      </w:r>
    </w:p>
    <w:p>
      <w:pPr>
        <w:pStyle w:val="Heading2"/>
        <w:spacing w:after="160" w:before="360"/>
      </w:pPr>
      <w:r>
        <w:t xml:space="preserve">2.4　財務制限条項に関する実証研究</w:t>
      </w:r>
    </w:p>
    <w:p>
      <w:pPr>
        <w:pStyle w:val="ListParagraph"/>
        <w:numPr>
          <w:ilvl w:val="0"/>
          <w:numId w:val="2"/>
        </w:numPr>
        <w:spacing w:after="80" w:line="300"/>
      </w:pPr>
      <w:r>
        <w:rPr>
          <w:rFonts w:ascii="Yu Mincho" w:cs="Yu Mincho" w:eastAsia="Yu Mincho" w:hAnsi="Yu Mincho"/>
          <w:sz w:val="21"/>
          <w:szCs w:val="21"/>
        </w:rPr>
        <w:t xml:space="preserve">財務制限条項で用いられる会計情報はGAAPにもとづく監査済み財務諸表数値をベースにしており、取得原価主義および保守主義という共通点がある（Leftwich, 1983）。</w:t>
      </w:r>
    </w:p>
    <w:p>
      <w:pPr>
        <w:pStyle w:val="ListParagraph"/>
        <w:numPr>
          <w:ilvl w:val="0"/>
          <w:numId w:val="2"/>
        </w:numPr>
        <w:spacing w:after="80" w:line="300"/>
      </w:pPr>
      <w:r>
        <w:rPr>
          <w:rFonts w:ascii="Yu Mincho" w:cs="Yu Mincho" w:eastAsia="Yu Mincho" w:hAnsi="Yu Mincho"/>
          <w:sz w:val="21"/>
          <w:szCs w:val="21"/>
        </w:rPr>
        <w:t xml:space="preserve">経営者は財務制限条項への抵触を回避するために会計数値を調整する（Sweeney, 1994；DeFond and Jiambalvo, 1994；Dichev and Skinner, 2002）。詳細は第6章2.2節（債務契約仮説）参照。</w:t>
      </w:r>
    </w:p>
    <w:p>
      <w:pPr>
        <w:pStyle w:val="Heading3"/>
        <w:spacing w:after="120" w:before="240"/>
      </w:pPr>
      <w:r>
        <w:t xml:space="preserve">保守主義に関する実証研究</w:t>
      </w:r>
    </w:p>
    <w:p>
      <w:pPr>
        <w:pStyle w:val="ListParagraph"/>
        <w:numPr>
          <w:ilvl w:val="0"/>
          <w:numId w:val="2"/>
        </w:numPr>
        <w:spacing w:after="80" w:line="300"/>
      </w:pPr>
      <w:r>
        <w:rPr>
          <w:rFonts w:ascii="Yu Mincho" w:cs="Yu Mincho" w:eastAsia="Yu Mincho" w:hAnsi="Yu Mincho"/>
          <w:sz w:val="21"/>
          <w:szCs w:val="21"/>
        </w:rPr>
        <w:t xml:space="preserve">Ahmed et al. (2002)：社債発行企業をサンプルに、保守的会計の採用が（1）社債権者と株主の利害対立を緩和しているか、（2）負債コストを低下させるかを分析。結果：株主との利害対立が大きい企業ほど保守的会計を採用しており、保守的な会計を採用している企業ほど負債コストが低下（上位の格付けを取得）している。→保守主義は社債権者と株主の利害対立を緩和し、負債コストの低下という実質的な経済的ベネフィットをもたらす。</w:t>
      </w:r>
    </w:p>
    <w:p>
      <w:pPr>
        <w:pStyle w:val="ListParagraph"/>
        <w:numPr>
          <w:ilvl w:val="0"/>
          <w:numId w:val="2"/>
        </w:numPr>
        <w:spacing w:after="80" w:line="300"/>
      </w:pPr>
      <w:r>
        <w:rPr>
          <w:rFonts w:ascii="Yu Mincho" w:cs="Yu Mincho" w:eastAsia="Yu Mincho" w:hAnsi="Yu Mincho"/>
          <w:sz w:val="21"/>
          <w:szCs w:val="21"/>
        </w:rPr>
        <w:t xml:space="preserve">Zhang (2008)：保守主義が債務契約の事前（ex ante）・事後（ex post）の両方でベネフィットをもたらすことを検証。事後：保守主義の採用は財務制限条項への抵触可能性を高め、デフォルト・リスクのより適時的なシグナリングとなる（貸し手へのベネフィット）。事前：保守主義の採用により負債コストが低下する（借り手へのベネフィット）。→両者のベネフィットが確認され、保守主義は債務契約の事前・事後を通じて契約の効率性を高める。</w:t>
      </w:r>
    </w:p>
    <w:p>
      <w:pPr>
        <w:pStyle w:val="ListParagraph"/>
        <w:numPr>
          <w:ilvl w:val="0"/>
          <w:numId w:val="2"/>
        </w:numPr>
        <w:spacing w:after="80" w:line="300"/>
      </w:pPr>
      <w:r>
        <w:rPr>
          <w:rFonts w:ascii="Yu Mincho" w:cs="Yu Mincho" w:eastAsia="Yu Mincho" w:hAnsi="Yu Mincho"/>
          <w:sz w:val="21"/>
          <w:szCs w:val="21"/>
        </w:rPr>
        <w:t xml:space="preserve">Demerjian (2011)：近年、貸借対照表にもとづく財務制限条項（資本型制限条項）の利用が減少している。会計基準がバランス・シート・アプローチへ変更されたことが仮説として設定され、バランス・シート・アプローチを採用している企業ほど資本型制限条項の利用が減少する一方、業績型制限条項の利用は変化していない。→公正価値の利用が債務契約における貸借対照表の有用性を減少させた可能性を示唆。</w:t>
      </w:r>
    </w:p>
    <w:p>
      <w:pPr>
        <w:pStyle w:val="ListParagraph"/>
        <w:numPr>
          <w:ilvl w:val="0"/>
          <w:numId w:val="2"/>
        </w:numPr>
        <w:spacing w:after="80" w:line="300"/>
      </w:pPr>
      <w:r>
        <w:rPr>
          <w:rFonts w:ascii="Yu Mincho" w:cs="Yu Mincho" w:eastAsia="Yu Mincho" w:hAnsi="Yu Mincho"/>
          <w:sz w:val="21"/>
          <w:szCs w:val="21"/>
        </w:rPr>
        <w:t xml:space="preserve">須田・首藤（2004a, 2004b）：日本における有価証券の時価評価基準（金融商品に係る会計基準）が財務上の特約の設定に与えた影響を分析。時価評価により純資産・利益の変動性が高まれば、社債発行企業は特約に抵触する可能性が高くなるため、公開草案公表後に特約設定が減少すると予測。結果：（1）特約設定は公開草案公表後に有意に減少、（2）有価証券を多く保有し会計基準の影響が大きい企業ほど特約を設定していない、（3）公開草案公表後に特約を設定していない社債の利率は有意に増加（設定している社債は変化なし）。→時価評価導入は事前的には負債コストの増加、事後的には財務制限条項の有効性低下をもたらし、会計基準変更が債務契約の効率性を損なっている可能性を示唆（⇔Zhang (2008)とは逆方向のインプリケーション）。</w:t>
      </w:r>
    </w:p>
    <w:p>
      <w:pPr>
        <w:pStyle w:val="Heading2"/>
        <w:spacing w:after="160" w:before="360"/>
      </w:pPr>
      <w:r>
        <w:t xml:space="preserve">2.5　債務契約の事前的意思決定と会計情報：デフォルト・リスク</w:t>
      </w:r>
    </w:p>
    <w:p>
      <w:pPr>
        <w:spacing w:after="140" w:line="320"/>
        <w:jc w:val="left"/>
      </w:pPr>
      <w:r>
        <w:rPr>
          <w:rFonts w:ascii="Yu Mincho" w:cs="Yu Mincho" w:eastAsia="Yu Mincho" w:hAnsi="Yu Mincho"/>
          <w:sz w:val="21"/>
          <w:szCs w:val="21"/>
        </w:rPr>
        <w:t xml:space="preserve">債権投資家・資金の貸し付けを行う者の関心は事前の意思決定にある。すなわち、貸し付けた資金の利子が予定通り支払われ、満期に現金が返済されるかどうか（デフォルト・リスク）の評価である。</w:t>
      </w:r>
    </w:p>
    <w:p>
      <w:pPr>
        <w:pStyle w:val="ListParagraph"/>
        <w:numPr>
          <w:ilvl w:val="0"/>
          <w:numId w:val="2"/>
        </w:numPr>
        <w:spacing w:after="80" w:line="300"/>
      </w:pPr>
      <w:r>
        <w:rPr>
          <w:rFonts w:ascii="Yu Mincho" w:cs="Yu Mincho" w:eastAsia="Yu Mincho" w:hAnsi="Yu Mincho"/>
          <w:sz w:val="21"/>
          <w:szCs w:val="21"/>
        </w:rPr>
        <w:t xml:space="preserve">会計利益と社債の異常リターンの間には正の相関関係がみられる（Datta and Dhillon, 1993；Plummer and Tse, 1999；Easton, Monahan, and Vasvari, 2009）。</w:t>
      </w:r>
    </w:p>
    <w:p>
      <w:pPr>
        <w:pStyle w:val="ListParagraph"/>
        <w:numPr>
          <w:ilvl w:val="0"/>
          <w:numId w:val="2"/>
        </w:numPr>
        <w:spacing w:after="80" w:line="300"/>
      </w:pPr>
      <w:r>
        <w:rPr>
          <w:rFonts w:ascii="Yu Mincho" w:cs="Yu Mincho" w:eastAsia="Yu Mincho" w:hAnsi="Yu Mincho"/>
          <w:sz w:val="21"/>
          <w:szCs w:val="21"/>
        </w:rPr>
        <w:t xml:space="preserve">Jiang（2008）：3つの「利益ベンチマーク」（損失回避、減益回避、アナリスト予想値の達成）と負債コスト（社債発行時利回り・信用格付けの変化）の関係を分析。利益ベンチマークの達成は社債発行時利回りを低下させ、格付けが上位にランクアップする可能性を高める。</w:t>
      </w:r>
    </w:p>
    <w:p>
      <w:pPr>
        <w:pStyle w:val="ListParagraph"/>
        <w:numPr>
          <w:ilvl w:val="0"/>
          <w:numId w:val="2"/>
        </w:numPr>
        <w:spacing w:after="80" w:line="300"/>
      </w:pPr>
      <w:r>
        <w:rPr>
          <w:rFonts w:ascii="Yu Mincho" w:cs="Yu Mincho" w:eastAsia="Yu Mincho" w:hAnsi="Yu Mincho"/>
          <w:sz w:val="21"/>
          <w:szCs w:val="21"/>
        </w:rPr>
        <w:t xml:space="preserve">デフォルト・リスクの影響：株式は残余請求権（residual claim）を有するのに対し、債権は元本・利息に対する固定的な請求権（fixed claim）のみを有するため、企業価値上昇に伴う保有便益は限定的である一方、企業価値低下時には請求権が毀損する可能性がある。したがって債権者にとっての会計情報の価値は、企業のデフォルト・リスクが高く請求権の毀損リスクが高まる状況下でより高まる。</w:t>
      </w:r>
    </w:p>
    <w:p>
      <w:pPr>
        <w:pStyle w:val="ListParagraph"/>
        <w:numPr>
          <w:ilvl w:val="0"/>
          <w:numId w:val="2"/>
        </w:numPr>
        <w:spacing w:after="80" w:line="300"/>
      </w:pPr>
      <w:r>
        <w:rPr>
          <w:rFonts w:ascii="Yu Mincho" w:cs="Yu Mincho" w:eastAsia="Yu Mincho" w:hAnsi="Yu Mincho"/>
          <w:sz w:val="21"/>
          <w:szCs w:val="21"/>
        </w:rPr>
        <w:t xml:space="preserve">Easton, Monahan, and Vasvari（2009）：社債市場における会計利益情報の有用性は、債務者のデフォルト・リスクが高い場合（格付けが投機的水準）により顕著になる。</w:t>
      </w:r>
    </w:p>
    <w:p>
      <w:pPr>
        <w:pStyle w:val="ListParagraph"/>
        <w:numPr>
          <w:ilvl w:val="0"/>
          <w:numId w:val="2"/>
        </w:numPr>
        <w:spacing w:after="80" w:line="300"/>
      </w:pPr>
      <w:r>
        <w:rPr>
          <w:rFonts w:ascii="Yu Mincho" w:cs="Yu Mincho" w:eastAsia="Yu Mincho" w:hAnsi="Yu Mincho"/>
          <w:sz w:val="21"/>
          <w:szCs w:val="21"/>
        </w:rPr>
        <w:t xml:space="preserve">Plummer and Tse（1999）：会計利益と社債リターンの関連性は信用格付けにより測定したデフォルト・リスクが高い企業において強まる。反対に、会計利益と株式リターンの関係性は企業のデフォルト・リスクが高い場合には弱まる。</w:t>
      </w:r>
    </w:p>
    <w:p>
      <w:pPr>
        <w:pStyle w:val="ListParagraph"/>
        <w:numPr>
          <w:ilvl w:val="0"/>
          <w:numId w:val="2"/>
        </w:numPr>
        <w:spacing w:after="80" w:line="300"/>
      </w:pPr>
      <w:r>
        <w:rPr>
          <w:rFonts w:ascii="Yu Mincho" w:cs="Yu Mincho" w:eastAsia="Yu Mincho" w:hAnsi="Yu Mincho"/>
          <w:sz w:val="21"/>
          <w:szCs w:val="21"/>
        </w:rPr>
        <w:t xml:space="preserve">Jiang（2008）：3つの利益ベンチマークの中で損失回避を示す指標に最も負債コスト低減効果が認められ、社債市場におけるバッド・ニュース（損失情報）の重要性を裏付けている。</w:t>
      </w:r>
    </w:p>
    <w:p>
      <w:pPr>
        <w:pStyle w:val="Heading2"/>
        <w:spacing w:after="160" w:before="360"/>
      </w:pPr>
      <w:r>
        <w:t xml:space="preserve">2.6　倒産予測と財務指標</w:t>
      </w:r>
    </w:p>
    <w:p>
      <w:pPr>
        <w:spacing w:after="140" w:line="320"/>
        <w:jc w:val="left"/>
      </w:pPr>
      <w:r>
        <w:rPr>
          <w:rFonts w:ascii="Yu Mincho" w:cs="Yu Mincho" w:eastAsia="Yu Mincho" w:hAnsi="Yu Mincho"/>
          <w:sz w:val="21"/>
          <w:szCs w:val="21"/>
        </w:rPr>
        <w:t xml:space="preserve">デフォルト・リスクが顕在化した状況である倒産予測に、会計情報が利用できるかを分析する。以下では、実際に倒産した日本企業をサンプルに、財務指標や伝統的な倒産予測モデルの有効性を検討する（サンプル選択：須田一幸・山本達司・乙政正太編著（2007）『会計操作』ダイヤモンド社）。</w:t>
      </w:r>
    </w:p>
    <w:p>
      <w:pPr>
        <w:spacing w:after="140" w:line="320"/>
        <w:jc w:val="left"/>
      </w:pPr>
      <w:r>
        <w:rPr>
          <w:rFonts w:ascii="Yu Mincho" w:cs="Yu Mincho" w:eastAsia="Yu Mincho" w:hAnsi="Yu Mincho"/>
          <w:sz w:val="21"/>
          <w:szCs w:val="21"/>
        </w:rPr>
        <w:t xml:space="preserve">分析方法：サンプル企業（1980年〜2002年5月に自己破産・会社更生法を申請した一般事業会社で分析可能な81社）とコントロール企業（同業種で総資産額が最も近似する企業）の財務指標を比較する。倒産期を0期として-5期から-1期までの財務指標を比較。</w:t>
      </w:r>
    </w:p>
    <w:p>
      <w:pPr>
        <w:pStyle w:val="Heading3"/>
        <w:spacing w:after="120" w:before="240"/>
      </w:pPr>
      <w:r>
        <w:t xml:space="preserve">① 安全性の分析</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400"/>
        <w:gridCol w:w="32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財務指標</w:t>
            </w:r>
          </w:p>
        </w:tc>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計算式</w:t>
            </w:r>
          </w:p>
        </w:tc>
        <w:tc>
          <w:tcPr>
            <w:tcW w:type="dxa" w:w="3200"/>
            <w:shd w:fill="DDE6F0" w:val="clear"/>
            <w:tcMar>
              <w:top w:type="dxa" w:w="60"/>
              <w:left w:type="dxa" w:w="100"/>
              <w:bottom w:type="dxa" w:w="60"/>
              <w:right w:type="dxa" w:w="100"/>
            </w:tcMar>
          </w:tcPr>
          <w:p>
            <w:r>
              <w:rPr>
                <w:rFonts w:ascii="Yu Gothic" w:cs="Yu Gothic" w:eastAsia="Yu Gothic" w:hAnsi="Yu Gothic"/>
                <w:b/>
                <w:bCs/>
                <w:sz w:val="19"/>
                <w:szCs w:val="19"/>
              </w:rPr>
              <w:t xml:space="preserve">意味</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流動比率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流動資産÷流動負債</w:t>
            </w:r>
          </w:p>
        </w:tc>
        <w:tc>
          <w:tcPr>
            <w:tcW w:type="dxa" w:w="3200"/>
            <w:tcMar>
              <w:top w:type="dxa" w:w="60"/>
              <w:left w:type="dxa" w:w="100"/>
              <w:bottom w:type="dxa" w:w="60"/>
              <w:right w:type="dxa" w:w="100"/>
            </w:tcMar>
          </w:tcPr>
          <w:p>
            <w:r>
              <w:rPr>
                <w:rFonts w:ascii="Yu Mincho" w:cs="Yu Mincho" w:eastAsia="Yu Mincho" w:hAnsi="Yu Mincho"/>
                <w:sz w:val="19"/>
                <w:szCs w:val="19"/>
              </w:rPr>
              <w:t xml:space="preserve">支払期限の近い流動負債を決済するのに十分な流動資産を有しているか（高い方が望ましい）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当座比率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当座資産÷流動負債</w:t>
            </w:r>
          </w:p>
        </w:tc>
        <w:tc>
          <w:tcPr>
            <w:tcW w:type="dxa" w:w="3200"/>
            <w:tcMar>
              <w:top w:type="dxa" w:w="60"/>
              <w:left w:type="dxa" w:w="100"/>
              <w:bottom w:type="dxa" w:w="60"/>
              <w:right w:type="dxa" w:w="100"/>
            </w:tcMar>
          </w:tcPr>
          <w:p>
            <w:r>
              <w:rPr>
                <w:rFonts w:ascii="Yu Mincho" w:cs="Yu Mincho" w:eastAsia="Yu Mincho" w:hAnsi="Yu Mincho"/>
                <w:sz w:val="19"/>
                <w:szCs w:val="19"/>
              </w:rPr>
              <w:t xml:space="preserve">流動比率と同じく短期の債務支払能力を判定（高い方が望ましい）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手元流動性比率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手元流動性÷（売上高÷12）</w:t>
            </w:r>
          </w:p>
        </w:tc>
        <w:tc>
          <w:tcPr>
            <w:tcW w:type="dxa" w:w="3200"/>
            <w:tcMar>
              <w:top w:type="dxa" w:w="60"/>
              <w:left w:type="dxa" w:w="100"/>
              <w:bottom w:type="dxa" w:w="60"/>
              <w:right w:type="dxa" w:w="100"/>
            </w:tcMar>
          </w:tcPr>
          <w:p>
            <w:r>
              <w:rPr>
                <w:rFonts w:ascii="Yu Mincho" w:cs="Yu Mincho" w:eastAsia="Yu Mincho" w:hAnsi="Yu Mincho"/>
                <w:sz w:val="19"/>
                <w:szCs w:val="19"/>
              </w:rPr>
              <w:t xml:space="preserve">債務返済に必要な金額が確保されているか（高い方が望ましい）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インタレスト・カバレッジ・レシオ</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（営業利益＋受取利息）÷（支払利息・社債利息等）</w:t>
            </w:r>
          </w:p>
        </w:tc>
        <w:tc>
          <w:tcPr>
            <w:tcW w:type="dxa" w:w="3200"/>
            <w:tcMar>
              <w:top w:type="dxa" w:w="60"/>
              <w:left w:type="dxa" w:w="100"/>
              <w:bottom w:type="dxa" w:w="60"/>
              <w:right w:type="dxa" w:w="100"/>
            </w:tcMar>
          </w:tcPr>
          <w:p>
            <w:r>
              <w:rPr>
                <w:rFonts w:ascii="Yu Mincho" w:cs="Yu Mincho" w:eastAsia="Yu Mincho" w:hAnsi="Yu Mincho"/>
                <w:sz w:val="19"/>
                <w:szCs w:val="19"/>
              </w:rPr>
              <w:t xml:space="preserve">利息を支払うために十分な利益が獲得できているか（高いほど安全性が高い）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固定比率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固定資産÷純資産</w:t>
            </w:r>
          </w:p>
        </w:tc>
        <w:tc>
          <w:tcPr>
            <w:tcW w:type="dxa" w:w="3200"/>
            <w:tcMar>
              <w:top w:type="dxa" w:w="60"/>
              <w:left w:type="dxa" w:w="100"/>
              <w:bottom w:type="dxa" w:w="60"/>
              <w:right w:type="dxa" w:w="100"/>
            </w:tcMar>
          </w:tcPr>
          <w:p>
            <w:r>
              <w:rPr>
                <w:rFonts w:ascii="Yu Mincho" w:cs="Yu Mincho" w:eastAsia="Yu Mincho" w:hAnsi="Yu Mincho"/>
                <w:sz w:val="19"/>
                <w:szCs w:val="19"/>
              </w:rPr>
              <w:t xml:space="preserve">長期投資額が返済義務のない純資産でまかなわれているか（低い方が望ましい）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固定長期適合率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固定資産÷（純資産＋固定負債）</w:t>
            </w:r>
          </w:p>
        </w:tc>
        <w:tc>
          <w:tcPr>
            <w:tcW w:type="dxa" w:w="3200"/>
            <w:tcMar>
              <w:top w:type="dxa" w:w="60"/>
              <w:left w:type="dxa" w:w="100"/>
              <w:bottom w:type="dxa" w:w="60"/>
              <w:right w:type="dxa" w:w="100"/>
            </w:tcMar>
          </w:tcPr>
          <w:p>
            <w:r>
              <w:rPr>
                <w:rFonts w:ascii="Yu Mincho" w:cs="Yu Mincho" w:eastAsia="Yu Mincho" w:hAnsi="Yu Mincho"/>
                <w:sz w:val="19"/>
                <w:szCs w:val="19"/>
              </w:rPr>
              <w:t xml:space="preserve">長期資金の調達と運用のバランス（低い方が望ましい）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負債比率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負債総額÷純資産</w:t>
            </w:r>
          </w:p>
        </w:tc>
        <w:tc>
          <w:tcPr>
            <w:tcW w:type="dxa" w:w="3200"/>
            <w:tcMar>
              <w:top w:type="dxa" w:w="60"/>
              <w:left w:type="dxa" w:w="100"/>
              <w:bottom w:type="dxa" w:w="60"/>
              <w:right w:type="dxa" w:w="100"/>
            </w:tcMar>
          </w:tcPr>
          <w:p>
            <w:r>
              <w:rPr>
                <w:rFonts w:ascii="Yu Mincho" w:cs="Yu Mincho" w:eastAsia="Yu Mincho" w:hAnsi="Yu Mincho"/>
                <w:sz w:val="19"/>
                <w:szCs w:val="19"/>
              </w:rPr>
              <w:t xml:space="preserve">返済を要する負債と要しない純資産のバランス（高いほど安全性が低い）</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自己資本比率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自己資本÷負債・純資産合計</w:t>
            </w:r>
          </w:p>
        </w:tc>
        <w:tc>
          <w:tcPr>
            <w:tcW w:type="dxa" w:w="3200"/>
            <w:tcMar>
              <w:top w:type="dxa" w:w="60"/>
              <w:left w:type="dxa" w:w="100"/>
              <w:bottom w:type="dxa" w:w="60"/>
              <w:right w:type="dxa" w:w="100"/>
            </w:tcMar>
          </w:tcPr>
          <w:p>
            <w:r>
              <w:rPr>
                <w:rFonts w:ascii="Yu Mincho" w:cs="Yu Mincho" w:eastAsia="Yu Mincho" w:hAnsi="Yu Mincho"/>
                <w:sz w:val="19"/>
                <w:szCs w:val="19"/>
              </w:rPr>
              <w:t xml:space="preserve">純資産と負債のバランス（高い方が望ましい）</w:t>
            </w:r>
          </w:p>
        </w:tc>
      </w:tr>
    </w:tbl>
    <w:p>
      <w:pPr>
        <w:spacing w:after="140" w:line="320"/>
        <w:jc w:val="left"/>
      </w:pPr>
      <w:r>
        <w:rPr>
          <w:rFonts w:ascii="Yu Mincho" w:cs="Yu Mincho" w:eastAsia="Yu Mincho" w:hAnsi="Yu Mincho"/>
          <w:sz w:val="21"/>
          <w:szCs w:val="21"/>
        </w:rPr>
        <w:t xml:space="preserve">調査結果：短期の安全性（流動比率、当座比率、手元流動性比率、インタレスト・カバレッジ・レシオ）、長期の安全性（固定比率、固定長期適合率、負債比率、自己資本比率）のいずれについても、倒産企業（破線）はコントロール企業（実線）と比較して倒産が近づくにつれ悪化する傾向が明確に観察された。</w:t>
      </w:r>
    </w:p>
    <w:p>
      <w:pPr>
        <w:pStyle w:val="Heading3"/>
        <w:spacing w:after="120" w:before="240"/>
      </w:pPr>
      <w:r>
        <w:t xml:space="preserve">② 収益性の分析</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3600"/>
        <w:gridCol w:w="2800"/>
      </w:tblGrid>
      <w:tr>
        <w:trPr>
          <w:tblHeader/>
        </w:trPr>
        <w:tc>
          <w:tcPr>
            <w:tcW w:type="dxa" w:w="2800"/>
            <w:shd w:fill="DDE6F0" w:val="clear"/>
            <w:tcMar>
              <w:top w:type="dxa" w:w="60"/>
              <w:left w:type="dxa" w:w="100"/>
              <w:bottom w:type="dxa" w:w="60"/>
              <w:right w:type="dxa" w:w="100"/>
            </w:tcMar>
          </w:tcPr>
          <w:p>
            <w:r>
              <w:rPr>
                <w:rFonts w:ascii="Yu Gothic" w:cs="Yu Gothic" w:eastAsia="Yu Gothic" w:hAnsi="Yu Gothic"/>
                <w:b/>
                <w:bCs/>
                <w:sz w:val="19"/>
                <w:szCs w:val="19"/>
              </w:rPr>
              <w:t xml:space="preserve">財務指標</w:t>
            </w:r>
          </w:p>
        </w:tc>
        <w:tc>
          <w:tcPr>
            <w:tcW w:type="dxa" w:w="3600"/>
            <w:shd w:fill="DDE6F0" w:val="clear"/>
            <w:tcMar>
              <w:top w:type="dxa" w:w="60"/>
              <w:left w:type="dxa" w:w="100"/>
              <w:bottom w:type="dxa" w:w="60"/>
              <w:right w:type="dxa" w:w="100"/>
            </w:tcMar>
          </w:tcPr>
          <w:p>
            <w:r>
              <w:rPr>
                <w:rFonts w:ascii="Yu Gothic" w:cs="Yu Gothic" w:eastAsia="Yu Gothic" w:hAnsi="Yu Gothic"/>
                <w:b/>
                <w:bCs/>
                <w:sz w:val="19"/>
                <w:szCs w:val="19"/>
              </w:rPr>
              <w:t xml:space="preserve">計算式</w:t>
            </w:r>
          </w:p>
        </w:tc>
        <w:tc>
          <w:tcPr>
            <w:tcW w:type="dxa" w:w="2800"/>
            <w:shd w:fill="DDE6F0" w:val="clear"/>
            <w:tcMar>
              <w:top w:type="dxa" w:w="60"/>
              <w:left w:type="dxa" w:w="100"/>
              <w:bottom w:type="dxa" w:w="60"/>
              <w:right w:type="dxa" w:w="100"/>
            </w:tcMar>
          </w:tcPr>
          <w:p>
            <w:r>
              <w:rPr>
                <w:rFonts w:ascii="Yu Gothic" w:cs="Yu Gothic" w:eastAsia="Yu Gothic" w:hAnsi="Yu Gothic"/>
                <w:b/>
                <w:bCs/>
                <w:sz w:val="19"/>
                <w:szCs w:val="19"/>
              </w:rPr>
              <w:t xml:space="preserve">意味</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売上高売上総利益率</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売上総利益÷売上高</w:t>
            </w:r>
          </w:p>
        </w:tc>
        <w:tc>
          <w:tcPr>
            <w:tcW w:type="dxa" w:w="2800"/>
            <w:tcMar>
              <w:top w:type="dxa" w:w="60"/>
              <w:left w:type="dxa" w:w="100"/>
              <w:bottom w:type="dxa" w:w="60"/>
              <w:right w:type="dxa" w:w="100"/>
            </w:tcMar>
          </w:tcPr>
          <w:p>
            <w:r>
              <w:rPr>
                <w:rFonts w:ascii="Yu Mincho" w:cs="Yu Mincho" w:eastAsia="Yu Mincho" w:hAnsi="Yu Mincho"/>
                <w:sz w:val="19"/>
                <w:szCs w:val="19"/>
              </w:rPr>
              <w:t xml:space="preserve">製品・商品の利幅（粗利益率）。高い方が望ましい</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総資産経常利益率</w:t>
            </w:r>
          </w:p>
        </w:tc>
        <w:tc>
          <w:tcPr>
            <w:tcW w:type="dxa" w:w="3600"/>
            <w:tcMar>
              <w:top w:type="dxa" w:w="60"/>
              <w:left w:type="dxa" w:w="100"/>
              <w:bottom w:type="dxa" w:w="60"/>
              <w:right w:type="dxa" w:w="100"/>
            </w:tcMar>
          </w:tcPr>
          <w:p>
            <w:r>
              <w:rPr>
                <w:rFonts w:ascii="Yu Mincho" w:cs="Yu Mincho" w:eastAsia="Yu Mincho" w:hAnsi="Yu Mincho"/>
                <w:sz w:val="19"/>
                <w:szCs w:val="19"/>
              </w:rPr>
              <w:t xml:space="preserve">経常利益÷総資産</w:t>
            </w:r>
          </w:p>
        </w:tc>
        <w:tc>
          <w:tcPr>
            <w:tcW w:type="dxa" w:w="2800"/>
            <w:tcMar>
              <w:top w:type="dxa" w:w="60"/>
              <w:left w:type="dxa" w:w="100"/>
              <w:bottom w:type="dxa" w:w="60"/>
              <w:right w:type="dxa" w:w="100"/>
            </w:tcMar>
          </w:tcPr>
          <w:p>
            <w:r>
              <w:rPr>
                <w:rFonts w:ascii="Yu Mincho" w:cs="Yu Mincho" w:eastAsia="Yu Mincho" w:hAnsi="Yu Mincho"/>
                <w:sz w:val="19"/>
                <w:szCs w:val="19"/>
              </w:rPr>
              <w:t xml:space="preserve">投下資金全体から経常的活動を通じ利益を獲得しているか。高い方が望ましい</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自己資本当期純利益率</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当期純利益÷自己資本</w:t>
            </w:r>
          </w:p>
        </w:tc>
        <w:tc>
          <w:tcPr>
            <w:tcW w:type="dxa" w:w="2800"/>
            <w:tcMar>
              <w:top w:type="dxa" w:w="60"/>
              <w:left w:type="dxa" w:w="100"/>
              <w:bottom w:type="dxa" w:w="60"/>
              <w:right w:type="dxa" w:w="100"/>
            </w:tcMar>
          </w:tcPr>
          <w:p>
            <w:r>
              <w:rPr>
                <w:rFonts w:ascii="Yu Mincho" w:cs="Yu Mincho" w:eastAsia="Yu Mincho" w:hAnsi="Yu Mincho"/>
                <w:sz w:val="19"/>
                <w:szCs w:val="19"/>
              </w:rPr>
              <w:t xml:space="preserve">株主に分配可能な利益を獲得しているか。高い方が望ましい</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売上債権回転率／回転期間</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売上高÷売上債権 ／ 365÷（売上高÷売上債権）</w:t>
            </w:r>
          </w:p>
        </w:tc>
        <w:tc>
          <w:tcPr>
            <w:tcW w:type="dxa" w:w="2800"/>
            <w:tcMar>
              <w:top w:type="dxa" w:w="60"/>
              <w:left w:type="dxa" w:w="100"/>
              <w:bottom w:type="dxa" w:w="60"/>
              <w:right w:type="dxa" w:w="100"/>
            </w:tcMar>
          </w:tcPr>
          <w:p>
            <w:r>
              <w:rPr>
                <w:rFonts w:ascii="Yu Mincho" w:cs="Yu Mincho" w:eastAsia="Yu Mincho" w:hAnsi="Yu Mincho"/>
                <w:sz w:val="19"/>
                <w:szCs w:val="19"/>
              </w:rPr>
              <w:t xml:space="preserve">売上債権の回収速度。回転率は高いほど、回転期間は短いほど望ましい</w:t>
            </w:r>
          </w:p>
        </w:tc>
      </w:tr>
      <w:tr>
        <w:tc>
          <w:tcPr>
            <w:tcW w:type="dxa" w:w="2800"/>
            <w:tcMar>
              <w:top w:type="dxa" w:w="60"/>
              <w:left w:type="dxa" w:w="100"/>
              <w:bottom w:type="dxa" w:w="60"/>
              <w:right w:type="dxa" w:w="100"/>
            </w:tcMar>
          </w:tcPr>
          <w:p>
            <w:r>
              <w:rPr>
                <w:rFonts w:ascii="Yu Mincho" w:cs="Yu Mincho" w:eastAsia="Yu Mincho" w:hAnsi="Yu Mincho"/>
                <w:sz w:val="19"/>
                <w:szCs w:val="19"/>
              </w:rPr>
              <w:t xml:space="preserve">棚卸資産回転率／回転期間</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売上高÷棚卸資産 ／ 365÷（売上高÷棚卸資産）</w:t>
            </w:r>
          </w:p>
        </w:tc>
        <w:tc>
          <w:tcPr>
            <w:tcW w:type="dxa" w:w="2800"/>
            <w:tcMar>
              <w:top w:type="dxa" w:w="60"/>
              <w:left w:type="dxa" w:w="100"/>
              <w:bottom w:type="dxa" w:w="60"/>
              <w:right w:type="dxa" w:w="100"/>
            </w:tcMar>
          </w:tcPr>
          <w:p>
            <w:r>
              <w:rPr>
                <w:rFonts w:ascii="Yu Mincho" w:cs="Yu Mincho" w:eastAsia="Yu Mincho" w:hAnsi="Yu Mincho"/>
                <w:sz w:val="19"/>
                <w:szCs w:val="19"/>
              </w:rPr>
              <w:t xml:space="preserve">棚卸資産の資金回収速度。同上</w:t>
            </w:r>
          </w:p>
        </w:tc>
      </w:tr>
    </w:tbl>
    <w:p>
      <w:pPr>
        <w:spacing w:after="140" w:line="320"/>
        <w:jc w:val="left"/>
      </w:pPr>
      <w:r>
        <w:rPr>
          <w:rFonts w:ascii="Yu Mincho" w:cs="Yu Mincho" w:eastAsia="Yu Mincho" w:hAnsi="Yu Mincho"/>
          <w:sz w:val="21"/>
          <w:szCs w:val="21"/>
        </w:rPr>
        <w:t xml:space="preserve">調査結果：売上高売上総利益率、自己資本当期純利益率とも倒産企業はコントロール企業より低位で推移し悪化傾向。売上債権回転期間・棚卸資産回転期間も倒産企業で悪化（回収の遅延）が観察された。</w:t>
      </w:r>
    </w:p>
    <w:p>
      <w:pPr>
        <w:pStyle w:val="Heading3"/>
        <w:spacing w:after="120" w:before="240"/>
      </w:pPr>
      <w:r>
        <w:t xml:space="preserve">③ キャッシュ・フローの分析</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3400"/>
        <w:gridCol w:w="2400"/>
      </w:tblGrid>
      <w:tr>
        <w:trPr>
          <w:tblHeader/>
        </w:trPr>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財務指標</w:t>
            </w:r>
          </w:p>
        </w:tc>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計算式</w:t>
            </w:r>
          </w:p>
        </w:tc>
        <w:tc>
          <w:tcPr>
            <w:tcW w:type="dxa" w:w="2400"/>
            <w:shd w:fill="DDE6F0" w:val="clear"/>
            <w:tcMar>
              <w:top w:type="dxa" w:w="60"/>
              <w:left w:type="dxa" w:w="100"/>
              <w:bottom w:type="dxa" w:w="60"/>
              <w:right w:type="dxa" w:w="100"/>
            </w:tcMar>
          </w:tcPr>
          <w:p>
            <w:r>
              <w:rPr>
                <w:rFonts w:ascii="Yu Gothic" w:cs="Yu Gothic" w:eastAsia="Yu Gothic" w:hAnsi="Yu Gothic"/>
                <w:b/>
                <w:bCs/>
                <w:sz w:val="19"/>
                <w:szCs w:val="19"/>
              </w:rPr>
              <w:t xml:space="preserve">意味</w:t>
            </w:r>
          </w:p>
        </w:tc>
      </w:tr>
      <w:tr>
        <w:tc>
          <w:tcPr>
            <w:tcW w:type="dxa" w:w="3400"/>
            <w:tcMar>
              <w:top w:type="dxa" w:w="60"/>
              <w:left w:type="dxa" w:w="100"/>
              <w:bottom w:type="dxa" w:w="60"/>
              <w:right w:type="dxa" w:w="100"/>
            </w:tcMar>
          </w:tcPr>
          <w:p>
            <w:r>
              <w:rPr>
                <w:rFonts w:ascii="Yu Mincho" w:cs="Yu Mincho" w:eastAsia="Yu Mincho" w:hAnsi="Yu Mincho"/>
                <w:sz w:val="19"/>
                <w:szCs w:val="19"/>
              </w:rPr>
              <w:t xml:space="preserve">営業キャッシュ・フロー・マージン</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営業CF÷売上高</w:t>
            </w:r>
          </w:p>
        </w:tc>
        <w:tc>
          <w:tcPr>
            <w:tcW w:type="dxa" w:w="2400"/>
            <w:tcMar>
              <w:top w:type="dxa" w:w="60"/>
              <w:left w:type="dxa" w:w="100"/>
              <w:bottom w:type="dxa" w:w="60"/>
              <w:right w:type="dxa" w:w="100"/>
            </w:tcMar>
          </w:tcPr>
          <w:p>
            <w:r>
              <w:rPr>
                <w:rFonts w:ascii="Yu Mincho" w:cs="Yu Mincho" w:eastAsia="Yu Mincho" w:hAnsi="Yu Mincho"/>
                <w:sz w:val="19"/>
                <w:szCs w:val="19"/>
              </w:rPr>
              <w:t xml:space="preserve">売上高からのCF創出度合い（高い方が望ましい）</w:t>
            </w:r>
          </w:p>
        </w:tc>
      </w:tr>
      <w:tr>
        <w:tc>
          <w:tcPr>
            <w:tcW w:type="dxa" w:w="3400"/>
            <w:tcMar>
              <w:top w:type="dxa" w:w="60"/>
              <w:left w:type="dxa" w:w="100"/>
              <w:bottom w:type="dxa" w:w="60"/>
              <w:right w:type="dxa" w:w="100"/>
            </w:tcMar>
          </w:tcPr>
          <w:p>
            <w:r>
              <w:rPr>
                <w:rFonts w:ascii="Yu Mincho" w:cs="Yu Mincho" w:eastAsia="Yu Mincho" w:hAnsi="Yu Mincho"/>
                <w:sz w:val="19"/>
                <w:szCs w:val="19"/>
              </w:rPr>
              <w:t xml:space="preserve">自己資本営業キャッシュ・フロー比率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営業CF÷自己資本</w:t>
            </w:r>
          </w:p>
        </w:tc>
        <w:tc>
          <w:tcPr>
            <w:tcW w:type="dxa" w:w="2400"/>
            <w:tcMar>
              <w:top w:type="dxa" w:w="60"/>
              <w:left w:type="dxa" w:w="100"/>
              <w:bottom w:type="dxa" w:w="60"/>
              <w:right w:type="dxa" w:w="100"/>
            </w:tcMar>
          </w:tcPr>
          <w:p>
            <w:r>
              <w:rPr>
                <w:rFonts w:ascii="Yu Mincho" w:cs="Yu Mincho" w:eastAsia="Yu Mincho" w:hAnsi="Yu Mincho"/>
                <w:sz w:val="19"/>
                <w:szCs w:val="19"/>
              </w:rPr>
              <w:t xml:space="preserve">自己資本からのCF創出度合い（高い方が望ましい）</w:t>
            </w:r>
          </w:p>
        </w:tc>
      </w:tr>
      <w:tr>
        <w:tc>
          <w:tcPr>
            <w:tcW w:type="dxa" w:w="3400"/>
            <w:tcMar>
              <w:top w:type="dxa" w:w="60"/>
              <w:left w:type="dxa" w:w="100"/>
              <w:bottom w:type="dxa" w:w="60"/>
              <w:right w:type="dxa" w:w="100"/>
            </w:tcMar>
          </w:tcPr>
          <w:p>
            <w:r>
              <w:rPr>
                <w:rFonts w:ascii="Yu Mincho" w:cs="Yu Mincho" w:eastAsia="Yu Mincho" w:hAnsi="Yu Mincho"/>
                <w:sz w:val="19"/>
                <w:szCs w:val="19"/>
              </w:rPr>
              <w:t xml:space="preserve">営業キャッシュ・フロー対流動資産比率</w:t>
            </w:r>
          </w:p>
        </w:tc>
        <w:tc>
          <w:tcPr>
            <w:tcW w:type="dxa" w:w="3400"/>
            <w:tcMar>
              <w:top w:type="dxa" w:w="60"/>
              <w:left w:type="dxa" w:w="100"/>
              <w:bottom w:type="dxa" w:w="60"/>
              <w:right w:type="dxa" w:w="100"/>
            </w:tcMar>
          </w:tcPr>
          <w:p>
            <w:r>
              <w:rPr>
                <w:rFonts w:ascii="Yu Mincho" w:cs="Yu Mincho" w:eastAsia="Yu Mincho" w:hAnsi="Yu Mincho"/>
                <w:sz w:val="19"/>
                <w:szCs w:val="19"/>
              </w:rPr>
              <w:t xml:space="preserve">営業CF÷流動資産</w:t>
            </w:r>
          </w:p>
        </w:tc>
        <w:tc>
          <w:tcPr>
            <w:tcW w:type="dxa" w:w="2400"/>
            <w:tcMar>
              <w:top w:type="dxa" w:w="60"/>
              <w:left w:type="dxa" w:w="100"/>
              <w:bottom w:type="dxa" w:w="60"/>
              <w:right w:type="dxa" w:w="100"/>
            </w:tcMar>
          </w:tcPr>
          <w:p>
            <w:r>
              <w:rPr>
                <w:rFonts w:ascii="Yu Mincho" w:cs="Yu Mincho" w:eastAsia="Yu Mincho" w:hAnsi="Yu Mincho"/>
                <w:sz w:val="19"/>
                <w:szCs w:val="19"/>
              </w:rPr>
              <w:t xml:space="preserve">流動資産に対する現金創出能力（高い方が安全性が高い）</w:t>
            </w:r>
          </w:p>
        </w:tc>
      </w:tr>
    </w:tbl>
    <w:p>
      <w:pPr>
        <w:spacing w:after="140" w:line="320"/>
        <w:jc w:val="left"/>
      </w:pPr>
      <w:r>
        <w:rPr>
          <w:rFonts w:ascii="Yu Mincho" w:cs="Yu Mincho" w:eastAsia="Yu Mincho" w:hAnsi="Yu Mincho"/>
          <w:sz w:val="21"/>
          <w:szCs w:val="21"/>
        </w:rPr>
        <w:t xml:space="preserve">まとめ：倒産企業の財務指標は、コントロール・サンプルと比較して、財務諸表分析のテキストが示唆する通り概ね悪化していることが確認された。⇒会計情報の分析を通じて倒産予測を行う可能性を示唆。</w:t>
      </w:r>
    </w:p>
    <w:p>
      <w:pPr>
        <w:pStyle w:val="Heading2"/>
        <w:spacing w:after="160" w:before="360"/>
      </w:pPr>
      <w:r>
        <w:t xml:space="preserve">2.7　倒産予測モデル</w:t>
      </w:r>
    </w:p>
    <w:p>
      <w:pPr>
        <w:spacing w:after="140" w:line="320"/>
        <w:jc w:val="left"/>
      </w:pPr>
      <w:r>
        <w:rPr>
          <w:rFonts w:ascii="Yu Mincho" w:cs="Yu Mincho" w:eastAsia="Yu Mincho" w:hAnsi="Yu Mincho"/>
          <w:sz w:val="21"/>
          <w:szCs w:val="21"/>
        </w:rPr>
        <w:t xml:space="preserve">倒産と財務指標の関連が確認されたことは、財務指標を利用して倒産を予測する可能性を示唆する。伝統的な2つの倒産予測モデルを確認する。</w:t>
      </w:r>
    </w:p>
    <w:p>
      <w:pPr>
        <w:pStyle w:val="Heading3"/>
        <w:spacing w:after="120" w:before="240"/>
      </w:pPr>
      <w:r>
        <w:t xml:space="preserve">アルトマン・モデル（Altman, 1968）</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Zスコアの算定式</w:t>
            </w:r>
          </w:p>
          <w:p>
            <w:pPr>
              <w:spacing w:line="300"/>
            </w:pPr>
            <w:r>
              <w:rPr>
                <w:rFonts w:ascii="Yu Mincho" w:cs="Yu Mincho" w:eastAsia="Yu Mincho" w:hAnsi="Yu Mincho"/>
                <w:sz w:val="20"/>
                <w:szCs w:val="20"/>
              </w:rPr>
              <w:t xml:space="preserve">Z = 0.012X1 + 0.014X2 + 0.033X3 + 0.006X4 + 0.999X5
X1＝運転資本（流動資産－流動負債）÷総資産、X2＝留保利益÷総資産、X3＝利子・税金の控除前利益÷総資産、X4＝株式時価総額÷総負債、X5＝売上高÷総資産。Zスコアが大きいほど倒産の可能性は小さい。Zスコアが2.675より小さい場合は倒産の可能性が高いとされる。</w:t>
            </w:r>
          </w:p>
        </w:tc>
      </w:tr>
    </w:tbl>
    <w:p>
      <w:pPr>
        <w:spacing w:after="100"/>
      </w:pPr>
    </w:p>
    <w:p>
      <w:pPr>
        <w:spacing w:after="140" w:line="320"/>
        <w:jc w:val="left"/>
      </w:pPr>
      <w:r>
        <w:rPr>
          <w:rFonts w:ascii="Yu Mincho" w:cs="Yu Mincho" w:eastAsia="Yu Mincho" w:hAnsi="Yu Mincho"/>
          <w:sz w:val="21"/>
          <w:szCs w:val="21"/>
        </w:rPr>
        <w:t xml:space="preserve">計算結果：倒産企業79社についてZスコアを計算した平均値は0.89。基準値2.675を下回る企業は79社全社であり、すべての企業の倒産が予測された。⇒倒産予測モデルは倒産を予測できている。</w:t>
      </w:r>
    </w:p>
    <w:p>
      <w:pPr>
        <w:pStyle w:val="Heading3"/>
        <w:spacing w:after="120" w:before="240"/>
      </w:pPr>
      <w:r>
        <w:t xml:space="preserve">オールソン・モデル（Ohlson, 1980）</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Oスコアの算定式</w:t>
            </w:r>
          </w:p>
          <w:p>
            <w:pPr>
              <w:spacing w:line="300"/>
            </w:pPr>
            <w:r>
              <w:rPr>
                <w:rFonts w:ascii="Yu Mincho" w:cs="Yu Mincho" w:eastAsia="Yu Mincho" w:hAnsi="Yu Mincho"/>
                <w:sz w:val="20"/>
                <w:szCs w:val="20"/>
              </w:rPr>
              <w:t xml:space="preserve">O = -1.32 - 0.407X1 + 6.03X2 - 1.43X3 + 0.0757X4 - 2.37X5 - 1.83X6 + 0.285X7 - 1.72X8 - 0.521X9
X1＝総資産（物価調整済）の自然対数値、X2＝負債合計÷総資産、X3＝運転資本÷総資産、X4＝流動負債÷流動資産、X5＝当期純利益÷総資産、X6＝営業活動からの現金収入（営業CFで代用）÷総負債、X7＝当期または前年度に当期純損失計上なら1・そうでなければ0のダミー変数、X8＝負債合計が総資産を上回れば1・そうでなければ0のダミー変数、X9＝当期純利益の変化額÷（当期純利益の絶対値＋前年度当期純利益の絶対値）。Oスコアが大きいほど倒産の可能性は大きい。</w:t>
            </w:r>
          </w:p>
        </w:tc>
      </w:tr>
    </w:tbl>
    <w:p>
      <w:pPr>
        <w:spacing w:after="100"/>
      </w:pPr>
    </w:p>
    <w:p>
      <w:pPr>
        <w:spacing w:after="140" w:line="320"/>
        <w:jc w:val="left"/>
      </w:pPr>
      <w:r>
        <w:rPr>
          <w:rFonts w:ascii="Yu Mincho" w:cs="Yu Mincho" w:eastAsia="Yu Mincho" w:hAnsi="Yu Mincho"/>
          <w:sz w:val="21"/>
          <w:szCs w:val="21"/>
        </w:rPr>
        <w:t xml:space="preserve">計算結果：全上場企業のOスコアの平均値は-0.33であるのに対し、倒産企業のOスコアは2.95。全上場企業のOスコア（およびZスコア）を10分位で分割した場合、倒産企業が含まれる分位点は「1（倒産可能性大）」に集中する（Zスコアで倒産企業79社中18社、Oスコアで81社中45社が第1分位）。</w:t>
      </w:r>
    </w:p>
    <w:p>
      <w:pPr>
        <w:spacing w:after="140" w:line="320"/>
        <w:jc w:val="left"/>
      </w:pPr>
      <w:r>
        <w:rPr>
          <w:rFonts w:ascii="Yu Mincho" w:cs="Yu Mincho" w:eastAsia="Yu Mincho" w:hAnsi="Yu Mincho"/>
          <w:sz w:val="21"/>
          <w:szCs w:val="21"/>
        </w:rPr>
        <w:t xml:space="preserve">⇒アルトマン・モデルとオールソン・モデルの両モデルとも、企業の倒産を概ね予測できており、倒産予測モデルにおける会計情報の有用性を示唆している。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留意点</w:t>
            </w:r>
          </w:p>
          <w:p>
            <w:pPr>
              <w:spacing w:line="300"/>
            </w:pPr>
            <w:r>
              <w:rPr>
                <w:rFonts w:ascii="Yu Mincho" w:cs="Yu Mincho" w:eastAsia="Yu Mincho" w:hAnsi="Yu Mincho"/>
                <w:sz w:val="20"/>
                <w:szCs w:val="20"/>
              </w:rPr>
              <w:t xml:space="preserve">本講義で利用した倒産予測モデルは古い論文にもとづく係数値で推計しているため、より精緻な分析には再推計が望ましい。論文の仮定を緩和した分析であるため、詳細な分析では必ず原典にあたること。近年では日本企業の特徴を反映させた倒産予測モデルも開発されている（Xu, M., and Zhang, C., 2009）。</w:t>
            </w:r>
          </w:p>
        </w:tc>
      </w:tr>
    </w:tbl>
    <w:p>
      <w:pPr>
        <w:pStyle w:val="Heading3"/>
        <w:spacing w:after="120" w:before="240"/>
      </w:pPr>
      <w:r>
        <w:t xml:space="preserve">Xu and Zhang (2009)：日本企業の特徴を反映した倒産予測モデル</w:t>
      </w:r>
    </w:p>
    <w:p>
      <w:pPr>
        <w:spacing w:after="140" w:line="320"/>
        <w:jc w:val="left"/>
      </w:pPr>
      <w:r>
        <w:rPr>
          <w:rFonts w:ascii="Yu Mincho" w:cs="Yu Mincho" w:eastAsia="Yu Mincho" w:hAnsi="Yu Mincho"/>
          <w:sz w:val="21"/>
          <w:szCs w:val="21"/>
        </w:rPr>
        <w:t xml:space="preserve">分析の目的：日本市場で米国の倒産予測モデルが有効かを確認し、さらに日本特有の制度的特徴（メインバンク制度と系列）を加味することで予測精度が向上するかを分析。</w:t>
      </w:r>
    </w:p>
    <w:p>
      <w:pPr>
        <w:spacing w:after="140" w:line="320"/>
        <w:jc w:val="left"/>
      </w:pPr>
      <w:r>
        <w:rPr>
          <w:rFonts w:ascii="Yu Mincho" w:cs="Yu Mincho" w:eastAsia="Yu Mincho" w:hAnsi="Yu Mincho"/>
          <w:sz w:val="21"/>
          <w:szCs w:val="21"/>
        </w:rPr>
        <w:t xml:space="preserve">分析方法：以下5つの予測モデルをアウトオブサンプルで検証（1992〜2003年でモデルを推定し、2004〜2005年の倒産予測精度を評価）。①AltmanのZ-score、②OhlsonのO-score、③オプション価格理論に基づくDistance-to-Default（Black-Scholes-Mertonモデル準拠）、④これらを組み合わせたC-score（Shumwayのハザードモデル採用）、⑤日本特有の制度的要因（銀行保有比率と系列）を加味したX-score。</w:t>
      </w:r>
    </w:p>
    <w:p>
      <w:pPr>
        <w:spacing w:after="140" w:line="320"/>
        <w:jc w:val="left"/>
      </w:pPr>
      <w:r>
        <w:rPr>
          <w:rFonts w:ascii="Yu Mincho" w:cs="Yu Mincho" w:eastAsia="Yu Mincho" w:hAnsi="Yu Mincho"/>
          <w:sz w:val="21"/>
          <w:szCs w:val="21"/>
        </w:rPr>
        <w:t xml:space="preserve">主要な分析結果：Altman・Ohlson・オプション理論ベースのモデルはそれぞれ単独でも日本企業の倒産をある程度予測可能。これらを組み合わせたC-scoreは個別モデルより予測精度が高い。銀行依存度と系列帰属度を加えたX-scoreモデルはさらに予測精度を向上させ、この2変数はいずれも倒産確率と有意な負の関係を持ち、制度的支援（銀行や系列からの救済）による倒産抑制効果を示唆する。アウトオブサンプル予測でもX-scoreとC-scoreが最も高い精度を示した。</w:t>
      </w:r>
    </w:p>
    <w:p>
      <w:pPr>
        <w:pStyle w:val="Heading2"/>
        <w:spacing w:after="160" w:before="360"/>
      </w:pPr>
      <w:r>
        <w:t xml:space="preserve">2.8　ケース：日本航空の財務制限条項と会計手続き変更（1994年）</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背景：日本航空1989年発行転換社債の利益維持条項</w:t>
            </w:r>
          </w:p>
          <w:p>
            <w:pPr>
              <w:spacing w:line="300"/>
            </w:pPr>
            <w:r>
              <w:rPr>
                <w:rFonts w:ascii="Yu Mincho" w:cs="Yu Mincho" w:eastAsia="Yu Mincho" w:hAnsi="Yu Mincho"/>
                <w:sz w:val="20"/>
                <w:szCs w:val="20"/>
              </w:rPr>
              <w:t xml:space="preserve">「3期連続して経常損失が出た場合、社債の繰上償還をするか担保権を設定する。ただし3期目の経常損失が2期目よりも減少し、かつ3期目の経常損失がその期の純資産の10％以内であれば、社債の繰上償還について1年間の猶予が認められる」（日本航空『新株発行並びに転換社債発行日目論見書』1989年12月）。</w:t>
            </w:r>
          </w:p>
        </w:tc>
      </w:tr>
    </w:tbl>
    <w:p>
      <w:pPr>
        <w:spacing w:after="100"/>
      </w:pPr>
    </w:p>
    <w:p>
      <w:pPr>
        <w:spacing w:after="140" w:line="320"/>
        <w:jc w:val="left"/>
      </w:pPr>
      <w:r>
        <w:rPr>
          <w:rFonts w:ascii="Yu Mincho" w:cs="Yu Mincho" w:eastAsia="Yu Mincho" w:hAnsi="Yu Mincho"/>
          <w:sz w:val="21"/>
          <w:szCs w:val="21"/>
        </w:rPr>
        <w:t xml:space="preserve">日本航空は1992年から3期連続して経常損失を計上していたが、3期目（1994年3月期）の経常損失は前期よりも少なく、純資産の10％以内であったため、社債の繰上償還と担保権の設定を免れた。この背景には、1994年3月期における次の2つの会計手続き変更があった。</w:t>
      </w:r>
    </w:p>
    <w:p>
      <w:pPr>
        <w:pStyle w:val="ListParagraph"/>
        <w:numPr>
          <w:ilvl w:val="0"/>
          <w:numId w:val="2"/>
        </w:numPr>
        <w:spacing w:after="80" w:line="300"/>
      </w:pPr>
      <w:r>
        <w:rPr>
          <w:rFonts w:ascii="Yu Mincho" w:cs="Yu Mincho" w:eastAsia="Yu Mincho" w:hAnsi="Yu Mincho"/>
          <w:sz w:val="21"/>
          <w:szCs w:val="21"/>
        </w:rPr>
        <w:t xml:space="preserve">社債発行費を全額費用計上から繰延資産計上へ変更→これにより経常損失は14億1,900万円減少。</w:t>
      </w:r>
    </w:p>
    <w:p>
      <w:pPr>
        <w:pStyle w:val="ListParagraph"/>
        <w:numPr>
          <w:ilvl w:val="0"/>
          <w:numId w:val="2"/>
        </w:numPr>
        <w:spacing w:after="80" w:line="300"/>
      </w:pPr>
      <w:r>
        <w:rPr>
          <w:rFonts w:ascii="Yu Mincho" w:cs="Yu Mincho" w:eastAsia="Yu Mincho" w:hAnsi="Yu Mincho"/>
          <w:sz w:val="21"/>
          <w:szCs w:val="21"/>
        </w:rPr>
        <w:t xml:space="preserve">航空機の耐用年数を、税法上の耐用年数（10年）から会社の定めた耐用年数に変更して減価償却費を計上→これにより経常損失は178億4,200万円減少。</w:t>
      </w:r>
    </w:p>
    <w:p>
      <w:pPr>
        <w:spacing w:after="140" w:line="320"/>
        <w:jc w:val="left"/>
      </w:pPr>
      <w:r>
        <w:rPr>
          <w:rFonts w:ascii="Yu Mincho" w:cs="Yu Mincho" w:eastAsia="Yu Mincho" w:hAnsi="Yu Mincho"/>
          <w:sz w:val="21"/>
          <w:szCs w:val="21"/>
        </w:rPr>
        <w:t xml:space="preserve">⇒この2つの変更がなければ、1994年3月期の経常損失は多額となり、利益維持条項に抵触していたため、社債を繰上償還するか担保権を設定する必要があった。これは、財務制限条項への抵触回避を目的とした会計的裁量行動（利益調整）の代表的な国内事例であり、第6章2.2節（債務契約仮説）でも「契約に基づく利益調整の動機」の実例として再度参照する。</w:t>
      </w:r>
    </w:p>
    <w:p>
      <w:pPr>
        <w:pStyle w:val="Heading2"/>
        <w:spacing w:after="160" w:before="360"/>
      </w:pPr>
      <w:r>
        <w:t xml:space="preserve">2.9　本章のまとめ</w:t>
      </w:r>
    </w:p>
    <w:p>
      <w:pPr>
        <w:pStyle w:val="ListParagraph"/>
        <w:numPr>
          <w:ilvl w:val="0"/>
          <w:numId w:val="2"/>
        </w:numPr>
        <w:spacing w:after="80" w:line="300"/>
      </w:pPr>
      <w:r>
        <w:rPr>
          <w:rFonts w:ascii="Yu Mincho" w:cs="Yu Mincho" w:eastAsia="Yu Mincho" w:hAnsi="Yu Mincho"/>
          <w:sz w:val="21"/>
          <w:szCs w:val="21"/>
        </w:rPr>
        <w:t xml:space="preserve">社債発行に際して、経営者が債権者の富を害するようなモラル・ハザードを実施する可能性がある。</w:t>
      </w:r>
    </w:p>
    <w:p>
      <w:pPr>
        <w:pStyle w:val="ListParagraph"/>
        <w:numPr>
          <w:ilvl w:val="0"/>
          <w:numId w:val="2"/>
        </w:numPr>
        <w:spacing w:after="80" w:line="300"/>
      </w:pPr>
      <w:r>
        <w:rPr>
          <w:rFonts w:ascii="Yu Mincho" w:cs="Yu Mincho" w:eastAsia="Yu Mincho" w:hAnsi="Yu Mincho"/>
          <w:sz w:val="21"/>
          <w:szCs w:val="21"/>
        </w:rPr>
        <w:t xml:space="preserve">財務制限条項は経営者のモラル・ハザードを抑える重要な手段の1つであり、その中で会計情報が重要な役割を果たしている（財務会計の契約支援機能）。</w:t>
      </w:r>
    </w:p>
    <w:p>
      <w:pPr>
        <w:pStyle w:val="ListParagraph"/>
        <w:numPr>
          <w:ilvl w:val="0"/>
          <w:numId w:val="2"/>
        </w:numPr>
        <w:spacing w:after="80" w:line="300"/>
      </w:pPr>
      <w:r>
        <w:rPr>
          <w:rFonts w:ascii="Yu Mincho" w:cs="Yu Mincho" w:eastAsia="Yu Mincho" w:hAnsi="Yu Mincho"/>
          <w:sz w:val="21"/>
          <w:szCs w:val="21"/>
        </w:rPr>
        <w:t xml:space="preserve">倒産予測のために会計情報が重要な役割を果たしていることを、財務指標分析と倒産予測モデル（Altman、Ohlson、Xu and Zhang）の両面から確認した。これは債務契約の事前的な局面における会計情報の利用にあたる。</w:t>
      </w:r>
    </w:p>
    <w:p>
      <w:pPr>
        <w:pStyle w:val="ListParagraph"/>
        <w:numPr>
          <w:ilvl w:val="0"/>
          <w:numId w:val="2"/>
        </w:numPr>
        <w:spacing w:after="80" w:line="300"/>
      </w:pPr>
      <w:r>
        <w:rPr>
          <w:rFonts w:ascii="Yu Mincho" w:cs="Yu Mincho" w:eastAsia="Yu Mincho" w:hAnsi="Yu Mincho"/>
          <w:sz w:val="21"/>
          <w:szCs w:val="21"/>
        </w:rPr>
        <w:t xml:space="preserve">財務制限条項における会計情報の利用は契約の事後的な活用であり、デフォルト・リスク推計・倒産予測は事前的な活用である。事前と事後では会計情報の活用方法が異なることに留意が必要。</w:t>
      </w:r>
    </w:p>
    <w:p>
      <w:pPr>
        <w:pStyle w:val="ListParagraph"/>
        <w:numPr>
          <w:ilvl w:val="0"/>
          <w:numId w:val="2"/>
        </w:numPr>
        <w:spacing w:after="80" w:line="300"/>
      </w:pPr>
      <w:r>
        <w:rPr>
          <w:rFonts w:ascii="Yu Mincho" w:cs="Yu Mincho" w:eastAsia="Yu Mincho" w:hAnsi="Yu Mincho"/>
          <w:sz w:val="21"/>
          <w:szCs w:val="21"/>
        </w:rPr>
        <w:t xml:space="preserve">効率的な財務制限条項の設計には、会計情報の属性（保守性など）を考慮することも必要。財務制限条項の議論は直接金融（社債発行等）・間接金融（銀行借入）を問わず適用可能だが、債権者と経営者の間の情報の非対称性の程度に応じ設計の調整が必要な場合がある。</w:t>
      </w:r>
    </w:p>
    <w:p>
      <w:pPr>
        <w:pStyle w:val="ListParagraph"/>
        <w:numPr>
          <w:ilvl w:val="0"/>
          <w:numId w:val="2"/>
        </w:numPr>
        <w:spacing w:after="80" w:line="300"/>
      </w:pPr>
      <w:r>
        <w:rPr>
          <w:rFonts w:ascii="Yu Mincho" w:cs="Yu Mincho" w:eastAsia="Yu Mincho" w:hAnsi="Yu Mincho"/>
          <w:sz w:val="21"/>
          <w:szCs w:val="21"/>
        </w:rPr>
        <w:t xml:space="preserve">エイジェンシー理論だけでなく、不完備契約理論にもとづいて財務制限条項の意義を実証的に分析する研究も近年出てきている（首藤・伊藤・二重作・本馬, 2018 各論文；中村・河内山, 2018）。</w:t>
      </w:r>
    </w:p>
    <w:p>
      <w:pPr>
        <w:pStyle w:val="Heading3"/>
        <w:spacing w:after="120" w:before="240"/>
      </w:pPr>
      <w:r>
        <w:t xml:space="preserve">課題</w:t>
      </w:r>
    </w:p>
    <w:p>
      <w:pPr>
        <w:pStyle w:val="ListParagraph"/>
        <w:numPr>
          <w:ilvl w:val="0"/>
          <w:numId w:val="9"/>
        </w:numPr>
        <w:spacing w:after="80" w:line="300"/>
      </w:pPr>
      <w:r>
        <w:rPr>
          <w:rFonts w:ascii="Yu Mincho" w:cs="Yu Mincho" w:eastAsia="Yu Mincho" w:hAnsi="Yu Mincho"/>
          <w:sz w:val="21"/>
          <w:szCs w:val="21"/>
        </w:rPr>
        <w:t xml:space="preserve">財務制限条項の設定は、その設定を法律等で一義的に強制する場合と、契約当事者間の任意契約に任せる場合が考えられる。どちらが良いと思うか記述しなさい。</w:t>
      </w:r>
    </w:p>
    <w:p>
      <w:pPr>
        <w:pStyle w:val="ListParagraph"/>
        <w:numPr>
          <w:ilvl w:val="0"/>
          <w:numId w:val="9"/>
        </w:numPr>
        <w:spacing w:after="80" w:line="300"/>
      </w:pPr>
      <w:r>
        <w:rPr>
          <w:rFonts w:ascii="Yu Mincho" w:cs="Yu Mincho" w:eastAsia="Yu Mincho" w:hAnsi="Yu Mincho"/>
          <w:sz w:val="21"/>
          <w:szCs w:val="21"/>
        </w:rPr>
        <w:t xml:space="preserve">債務契約の前（事前）において、経営者がモラル・ハザードを行う可能性を予測するために、有用となり得る財務諸表（有価証券報告書）の情報（数値や比率等）を考えなさい。</w:t>
      </w:r>
    </w:p>
    <w:p>
      <w:pPr>
        <w:pStyle w:val="Heading1"/>
        <w:pageBreakBefore/>
        <w:spacing w:after="240" w:before="480"/>
      </w:pPr>
      <w:r>
        <w:t xml:space="preserve">第3章　政府契約と会計情報</w:t>
      </w:r>
    </w:p>
    <w:p>
      <w:pPr>
        <w:spacing w:after="140" w:line="320"/>
        <w:jc w:val="left"/>
      </w:pPr>
      <w:r>
        <w:rPr>
          <w:rFonts w:ascii="Yu Mincho" w:cs="Yu Mincho" w:eastAsia="Yu Mincho" w:hAnsi="Yu Mincho"/>
          <w:sz w:val="21"/>
          <w:szCs w:val="21"/>
        </w:rPr>
        <w:t xml:space="preserve">本章は第7回の内容にもとづく。政府と企業の関係は多面的である：（1）政府はさまざまな規制の主体として企業活動に影響を及ぼす、（2）政府は公共財・サービスを提供し企業から税金を徴収する、（3）政府は多くの財・サービスを企業から購入する顧客としての顔を持つ。エイジェンシー理論では、このような政府と企業の契約関係をエイジェンシー関係としてとらえ、そこから生ずる問題点と解決方法を分析する（金本, 1996；Sunder, 1997）。規制官庁がプリンシパル、被規制企業がエージェントであり、情報の非対称性が存在する場合の最適な規制方式（違反などのモラル・ハザードを効率的に抑止できる方式）が検討される。徴税する政府と納税企業の間、物資を購入する政府と納品企業の間にも同様に情報の非対称性が存在し、それぞれ脱税・水増し請求といったモラル・ハザードを抑止する最適なシステムが求められる。</w:t>
      </w:r>
    </w:p>
    <w:p>
      <w:pPr>
        <w:pStyle w:val="Heading2"/>
        <w:spacing w:after="160" w:before="360"/>
      </w:pPr>
      <w:r>
        <w:t xml:space="preserve">3.1　政府規制と会計情報</w:t>
      </w:r>
    </w:p>
    <w:p>
      <w:pPr>
        <w:spacing w:after="140" w:line="320"/>
        <w:jc w:val="left"/>
      </w:pPr>
      <w:r>
        <w:rPr>
          <w:rFonts w:ascii="Yu Mincho" w:cs="Yu Mincho" w:eastAsia="Yu Mincho" w:hAnsi="Yu Mincho"/>
          <w:sz w:val="21"/>
          <w:szCs w:val="21"/>
        </w:rPr>
        <w:t xml:space="preserve">不完全競争や情報の非対称性による「市場の失敗」に対処するため、政府が法的権限をもって経済主体の行動を規制することがある。通常、直接的規制と間接的規制に大別される。</w:t>
      </w:r>
    </w:p>
    <w:p>
      <w:pPr>
        <w:pStyle w:val="ListParagraph"/>
        <w:numPr>
          <w:ilvl w:val="0"/>
          <w:numId w:val="2"/>
        </w:numPr>
        <w:spacing w:after="80" w:line="300"/>
      </w:pPr>
      <w:r>
        <w:rPr>
          <w:rFonts w:ascii="Yu Mincho" w:cs="Yu Mincho" w:eastAsia="Yu Mincho" w:hAnsi="Yu Mincho"/>
          <w:sz w:val="21"/>
          <w:szCs w:val="21"/>
        </w:rPr>
        <w:t xml:space="preserve">直接的規制：経済主体がある種の意思決定をする段階で、政府が経済主体に対して許認可制度をもって直接的に規制すること。</w:t>
      </w:r>
    </w:p>
    <w:p>
      <w:pPr>
        <w:pStyle w:val="ListParagraph"/>
        <w:numPr>
          <w:ilvl w:val="0"/>
          <w:numId w:val="2"/>
        </w:numPr>
        <w:spacing w:after="80" w:line="300"/>
      </w:pPr>
      <w:r>
        <w:rPr>
          <w:rFonts w:ascii="Yu Mincho" w:cs="Yu Mincho" w:eastAsia="Yu Mincho" w:hAnsi="Yu Mincho"/>
          <w:sz w:val="21"/>
          <w:szCs w:val="21"/>
        </w:rPr>
        <w:t xml:space="preserve">間接的規制：政府が経済主体の行動についてルールを設定し、そのルールに違反したとき事後的に規制すること。</w:t>
      </w:r>
    </w:p>
    <w:p>
      <w:pPr>
        <w:pStyle w:val="Heading3"/>
        <w:spacing w:after="120" w:before="240"/>
      </w:pPr>
      <w:r>
        <w:t xml:space="preserve">直接的規制と料金決定</w:t>
      </w:r>
    </w:p>
    <w:p>
      <w:pPr>
        <w:spacing w:after="140" w:line="320"/>
        <w:jc w:val="left"/>
      </w:pPr>
      <w:r>
        <w:rPr>
          <w:rFonts w:ascii="Yu Mincho" w:cs="Yu Mincho" w:eastAsia="Yu Mincho" w:hAnsi="Yu Mincho"/>
          <w:sz w:val="21"/>
          <w:szCs w:val="21"/>
        </w:rPr>
        <w:t xml:space="preserve">米国では官庁から独立した規制委員会が直接的規制の主体となり、規制法の運用・運用規則の制定という行政権限と、料金認可などの審査・違反行為の訴追などの準司法権限が与えられている（植草, 1991）。日本では官庁が直接的規制の主体となり、約450の法律にもとづいて規制が実施されている（植草, 1997）。直接的規制の目的は、自然独占などが生じやすく国民経済全体の発展が阻害される可能性が高い分野（公益事業、電気通信業、運輸業等）で、価格や参入・退出・合併等を事前に規制することにあ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公益事業の期待収益と会計情報（米国）</w:t>
            </w:r>
          </w:p>
          <w:p>
            <w:pPr>
              <w:spacing w:line="300"/>
            </w:pPr>
            <w:r>
              <w:rPr>
                <w:rFonts w:ascii="Yu Mincho" w:cs="Yu Mincho" w:eastAsia="Yu Mincho" w:hAnsi="Yu Mincho"/>
                <w:sz w:val="20"/>
                <w:szCs w:val="20"/>
              </w:rPr>
              <w:t xml:space="preserve">期待収益＝営業費用＋減価償却費＋税金＋r×基準資産額。rは規制当局から認可された資本利益率、基準資産額はその企業が投下した資本。rに基準資産額を乗じた部分が正常利益となり、これに営業費用・減価償却費・税金を加算して期待収益（＝料金設定の基礎）を求める。営業費用・減価償却費・基準資産額はGAAPにもとづいて算定される（Watts and Zimmerman, 1986；Revsine et al., 1998）。</w:t>
            </w:r>
          </w:p>
        </w:tc>
      </w:tr>
    </w:tbl>
    <w:p>
      <w:pPr>
        <w:spacing w:after="100"/>
      </w:pPr>
    </w:p>
    <w:p>
      <w:pPr>
        <w:spacing w:after="140" w:line="320"/>
        <w:jc w:val="left"/>
      </w:pPr>
      <w:r>
        <w:rPr>
          <w:rFonts w:ascii="Yu Mincho" w:cs="Yu Mincho" w:eastAsia="Yu Mincho" w:hAnsi="Yu Mincho"/>
          <w:sz w:val="21"/>
          <w:szCs w:val="21"/>
        </w:rPr>
        <w:t xml:space="preserve">公益企業の経営者は、より高い料金を設定し自社の利益・自分の富を増加させるため、営業費用・減価償却費・基準資産額を多めに計上する動機を持つ（モラル・ハザード）。これを阻止するには、権威ある客観的な基準（公認会計士監査を受けたGAAP準拠の財務会計数値）にもとづいて期待収益を算定すればよい。⇒料金設定におけるモラル・ハザードを抑止するために財務会計が活用される。ただし、経営者の利己心は別の行動——財務会計の基準設定への積極的関与・ロビー活動——を誘発することにも注意が必要である。</w:t>
      </w:r>
    </w:p>
    <w:p>
      <w:pPr>
        <w:pStyle w:val="Heading3"/>
        <w:spacing w:after="120" w:before="240"/>
      </w:pPr>
      <w:r>
        <w:t xml:space="preserve">間接的規制と独占禁止法</w:t>
      </w:r>
    </w:p>
    <w:p>
      <w:pPr>
        <w:spacing w:after="140" w:line="320"/>
        <w:jc w:val="left"/>
      </w:pPr>
      <w:r>
        <w:rPr>
          <w:rFonts w:ascii="Yu Mincho" w:cs="Yu Mincho" w:eastAsia="Yu Mincho" w:hAnsi="Yu Mincho"/>
          <w:sz w:val="21"/>
          <w:szCs w:val="21"/>
        </w:rPr>
        <w:t xml:space="preserve">間接的規制は、政府が経済主体に遵守すべきルールを明示し、違反時に罰則や損害賠償等の制裁を与える制度である（独占禁止法、商法、民法、製造物責任法、公害対策基本法等）。ここでは独占禁止法と財務会計の関係を検討する。</w:t>
      </w:r>
    </w:p>
    <w:p>
      <w:pPr>
        <w:pStyle w:val="ListParagraph"/>
        <w:numPr>
          <w:ilvl w:val="0"/>
          <w:numId w:val="2"/>
        </w:numPr>
        <w:spacing w:after="80" w:line="300"/>
      </w:pPr>
      <w:r>
        <w:rPr>
          <w:rFonts w:ascii="Yu Mincho" w:cs="Yu Mincho" w:eastAsia="Yu Mincho" w:hAnsi="Yu Mincho"/>
          <w:sz w:val="21"/>
          <w:szCs w:val="21"/>
        </w:rPr>
        <w:t xml:space="preserve">米国：独占禁止法違反の調査では、第1に市場占有率が問題になる。業界大手の売上高と業界全体の売上高から市場占有率を算定し、一定以上の場合に取締りの対象となる（Zmijewski and Hagerman, 1981）。1950年代後半以降、異常に大きな資本利益率が独占禁止法違反の証拠として提示されるようになった（Meehan and Larner, 1989）。1970〜1983年の独占禁止法違反ケースを調べたCahan（1992）は、財務会計上の利益が違反の証拠として重視されたと報告している。</w:t>
      </w:r>
    </w:p>
    <w:p>
      <w:pPr>
        <w:pStyle w:val="ListParagraph"/>
        <w:numPr>
          <w:ilvl w:val="0"/>
          <w:numId w:val="2"/>
        </w:numPr>
        <w:spacing w:after="80" w:line="300"/>
      </w:pPr>
      <w:r>
        <w:rPr>
          <w:rFonts w:ascii="Yu Mincho" w:cs="Yu Mincho" w:eastAsia="Yu Mincho" w:hAnsi="Yu Mincho"/>
          <w:sz w:val="21"/>
          <w:szCs w:val="21"/>
        </w:rPr>
        <w:t xml:space="preserve">日本：1947年に独占禁止法が制定され、公正取引委員会によって運営。価格カルテル、入札談合、私的独占、不公正な取引方法などが違反対象。違反時は刑罰（3年以下の懲役または1億円以下の罰金）に加え、行政罰として課徴金の支払いが命じられる（卸売業：対象商品売上高×1％、小売業：×2％［中小企業1％］、卸小売業以外：×6％［中小企業3％］）。独占状態の判断では「首位企業の市場シェアが50％超、または上位2社の市場シェアが75％超」（独占禁止法2条7項）が要件となり、企業の売上高が問題になる。</w:t>
      </w:r>
    </w:p>
    <w:p>
      <w:pPr>
        <w:pStyle w:val="ListParagraph"/>
        <w:numPr>
          <w:ilvl w:val="0"/>
          <w:numId w:val="2"/>
        </w:numPr>
        <w:spacing w:after="80" w:line="300"/>
      </w:pPr>
      <w:r>
        <w:rPr>
          <w:rFonts w:ascii="Yu Mincho" w:cs="Yu Mincho" w:eastAsia="Yu Mincho" w:hAnsi="Yu Mincho"/>
          <w:sz w:val="21"/>
          <w:szCs w:val="21"/>
        </w:rPr>
        <w:t xml:space="preserve">不当廉売の判断：公正取引委員会によれば、「単に市場価格を下回るのではなく、その原価を下回る価格」が基準とされる（小川, 1994）。判断には製造原価をはじめ損益計算書全体の数値が必要になる。</w:t>
      </w:r>
    </w:p>
    <w:p>
      <w:pPr>
        <w:spacing w:after="140" w:line="320"/>
        <w:jc w:val="left"/>
      </w:pPr>
      <w:r>
        <w:rPr>
          <w:rFonts w:ascii="Yu Mincho" w:cs="Yu Mincho" w:eastAsia="Yu Mincho" w:hAnsi="Yu Mincho"/>
          <w:sz w:val="21"/>
          <w:szCs w:val="21"/>
        </w:rPr>
        <w:t xml:space="preserve">⇒売上高や製造原価などの財務会計数値が、独占禁止法違反の審査・提訴・課徴金計算で活用されており、間接規制において違反というモラル・ハザードを抑止するシステムに財務会計が組み込まれている。</w:t>
      </w:r>
    </w:p>
    <w:p>
      <w:pPr>
        <w:pStyle w:val="Heading2"/>
        <w:spacing w:after="160" w:before="360"/>
      </w:pPr>
      <w:r>
        <w:t xml:space="preserve">3.2　徴税と会計情報</w:t>
      </w:r>
    </w:p>
    <w:p>
      <w:pPr>
        <w:pStyle w:val="Heading3"/>
        <w:spacing w:after="120" w:before="240"/>
      </w:pPr>
      <w:r>
        <w:t xml:space="preserve">日本の税務と財務会計：確定決算基準</w:t>
      </w:r>
    </w:p>
    <w:p>
      <w:pPr>
        <w:spacing w:after="140" w:line="320"/>
        <w:jc w:val="left"/>
      </w:pPr>
      <w:r>
        <w:rPr>
          <w:rFonts w:ascii="Yu Mincho" w:cs="Yu Mincho" w:eastAsia="Yu Mincho" w:hAnsi="Yu Mincho"/>
          <w:sz w:val="21"/>
          <w:szCs w:val="21"/>
        </w:rPr>
        <w:t xml:space="preserve">わが国の法人税法は、株主総会での報告・承認により確定された損益計算書の当期利益から、誘導的に課税所得が計算されることを予定している（法人税法第74条）。当期利益を基礎に、法人税法の「別段の定め」による調整項目を加減して課税所得を算定する（法人税法第22条）——これを確定決算基準という。⇒財務会計を組み込んだ徴税システムとなっている。</w:t>
      </w:r>
    </w:p>
    <w:p>
      <w:pPr>
        <w:spacing w:after="140" w:line="320"/>
        <w:jc w:val="left"/>
      </w:pPr>
      <w:r>
        <w:rPr>
          <w:rFonts w:ascii="Yu Mincho" w:cs="Yu Mincho" w:eastAsia="Yu Mincho" w:hAnsi="Yu Mincho"/>
          <w:sz w:val="21"/>
          <w:szCs w:val="21"/>
        </w:rPr>
        <w:t xml:space="preserve">エイジェンシー理論による考察（課税当局＝プリンシパル、納税者＝エージェント）：3つの意義がある。</w:t>
      </w:r>
    </w:p>
    <w:p>
      <w:pPr>
        <w:pStyle w:val="ListParagraph"/>
        <w:numPr>
          <w:ilvl w:val="0"/>
          <w:numId w:val="10"/>
        </w:numPr>
        <w:spacing w:after="80" w:line="300"/>
      </w:pPr>
      <w:r>
        <w:rPr>
          <w:rFonts w:ascii="Yu Mincho" w:cs="Yu Mincho" w:eastAsia="Yu Mincho" w:hAnsi="Yu Mincho"/>
          <w:sz w:val="21"/>
          <w:szCs w:val="21"/>
        </w:rPr>
        <w:t xml:space="preserve">モニタリング・コストの削減（弥永, 1995）：情報の非対称性から脱税というモラル・ハザードが生じうるため、モニタリング・システムが必要。財務会計の当期利益は一般に公正妥当と認められる会計基準に従い、大会社では会計士監査を受けているため、これを課税所得計算の基礎とする方法は課税当局の税務調査を大幅に節約できる。</w:t>
      </w:r>
    </w:p>
    <w:p>
      <w:pPr>
        <w:pStyle w:val="ListParagraph"/>
        <w:numPr>
          <w:ilvl w:val="0"/>
          <w:numId w:val="10"/>
        </w:numPr>
        <w:spacing w:after="80" w:line="300"/>
      </w:pPr>
      <w:r>
        <w:rPr>
          <w:rFonts w:ascii="Yu Mincho" w:cs="Yu Mincho" w:eastAsia="Yu Mincho" w:hAnsi="Yu Mincho"/>
          <w:sz w:val="21"/>
          <w:szCs w:val="21"/>
        </w:rPr>
        <w:t xml:space="preserve">モラル・ハザードの抑止力の内蔵：確定決算基準では、多くの損金項目は財務会計の損益計算書で費用計上されていなければ課税所得計算上も損金として認められない。課税所得を小さくして節税しようとすれば、財務会計上の利益も削減しなければならない。⇒税金以外のコストが節税・脱税への抑止力となり、税務モラル・ハザードの防止に結びつく。</w:t>
      </w:r>
    </w:p>
    <w:p>
      <w:pPr>
        <w:pStyle w:val="ListParagraph"/>
        <w:numPr>
          <w:ilvl w:val="0"/>
          <w:numId w:val="10"/>
        </w:numPr>
        <w:spacing w:after="80" w:line="300"/>
      </w:pPr>
      <w:r>
        <w:rPr>
          <w:rFonts w:ascii="Yu Mincho" w:cs="Yu Mincho" w:eastAsia="Yu Mincho" w:hAnsi="Yu Mincho"/>
          <w:sz w:val="21"/>
          <w:szCs w:val="21"/>
        </w:rPr>
        <w:t xml:space="preserve">政策目的の達成（中村・成松, 1998）：租税特別措置法上の特別償却は資金の内部留保による産業育成に眼目がある（和田, 1992：誘因手段／刺激的課税, incentive taxation）。エージェントたる企業に資本蓄積・投資促進のインセンティブを提供し経済成長を促す。ただし、特別償却が申告書上だけの損金算入にとどまり財務会計で費用計上（または利益処分による準備金積立）が行われず配当金・役員賞与が増加すれば、本来の政策目的は達成されない。財務会計と課税所得計算を連動させることで、インセンティブ・システムとしての租税特別措置が適切に機能する。</w:t>
      </w:r>
    </w:p>
    <w:p>
      <w:pPr>
        <w:pStyle w:val="Heading3"/>
        <w:spacing w:after="120" w:before="240"/>
      </w:pPr>
      <w:r>
        <w:t xml:space="preserve">アメリカの税務と財務会計</w:t>
      </w:r>
    </w:p>
    <w:p>
      <w:pPr>
        <w:spacing w:after="140" w:line="320"/>
        <w:jc w:val="left"/>
      </w:pPr>
      <w:r>
        <w:rPr>
          <w:rFonts w:ascii="Yu Mincho" w:cs="Yu Mincho" w:eastAsia="Yu Mincho" w:hAnsi="Yu Mincho"/>
          <w:sz w:val="21"/>
          <w:szCs w:val="21"/>
        </w:rPr>
        <w:t xml:space="preserve">米国では財務会計とは別個に課税所得計算が行われる（吉牟田, 1994；Wolk and Tearney, 1997）。この限りでは課税当局と企業のエイジェンシー関係で財務会計が果たす役割は小さいが、税務と財務会計の直接的関係を示す事例もある。</w:t>
      </w:r>
    </w:p>
    <w:p>
      <w:pPr>
        <w:pStyle w:val="ListParagraph"/>
        <w:numPr>
          <w:ilvl w:val="0"/>
          <w:numId w:val="11"/>
        </w:numPr>
        <w:spacing w:after="80" w:line="300"/>
      </w:pPr>
      <w:r>
        <w:rPr>
          <w:rFonts w:ascii="Yu Mincho" w:cs="Yu Mincho" w:eastAsia="Yu Mincho" w:hAnsi="Yu Mincho"/>
          <w:sz w:val="21"/>
          <w:szCs w:val="21"/>
        </w:rPr>
        <w:t xml:space="preserve">課税所得計算で後入先出法（LIFO）を採用するときは、財務会計でもLIFOを用いなければならない（内国歳入法第472条-c）。財務会計での使用を条件にしたのは、歳入減を抑え納税者のモラル・ハザードを回避するためと推測される。</w:t>
      </w:r>
    </w:p>
    <w:p>
      <w:pPr>
        <w:pStyle w:val="ListParagraph"/>
        <w:numPr>
          <w:ilvl w:val="0"/>
          <w:numId w:val="11"/>
        </w:numPr>
        <w:spacing w:after="80" w:line="300"/>
      </w:pPr>
      <w:r>
        <w:rPr>
          <w:rFonts w:ascii="Yu Mincho" w:cs="Yu Mincho" w:eastAsia="Yu Mincho" w:hAnsi="Yu Mincho"/>
          <w:sz w:val="21"/>
          <w:szCs w:val="21"/>
        </w:rPr>
        <w:t xml:space="preserve">州が法人に課すフランチャイズ税（franchise tax）も財務会計と直接関係する。資産の貸借対照表価額にもとづいて算定される（Watts and Zimmerman, 1986）。</w:t>
      </w:r>
    </w:p>
    <w:p>
      <w:pPr>
        <w:pStyle w:val="ListParagraph"/>
        <w:numPr>
          <w:ilvl w:val="0"/>
          <w:numId w:val="11"/>
        </w:numPr>
        <w:spacing w:after="80" w:line="300"/>
      </w:pPr>
      <w:r>
        <w:rPr>
          <w:rFonts w:ascii="Yu Mincho" w:cs="Yu Mincho" w:eastAsia="Yu Mincho" w:hAnsi="Yu Mincho"/>
          <w:sz w:val="21"/>
          <w:szCs w:val="21"/>
        </w:rPr>
        <w:t xml:space="preserve">税務調査と財務会計の関係：財務会計と異なる会計処理を税務に適用する場合、申告調整（付表M-1）が必要。内国歳入局の税務調査ガイドラインは、付表M-1のある申告書について財務会計上の利益と課税所得の相違を精査するよう指示している（Cloyd et al., 1996）。</w:t>
      </w:r>
    </w:p>
    <w:p>
      <w:pPr>
        <w:pStyle w:val="Heading2"/>
        <w:spacing w:after="160" w:before="360"/>
      </w:pPr>
      <w:r>
        <w:t xml:space="preserve">3.3　政府調達と会計情報</w:t>
      </w:r>
    </w:p>
    <w:p>
      <w:pPr>
        <w:spacing w:after="140" w:line="320"/>
        <w:jc w:val="left"/>
      </w:pPr>
      <w:r>
        <w:rPr>
          <w:rFonts w:ascii="Yu Mincho" w:cs="Yu Mincho" w:eastAsia="Yu Mincho" w:hAnsi="Yu Mincho"/>
          <w:sz w:val="21"/>
          <w:szCs w:val="21"/>
        </w:rPr>
        <w:t xml:space="preserve">政府は企業から多くの財・サービスを購入する。武器装備品のような特殊な製品を調達する場合、適切な市場価格がないため、製造原価に適正利益を加算した金額で購入契約が結ばれる（cost plus-profit contracts：コスト・プラス契約）。このコスト・プラス契約に財務会計の数値が使用される（あるいは逆に、そのような契約が企業の財務会計に影響を及ぼす）。ここでは、コスト・プラス契約のもとで政府がプリンシパル、企業がエイジェントになるエイジェンシー関係を想定し、そのエイジェンシー問題と財務会計の関係——特に武器装備品の政府調達契約——を考察する。</w:t>
      </w:r>
    </w:p>
    <w:p>
      <w:pPr>
        <w:pStyle w:val="Heading3"/>
        <w:spacing w:after="120" w:before="240"/>
      </w:pPr>
      <w:r>
        <w:t xml:space="preserve">アメリカの政府調達契約</w:t>
      </w:r>
    </w:p>
    <w:p>
      <w:pPr>
        <w:spacing w:after="140" w:line="320"/>
        <w:jc w:val="left"/>
      </w:pPr>
      <w:r>
        <w:rPr>
          <w:rFonts w:ascii="Yu Mincho" w:cs="Yu Mincho" w:eastAsia="Yu Mincho" w:hAnsi="Yu Mincho"/>
          <w:sz w:val="21"/>
          <w:szCs w:val="21"/>
        </w:rPr>
        <w:t xml:space="preserve">政府と企業がコスト・プラス契約を結ぶ際、すべての企業に公平で首尾一貫した原価計算をするための基準が必要になる。米国では1970年に原価計算基準審議会（Cost Accounting Standards Board: CASB）が政府機関として設けられ、この審議会が設定した原価計算基準（Cost Accounting Standards: CAS）にもとづいてコスト・プラス契約が結ばれる。政府契約に伴う原価計算記録は契約企業の財務会計記録を補うもの（通常は補助記録）と期待されているが、財務会計の一般的記録に組み込まれるように調整可能な状態にあることが望まれる。⇒CASが財務会計との関連を重視するのは、コスト・プラス契約に財務会計数値を活用することでエイジェンシー費用が削減できるからである。</w:t>
      </w:r>
    </w:p>
    <w:p>
      <w:pPr>
        <w:pStyle w:val="Heading3"/>
        <w:spacing w:after="120" w:before="240"/>
      </w:pPr>
      <w:r>
        <w:t xml:space="preserve">日本の政府調達契約</w:t>
      </w:r>
    </w:p>
    <w:p>
      <w:pPr>
        <w:spacing w:after="140" w:line="320"/>
        <w:jc w:val="left"/>
      </w:pPr>
      <w:r>
        <w:rPr>
          <w:rFonts w:ascii="Yu Mincho" w:cs="Yu Mincho" w:eastAsia="Yu Mincho" w:hAnsi="Yu Mincho"/>
          <w:sz w:val="21"/>
          <w:szCs w:val="21"/>
        </w:rPr>
        <w:t xml:space="preserve">わが国の防衛省調達には、アメリカのような客観的ルールがないといわれている。調達価格の決定と業者選定プロセスに政府の裁量が大幅に働くためである（『日本経済新聞』1998年12月2日）。アメリカでは複数のメーカーに競争試作させ、生産段階で改めて競争入札させるが、わが国では競争入札がほとんど行われず、防衛庁の武器装備品調達の85％が随意契約である（同紙1998年9月4日）。防衛庁の随意契約では、製品原価に一定率の利益を上乗せして契約額を決める「原価計算方式」が採用されている（同紙1998年10月20日）——これは米国のコスト・プラス契約と同じである。</w:t>
      </w:r>
    </w:p>
    <w:p>
      <w:pPr>
        <w:spacing w:after="140" w:line="320"/>
        <w:jc w:val="left"/>
      </w:pPr>
      <w:r>
        <w:rPr>
          <w:rFonts w:ascii="Yu Mincho" w:cs="Yu Mincho" w:eastAsia="Yu Mincho" w:hAnsi="Yu Mincho"/>
          <w:sz w:val="21"/>
          <w:szCs w:val="21"/>
        </w:rPr>
        <w:t xml:space="preserve">原価計算方式には2種類ある：①確定型（決められた査定基準にもとづいて契約額を確定）、②監査付き型（企業が提示した費用を防衛省装備施設本部［旧：防衛庁調達実施本部、2015年に防衛装備庁へ統合・廃止］が妥当か判断（監査）した上で原価を見積もり、それに適正利益を加算して契約額を決定。監査の際は企業の帳簿［原価元帳など］の提出を求める）。防衛省の装備品調達は「監査付き型」原価計算方式で価格決定されることが多い。したがって、①企業が適正に費用を計算すること、②防衛省装備施設本部が適切に監査を行うこと、が政府契約におけるモラル・ハザードを抑止するポイントになる。企業の費用計算と装備施設本部の監査は、原価元帳を基礎にして行われる。</w:t>
      </w:r>
    </w:p>
    <w:p>
      <w:pPr>
        <w:spacing w:after="140" w:line="320"/>
        <w:jc w:val="left"/>
      </w:pPr>
      <w:r>
        <w:rPr>
          <w:rFonts w:ascii="Yu Mincho" w:cs="Yu Mincho" w:eastAsia="Yu Mincho" w:hAnsi="Yu Mincho"/>
          <w:sz w:val="21"/>
          <w:szCs w:val="21"/>
        </w:rPr>
        <w:t xml:space="preserve">調達契約に財務会計システムを用いる理由は、他の方法を用いるよりもエイジェンシー費用の削減が期待できることにある。もし原価元帳を使用せず別個の備忘記録を用いるなら、あらかじめ様式・作成基準を決め、遵守状況を独自にモニターしなければならない。このモニタリング・コストが、既存の原価元帳を活用することで削減できる（企業はすでに他の製品製造のために原価元帳を作成し、毎期監査を受けているため）。</w:t>
      </w:r>
    </w:p>
    <w:p>
      <w:pPr>
        <w:pStyle w:val="Heading3"/>
        <w:spacing w:after="120" w:before="240"/>
      </w:pPr>
      <w:r>
        <w:t xml:space="preserve">ケース：NEC水増し請求事件（1998年）</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事件の概要</w:t>
            </w:r>
          </w:p>
          <w:p>
            <w:pPr>
              <w:spacing w:line="300"/>
            </w:pPr>
            <w:r>
              <w:rPr>
                <w:rFonts w:ascii="Yu Mincho" w:cs="Yu Mincho" w:eastAsia="Yu Mincho" w:hAnsi="Yu Mincho"/>
                <w:sz w:val="20"/>
                <w:szCs w:val="20"/>
              </w:rPr>
              <w:t xml:space="preserve">防衛庁は1998年11月6日、NECが5年以上前から本来の原価元帳とは別に虚偽の帳簿を作成し、防衛装備品の水増し請求をしていたことを明らかにした。ここ数年間の水増し請求額は毎年10数億円に上る（『日本経済新聞』11月7日）。二重帳簿による水増し請求は、NECグループの東洋通信機、ニコー電子、日本航空電子工業でも行われていた（同紙11月10日）。</w:t>
            </w:r>
          </w:p>
        </w:tc>
      </w:tr>
    </w:tbl>
    <w:p>
      <w:pPr>
        <w:spacing w:after="100"/>
      </w:pPr>
    </w:p>
    <w:p>
      <w:pPr>
        <w:spacing w:after="140" w:line="320"/>
        <w:jc w:val="left"/>
      </w:pPr>
      <w:r>
        <w:rPr>
          <w:rFonts w:ascii="Yu Mincho" w:cs="Yu Mincho" w:eastAsia="Yu Mincho" w:hAnsi="Yu Mincho"/>
          <w:sz w:val="21"/>
          <w:szCs w:val="21"/>
        </w:rPr>
        <w:t xml:space="preserve">もちろん、原価元帳が正しく作成されていなければ、エイジェンシー費用の削減もモラル・ハザードの抑止も期待できない。この事件の含意は2つある。（1）調達契約に財務会計システムを用いても、モラル・ハザードの抑止には限界がある。（2）水増し請求のためにあえて二重帳簿を作成したという事実は、裏返せば調達契約における原価元帳の重要性を示しており、財務会計の調達契約支援機能を例証している。</w:t>
      </w:r>
    </w:p>
    <w:p>
      <w:pPr>
        <w:pStyle w:val="Heading2"/>
        <w:spacing w:after="160" w:before="360"/>
      </w:pPr>
      <w:r>
        <w:t xml:space="preserve">3.4　本章のまとめ</w:t>
      </w:r>
    </w:p>
    <w:p>
      <w:pPr>
        <w:spacing w:after="140" w:line="320"/>
        <w:jc w:val="left"/>
      </w:pPr>
      <w:r>
        <w:rPr>
          <w:rFonts w:ascii="Yu Mincho" w:cs="Yu Mincho" w:eastAsia="Yu Mincho" w:hAnsi="Yu Mincho"/>
          <w:sz w:val="21"/>
          <w:szCs w:val="21"/>
        </w:rPr>
        <w:t xml:space="preserve">アメリカと日本における財務会計の政府契約支援機能：</w:t>
      </w:r>
    </w:p>
    <w:p>
      <w:pPr>
        <w:pStyle w:val="ListParagraph"/>
        <w:numPr>
          <w:ilvl w:val="0"/>
          <w:numId w:val="12"/>
        </w:numPr>
        <w:spacing w:after="80" w:line="300"/>
      </w:pPr>
      <w:r>
        <w:rPr>
          <w:rFonts w:ascii="Yu Mincho" w:cs="Yu Mincho" w:eastAsia="Yu Mincho" w:hAnsi="Yu Mincho"/>
          <w:sz w:val="21"/>
          <w:szCs w:val="21"/>
        </w:rPr>
        <w:t xml:space="preserve">政府の規制は直接的規制と間接的規制に分類される。直接的規制では料金決定で財務会計の数値が用いられ、間接的規制では独占禁止法違反の審査・提訴・課徴金計算において財務会計数値が用いられる。すなわち両規制ともモラル・ハザードを抑止するシステムに財務会計が組み込まれている。</w:t>
      </w:r>
    </w:p>
    <w:p>
      <w:pPr>
        <w:pStyle w:val="ListParagraph"/>
        <w:numPr>
          <w:ilvl w:val="0"/>
          <w:numId w:val="12"/>
        </w:numPr>
        <w:spacing w:after="80" w:line="300"/>
      </w:pPr>
      <w:r>
        <w:rPr>
          <w:rFonts w:ascii="Yu Mincho" w:cs="Yu Mincho" w:eastAsia="Yu Mincho" w:hAnsi="Yu Mincho"/>
          <w:sz w:val="21"/>
          <w:szCs w:val="21"/>
        </w:rPr>
        <w:t xml:space="preserve">わが国の法人税法は確定決算基準を採用しており、財務会計を組み込んだ徴税システムとなっている。意義は、①モニタリング・コストの削減、②モラル・ハザードの抑止力の内蔵、③資本蓄積のインセンティブ付与、の3点。</w:t>
      </w:r>
    </w:p>
    <w:p>
      <w:pPr>
        <w:pStyle w:val="ListParagraph"/>
        <w:numPr>
          <w:ilvl w:val="0"/>
          <w:numId w:val="12"/>
        </w:numPr>
        <w:spacing w:after="80" w:line="300"/>
      </w:pPr>
      <w:r>
        <w:rPr>
          <w:rFonts w:ascii="Yu Mincho" w:cs="Yu Mincho" w:eastAsia="Yu Mincho" w:hAnsi="Yu Mincho"/>
          <w:sz w:val="21"/>
          <w:szCs w:val="21"/>
        </w:rPr>
        <w:t xml:space="preserve">アメリカでは課税所得計算と財務会計が別個に行われ、財務会計が税務に係わる度合いは小さいと一般に理解されているが、後入先出法採用時やフランチャイズ税では税務と財務会計が連係している。さらに税務調査という場では財務会計が大きな役割を果たしている。いずれも財務会計が、企業と課税当局の間のエイジェンシー費用を削減するように機能している。</w:t>
      </w:r>
    </w:p>
    <w:p>
      <w:pPr>
        <w:pStyle w:val="ListParagraph"/>
        <w:numPr>
          <w:ilvl w:val="0"/>
          <w:numId w:val="12"/>
        </w:numPr>
        <w:spacing w:after="80" w:line="300"/>
      </w:pPr>
      <w:r>
        <w:rPr>
          <w:rFonts w:ascii="Yu Mincho" w:cs="Yu Mincho" w:eastAsia="Yu Mincho" w:hAnsi="Yu Mincho"/>
          <w:sz w:val="21"/>
          <w:szCs w:val="21"/>
        </w:rPr>
        <w:t xml:space="preserve">アメリカでは原価計算基準審議会による原価計算基準にもとづき政府調達の契約額が決定される。財務会計との関連を重視するのは、政府調達契約に財務会計数値を活用することでエイジェンシー費用が削減できるからである。</w:t>
      </w:r>
    </w:p>
    <w:p>
      <w:pPr>
        <w:pStyle w:val="ListParagraph"/>
        <w:numPr>
          <w:ilvl w:val="0"/>
          <w:numId w:val="12"/>
        </w:numPr>
        <w:spacing w:after="80" w:line="300"/>
      </w:pPr>
      <w:r>
        <w:rPr>
          <w:rFonts w:ascii="Yu Mincho" w:cs="Yu Mincho" w:eastAsia="Yu Mincho" w:hAnsi="Yu Mincho"/>
          <w:sz w:val="21"/>
          <w:szCs w:val="21"/>
        </w:rPr>
        <w:t xml:space="preserve">わが国防衛省の武器装備品調達は「監査付き型」原価計算方式で契約額が決定される。原価元帳に依拠して企業が費用額を算定し、防衛省装備施設本部が監査をする——企業の財務会計システムが調達契約に利用されている。他の方法よりもエイジェンシー費用の削減が期待できることが、その理由である。</w:t>
      </w:r>
    </w:p>
    <w:p>
      <w:pPr>
        <w:pStyle w:val="Heading1"/>
        <w:pageBreakBefore/>
        <w:spacing w:after="240" w:before="480"/>
      </w:pPr>
      <w:r>
        <w:t xml:space="preserve">第4章　株式市場と会計情報</w:t>
      </w:r>
    </w:p>
    <w:p>
      <w:pPr>
        <w:spacing w:after="140" w:line="320"/>
        <w:jc w:val="left"/>
      </w:pPr>
      <w:r>
        <w:rPr>
          <w:rFonts w:ascii="Yu Mincho" w:cs="Yu Mincho" w:eastAsia="Yu Mincho" w:hAnsi="Yu Mincho"/>
          <w:sz w:val="21"/>
          <w:szCs w:val="21"/>
        </w:rPr>
        <w:t xml:space="preserve">本章は第8回（株式市場と会計情報(1)）と第9回（同(2)）を統合したものである。まず財務会計の意思決定支援機能に関する理論的背景（効率的市場仮説）を確認し、会計利益と株価の関係を検証した2つの古典的研究（Ball and Brown, 1968；Beaver, 1968）を通じて会計情報の「潜在的有用性」を確認する。続いて、投資戦略（パッシブ戦略・アクティブ戦略）の観点から会計情報の「実際的有用性」を検討する。</w:t>
      </w:r>
    </w:p>
    <w:p>
      <w:pPr>
        <w:pStyle w:val="Heading2"/>
        <w:spacing w:after="160" w:before="360"/>
      </w:pPr>
      <w:r>
        <w:t xml:space="preserve">4.1　意思決定支援機能とその研究アプローチ</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3600"/>
        <w:gridCol w:w="3600"/>
      </w:tblGrid>
      <w:tr>
        <w:trPr>
          <w:tblHeader/>
        </w:trPr>
        <w:tc>
          <w:tcPr>
            <w:tcW w:type="dxa" w:w="2200"/>
            <w:shd w:fill="DDE6F0" w:val="clear"/>
            <w:tcMar>
              <w:top w:type="dxa" w:w="60"/>
              <w:left w:type="dxa" w:w="100"/>
              <w:bottom w:type="dxa" w:w="60"/>
              <w:right w:type="dxa" w:w="100"/>
            </w:tcMar>
          </w:tcPr>
          <w:p>
            <w:r>
              <w:rPr>
                <w:rFonts w:ascii="Yu Gothic" w:cs="Yu Gothic" w:eastAsia="Yu Gothic" w:hAnsi="Yu Gothic"/>
                <w:b/>
                <w:bCs/>
                <w:sz w:val="19"/>
                <w:szCs w:val="19"/>
              </w:rPr>
              <w:t xml:space="preserve"/>
            </w:r>
          </w:p>
        </w:tc>
        <w:tc>
          <w:tcPr>
            <w:tcW w:type="dxa" w:w="3600"/>
            <w:shd w:fill="DDE6F0" w:val="clear"/>
            <w:tcMar>
              <w:top w:type="dxa" w:w="60"/>
              <w:left w:type="dxa" w:w="100"/>
              <w:bottom w:type="dxa" w:w="60"/>
              <w:right w:type="dxa" w:w="100"/>
            </w:tcMar>
          </w:tcPr>
          <w:p>
            <w:r>
              <w:rPr>
                <w:rFonts w:ascii="Yu Gothic" w:cs="Yu Gothic" w:eastAsia="Yu Gothic" w:hAnsi="Yu Gothic"/>
                <w:b/>
                <w:bCs/>
                <w:sz w:val="19"/>
                <w:szCs w:val="19"/>
              </w:rPr>
              <w:t xml:space="preserve">資本市場ベースの会計研究</w:t>
            </w:r>
          </w:p>
        </w:tc>
        <w:tc>
          <w:tcPr>
            <w:tcW w:type="dxa" w:w="3600"/>
            <w:shd w:fill="DDE6F0" w:val="clear"/>
            <w:tcMar>
              <w:top w:type="dxa" w:w="60"/>
              <w:left w:type="dxa" w:w="100"/>
              <w:bottom w:type="dxa" w:w="60"/>
              <w:right w:type="dxa" w:w="100"/>
            </w:tcMar>
          </w:tcPr>
          <w:p>
            <w:r>
              <w:rPr>
                <w:rFonts w:ascii="Yu Gothic" w:cs="Yu Gothic" w:eastAsia="Yu Gothic" w:hAnsi="Yu Gothic"/>
                <w:b/>
                <w:bCs/>
                <w:sz w:val="19"/>
                <w:szCs w:val="19"/>
              </w:rPr>
              <w:t xml:space="preserve">契約理論ベースの会計研究</w:t>
            </w:r>
          </w:p>
        </w:tc>
      </w:tr>
      <w:tr>
        <w:tc>
          <w:tcPr>
            <w:tcW w:type="dxa" w:w="2200"/>
            <w:tcMar>
              <w:top w:type="dxa" w:w="60"/>
              <w:left w:type="dxa" w:w="100"/>
              <w:bottom w:type="dxa" w:w="60"/>
              <w:right w:type="dxa" w:w="100"/>
            </w:tcMar>
          </w:tcPr>
          <w:p>
            <w:r>
              <w:rPr>
                <w:rFonts w:ascii="Yu Mincho" w:cs="Yu Mincho" w:eastAsia="Yu Mincho" w:hAnsi="Yu Mincho"/>
                <w:sz w:val="19"/>
                <w:szCs w:val="19"/>
              </w:rPr>
              <w:t xml:space="preserve">対応する機能</w:t>
            </w:r>
          </w:p>
        </w:tc>
        <w:tc>
          <w:tcPr>
            <w:tcW w:type="dxa" w:w="3600"/>
            <w:tcMar>
              <w:top w:type="dxa" w:w="60"/>
              <w:left w:type="dxa" w:w="100"/>
              <w:bottom w:type="dxa" w:w="60"/>
              <w:right w:type="dxa" w:w="100"/>
            </w:tcMar>
          </w:tcPr>
          <w:p>
            <w:r>
              <w:rPr>
                <w:rFonts w:ascii="Yu Mincho" w:cs="Yu Mincho" w:eastAsia="Yu Mincho" w:hAnsi="Yu Mincho"/>
                <w:sz w:val="19"/>
                <w:szCs w:val="19"/>
              </w:rPr>
              <w:t xml:space="preserve">意思決定支援機能</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契約支援機能</w:t>
            </w:r>
          </w:p>
        </w:tc>
      </w:tr>
      <w:tr>
        <w:tc>
          <w:tcPr>
            <w:tcW w:type="dxa" w:w="2200"/>
            <w:tcMar>
              <w:top w:type="dxa" w:w="60"/>
              <w:left w:type="dxa" w:w="100"/>
              <w:bottom w:type="dxa" w:w="60"/>
              <w:right w:type="dxa" w:w="100"/>
            </w:tcMar>
          </w:tcPr>
          <w:p>
            <w:r>
              <w:rPr>
                <w:rFonts w:ascii="Yu Mincho" w:cs="Yu Mincho" w:eastAsia="Yu Mincho" w:hAnsi="Yu Mincho"/>
                <w:sz w:val="19"/>
                <w:szCs w:val="19"/>
              </w:rPr>
              <w:t xml:space="preserve">機能の内容</w:t>
            </w:r>
          </w:p>
        </w:tc>
        <w:tc>
          <w:tcPr>
            <w:tcW w:type="dxa" w:w="3600"/>
            <w:tcMar>
              <w:top w:type="dxa" w:w="60"/>
              <w:left w:type="dxa" w:w="100"/>
              <w:bottom w:type="dxa" w:w="60"/>
              <w:right w:type="dxa" w:w="100"/>
            </w:tcMar>
          </w:tcPr>
          <w:p>
            <w:r>
              <w:rPr>
                <w:rFonts w:ascii="Yu Mincho" w:cs="Yu Mincho" w:eastAsia="Yu Mincho" w:hAnsi="Yu Mincho"/>
                <w:sz w:val="19"/>
                <w:szCs w:val="19"/>
              </w:rPr>
              <w:t xml:space="preserve">投資家の意思決定に有用な会計情報を提供し、証券市場における効率的な取引を促進する（須田, 2000, 16頁）</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契約の監視と履行を促進し、契約当事者の利害対立を減少させ、契約の効率性を高める（須田, 2000, 21頁）</w:t>
            </w:r>
          </w:p>
        </w:tc>
      </w:tr>
      <w:tr>
        <w:tc>
          <w:tcPr>
            <w:tcW w:type="dxa" w:w="2200"/>
            <w:tcMar>
              <w:top w:type="dxa" w:w="60"/>
              <w:left w:type="dxa" w:w="100"/>
              <w:bottom w:type="dxa" w:w="60"/>
              <w:right w:type="dxa" w:w="100"/>
            </w:tcMar>
          </w:tcPr>
          <w:p>
            <w:r>
              <w:rPr>
                <w:rFonts w:ascii="Yu Mincho" w:cs="Yu Mincho" w:eastAsia="Yu Mincho" w:hAnsi="Yu Mincho"/>
                <w:sz w:val="19"/>
                <w:szCs w:val="19"/>
              </w:rPr>
              <w:t xml:space="preserve">理論的背景</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効率的市場仮説</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契約・エイジェンシー理論</w:t>
            </w:r>
          </w:p>
        </w:tc>
      </w:tr>
    </w:tbl>
    <w:p>
      <w:pPr>
        <w:spacing w:after="100"/>
      </w:pPr>
    </w:p>
    <w:p>
      <w:pPr>
        <w:spacing w:after="140" w:line="320"/>
        <w:jc w:val="left"/>
      </w:pPr>
      <w:r>
        <w:rPr>
          <w:rFonts w:ascii="Yu Mincho" w:cs="Yu Mincho" w:eastAsia="Yu Mincho" w:hAnsi="Yu Mincho"/>
          <w:sz w:val="21"/>
          <w:szCs w:val="21"/>
        </w:rPr>
        <w:t xml:space="preserve">投資家は、関心のある企業の財務諸表（会計情報）を分析することによって、投資対象銘柄のリスクとリターンを推定する。この背景には、会計情報と株価の間に明確な関連性が存在することが前提となる。すなわち、会計情報には投資者の意思決定を促進するような有用性が期待される。</w:t>
      </w:r>
    </w:p>
    <w:p>
      <w:pPr>
        <w:pStyle w:val="ListParagraph"/>
        <w:numPr>
          <w:ilvl w:val="0"/>
          <w:numId w:val="2"/>
        </w:numPr>
        <w:spacing w:after="80" w:line="300"/>
      </w:pPr>
      <w:r>
        <w:rPr>
          <w:rFonts w:ascii="Yu Mincho" w:cs="Yu Mincho" w:eastAsia="Yu Mincho" w:hAnsi="Yu Mincho"/>
          <w:b/>
          <w:bCs/>
          <w:sz w:val="21"/>
          <w:szCs w:val="21"/>
        </w:rPr>
        <w:t xml:space="preserve">投資リターン：</w:t>
      </w:r>
    </w:p>
    <w:p>
      <w:pPr>
        <w:pStyle w:val="ListParagraph"/>
        <w:numPr>
          <w:ilvl w:val="0"/>
          <w:numId w:val="2"/>
        </w:numPr>
        <w:spacing w:after="80" w:line="300"/>
      </w:pPr>
      <w:r>
        <w:rPr>
          <w:rFonts w:ascii="Yu Mincho" w:cs="Yu Mincho" w:eastAsia="Yu Mincho" w:hAnsi="Yu Mincho"/>
          <w:sz w:val="21"/>
          <w:szCs w:val="21"/>
        </w:rPr>
        <w:t xml:space="preserve">株式投資収益率 ＝ ［（将来株価－現在株価）＋将来配当］／現在株価</w:t>
      </w:r>
    </w:p>
    <w:p>
      <w:pPr>
        <w:pStyle w:val="ListParagraph"/>
        <w:numPr>
          <w:ilvl w:val="0"/>
          <w:numId w:val="2"/>
        </w:numPr>
        <w:spacing w:after="80" w:line="300"/>
      </w:pPr>
      <w:r>
        <w:rPr>
          <w:rFonts w:ascii="Yu Mincho" w:cs="Yu Mincho" w:eastAsia="Yu Mincho" w:hAnsi="Yu Mincho"/>
          <w:b/>
          <w:bCs/>
          <w:sz w:val="21"/>
          <w:szCs w:val="21"/>
        </w:rPr>
        <w:t xml:space="preserve">投資リスク：</w:t>
      </w:r>
    </w:p>
    <w:p>
      <w:pPr>
        <w:pStyle w:val="ListParagraph"/>
        <w:numPr>
          <w:ilvl w:val="0"/>
          <w:numId w:val="2"/>
        </w:numPr>
        <w:spacing w:after="80" w:line="300"/>
      </w:pPr>
      <w:r>
        <w:rPr>
          <w:rFonts w:ascii="Yu Mincho" w:cs="Yu Mincho" w:eastAsia="Yu Mincho" w:hAnsi="Yu Mincho"/>
          <w:sz w:val="21"/>
          <w:szCs w:val="21"/>
        </w:rPr>
        <w:t xml:space="preserve">将来の投資収益率の不確実性（リターン変動性、市場β：市場モデルのβ値）</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資本資産評価モデル（CAPM）</w:t>
            </w:r>
          </w:p>
          <w:p>
            <w:pPr>
              <w:spacing w:line="300"/>
            </w:pPr>
            <w:r>
              <w:rPr>
                <w:rFonts w:ascii="Yu Mincho" w:cs="Yu Mincho" w:eastAsia="Yu Mincho" w:hAnsi="Yu Mincho"/>
                <w:sz w:val="20"/>
                <w:szCs w:val="20"/>
              </w:rPr>
              <w:t xml:space="preserve">E(Ri) = Rf + βi［E(Rm) － Rf］、ただし βi = cov(Ri, Rm) / σ²(Rm)。E(Ri)：個別企業iの株式投資収益率の期待値、E(Rm)：市場全体の投資収益率の期待値（東証株価指数・日経平均等）、Rf：無リスク証券の利子率（国債等）。βの基準値は1で、推定値が1を上回れば（下回れば）市場平均よりリスクが大きい（小さい）ことを表す（ハイリスク・ハイリターンの関係）。資本市場が均衡に達した場合に成立する（桜井, 2013, 図表1-1）。</w:t>
            </w:r>
          </w:p>
        </w:tc>
      </w:tr>
    </w:tbl>
    <w:p>
      <w:pPr>
        <w:pStyle w:val="Heading2"/>
        <w:spacing w:after="160" w:before="360"/>
      </w:pPr>
      <w:r>
        <w:t xml:space="preserve">4.2　効率的市場仮説と会計情報</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効率的な市場（Efficient Market Hypothesis: EMH）</w:t>
            </w:r>
          </w:p>
          <w:p>
            <w:pPr>
              <w:spacing w:line="300"/>
            </w:pPr>
            <w:r>
              <w:rPr>
                <w:rFonts w:ascii="Yu Mincho" w:cs="Yu Mincho" w:eastAsia="Yu Mincho" w:hAnsi="Yu Mincho"/>
                <w:sz w:val="20"/>
                <w:szCs w:val="20"/>
              </w:rPr>
              <w:t xml:space="preserve">①入手可能な情報を十分に反映している、かつ②価格が新情報に即座に反応する市場（Fama, 1970）。</w:t>
            </w:r>
          </w:p>
        </w:tc>
      </w:tr>
    </w:tbl>
    <w:p>
      <w:pPr>
        <w:spacing w:after="100"/>
      </w:pPr>
    </w:p>
    <w:p>
      <w:pPr>
        <w:spacing w:after="140" w:line="320"/>
        <w:jc w:val="left"/>
      </w:pPr>
      <w:r>
        <w:rPr>
          <w:rFonts w:ascii="Yu Mincho" w:cs="Yu Mincho" w:eastAsia="Yu Mincho" w:hAnsi="Yu Mincho"/>
          <w:sz w:val="21"/>
          <w:szCs w:val="21"/>
        </w:rPr>
        <w:t xml:space="preserve">証券市場の効率性は3つに分類される。</w:t>
      </w:r>
    </w:p>
    <w:p>
      <w:pPr>
        <w:pStyle w:val="ListParagraph"/>
        <w:numPr>
          <w:ilvl w:val="0"/>
          <w:numId w:val="13"/>
        </w:numPr>
        <w:spacing w:after="80" w:line="300"/>
      </w:pPr>
      <w:r>
        <w:rPr>
          <w:rFonts w:ascii="Yu Mincho" w:cs="Yu Mincho" w:eastAsia="Yu Mincho" w:hAnsi="Yu Mincho"/>
          <w:sz w:val="21"/>
          <w:szCs w:val="21"/>
        </w:rPr>
        <w:t xml:space="preserve">弱度の効率性：過去の株価系列の情報に対して市場が効率的。</w:t>
      </w:r>
    </w:p>
    <w:p>
      <w:pPr>
        <w:pStyle w:val="ListParagraph"/>
        <w:numPr>
          <w:ilvl w:val="0"/>
          <w:numId w:val="13"/>
        </w:numPr>
        <w:spacing w:after="80" w:line="300"/>
      </w:pPr>
      <w:r>
        <w:rPr>
          <w:rFonts w:ascii="Yu Mincho" w:cs="Yu Mincho" w:eastAsia="Yu Mincho" w:hAnsi="Yu Mincho"/>
          <w:sz w:val="21"/>
          <w:szCs w:val="21"/>
        </w:rPr>
        <w:t xml:space="preserve">半強度の効率性：新聞記事や財務諸表などの公開された情報に対して市場が効率的。</w:t>
      </w:r>
    </w:p>
    <w:p>
      <w:pPr>
        <w:pStyle w:val="ListParagraph"/>
        <w:numPr>
          <w:ilvl w:val="0"/>
          <w:numId w:val="13"/>
        </w:numPr>
        <w:spacing w:after="80" w:line="300"/>
      </w:pPr>
      <w:r>
        <w:rPr>
          <w:rFonts w:ascii="Yu Mincho" w:cs="Yu Mincho" w:eastAsia="Yu Mincho" w:hAnsi="Yu Mincho"/>
          <w:sz w:val="21"/>
          <w:szCs w:val="21"/>
        </w:rPr>
        <w:t xml:space="preserve">強度の効率性：一般に公開されない内部情報についても市場が効率的。</w:t>
      </w:r>
    </w:p>
    <w:p>
      <w:pPr>
        <w:spacing w:after="140" w:line="320"/>
        <w:jc w:val="left"/>
      </w:pPr>
      <w:r>
        <w:rPr>
          <w:rFonts w:ascii="Yu Mincho" w:cs="Yu Mincho" w:eastAsia="Yu Mincho" w:hAnsi="Yu Mincho"/>
          <w:sz w:val="21"/>
          <w:szCs w:val="21"/>
        </w:rPr>
        <w:t xml:space="preserve">日米の実証研究では一般に半強度の効率性が認められている。半強度の効率性の下では、証券市場が財務諸表・新聞紙上等で公表された会計情報など通常利用可能な情報を十分反映しており、そのような情報に対して株価が迅速に反応することを意味する。⇒情報が公表されてからそれにもとづいて証券投資活動を行っても、市場平均を上回る投資収益率（異常投資収益率）を連続して獲得することはできない。逆にいえば、ある情報が公表されたとき、その情報に対して異常な株価反応があれば、その情報は「情報内容（information content）」を有すると判断され、証券投資家にとっての有用性を示す証拠となる。</w:t>
      </w:r>
    </w:p>
    <w:p>
      <w:pPr>
        <w:pStyle w:val="Heading2"/>
        <w:spacing w:after="160" w:before="360"/>
      </w:pPr>
      <w:r>
        <w:t xml:space="preserve">4.3　会計利益と株価の相関性：Ball and Brown (1968)</w:t>
      </w:r>
    </w:p>
    <w:p>
      <w:pPr>
        <w:spacing w:after="140" w:line="320"/>
        <w:jc w:val="left"/>
      </w:pPr>
      <w:r>
        <w:rPr>
          <w:rFonts w:ascii="Yu Mincho" w:cs="Yu Mincho" w:eastAsia="Yu Mincho" w:hAnsi="Yu Mincho"/>
          <w:sz w:val="21"/>
          <w:szCs w:val="21"/>
        </w:rPr>
        <w:t xml:space="preserve">Question：会計利益に反応して株価は本当に変動しているのだろうか？　新聞報道でA社が100億円の増益を計上したことを知り、すぐにA社株式を購入すれば市場平均を上回るリターンを獲得できるか。</w:t>
      </w:r>
    </w:p>
    <w:p>
      <w:pPr>
        <w:spacing w:after="140" w:line="320"/>
        <w:jc w:val="left"/>
      </w:pPr>
      <w:r>
        <w:rPr>
          <w:rFonts w:ascii="Yu Mincho" w:cs="Yu Mincho" w:eastAsia="Yu Mincho" w:hAnsi="Yu Mincho"/>
          <w:sz w:val="21"/>
          <w:szCs w:val="21"/>
        </w:rPr>
        <w:t xml:space="preserve">Ball and Brown (1968) は「利益」と「株価」の関係を分析した初めての研究であり、具体的には「期待外利益」と「異常投資収益率」の関係を分析した（両者には正の相関関係が予測される）。</w:t>
      </w:r>
    </w:p>
    <w:p>
      <w:pPr>
        <w:pStyle w:val="ListParagraph"/>
        <w:numPr>
          <w:ilvl w:val="0"/>
          <w:numId w:val="2"/>
        </w:numPr>
        <w:spacing w:after="80" w:line="300"/>
      </w:pPr>
      <w:r>
        <w:rPr>
          <w:rFonts w:ascii="Yu Mincho" w:cs="Yu Mincho" w:eastAsia="Yu Mincho" w:hAnsi="Yu Mincho"/>
          <w:b/>
          <w:bCs/>
          <w:sz w:val="21"/>
          <w:szCs w:val="21"/>
        </w:rPr>
        <w:t xml:space="preserve">期待外利益：</w:t>
      </w:r>
    </w:p>
    <w:p>
      <w:pPr>
        <w:pStyle w:val="ListParagraph"/>
        <w:numPr>
          <w:ilvl w:val="0"/>
          <w:numId w:val="2"/>
        </w:numPr>
        <w:spacing w:after="80" w:line="300"/>
      </w:pPr>
      <w:r>
        <w:rPr>
          <w:rFonts w:ascii="Yu Mincho" w:cs="Yu Mincho" w:eastAsia="Yu Mincho" w:hAnsi="Yu Mincho"/>
          <w:sz w:val="21"/>
          <w:szCs w:val="21"/>
        </w:rPr>
        <w:t xml:space="preserve">みんなの予想以上に利益が増えたか（減ったか）。プラスならGood Newsの株式、マイナスならBad Newsの株式（例：増益と減益）。</w:t>
      </w:r>
    </w:p>
    <w:p>
      <w:pPr>
        <w:pStyle w:val="ListParagraph"/>
        <w:numPr>
          <w:ilvl w:val="0"/>
          <w:numId w:val="2"/>
        </w:numPr>
        <w:spacing w:after="80" w:line="300"/>
      </w:pPr>
      <w:r>
        <w:rPr>
          <w:rFonts w:ascii="Yu Mincho" w:cs="Yu Mincho" w:eastAsia="Yu Mincho" w:hAnsi="Yu Mincho"/>
          <w:b/>
          <w:bCs/>
          <w:sz w:val="21"/>
          <w:szCs w:val="21"/>
        </w:rPr>
        <w:t xml:space="preserve">異常投資収益率：</w:t>
      </w:r>
    </w:p>
    <w:p>
      <w:pPr>
        <w:pStyle w:val="ListParagraph"/>
        <w:numPr>
          <w:ilvl w:val="0"/>
          <w:numId w:val="2"/>
        </w:numPr>
        <w:spacing w:after="80" w:line="300"/>
      </w:pPr>
      <w:r>
        <w:rPr>
          <w:rFonts w:ascii="Yu Mincho" w:cs="Yu Mincho" w:eastAsia="Yu Mincho" w:hAnsi="Yu Mincho"/>
          <w:sz w:val="21"/>
          <w:szCs w:val="21"/>
        </w:rPr>
        <w:t xml:space="preserve">その企業の株価が実質的に増加したか否か。投資収益率の中で一般的な経済情報を除去した部分（投資収益率は一般的な経済情報と当該企業の個別情報の両方を反映している）。</w:t>
      </w:r>
    </w:p>
    <w:p>
      <w:pPr>
        <w:pStyle w:val="Heading3"/>
        <w:spacing w:after="120" w:before="240"/>
      </w:pPr>
      <w:r>
        <w:t xml:space="preserve">分析方法</w:t>
      </w:r>
    </w:p>
    <w:p>
      <w:pPr>
        <w:spacing w:after="140" w:line="320"/>
        <w:jc w:val="left"/>
      </w:pPr>
      <w:r>
        <w:rPr>
          <w:rFonts w:ascii="Yu Mincho" w:cs="Yu Mincho" w:eastAsia="Yu Mincho" w:hAnsi="Yu Mincho"/>
          <w:sz w:val="21"/>
          <w:szCs w:val="21"/>
        </w:rPr>
        <w:t xml:space="preserve">期待外利益の算定：①回帰モデルによる期待外当期純利益、②回帰モデルによる期待外1株当り利益、③当期利益と前期利益の変化額（1株当り利益ベース）。次の回帰式を時系列データで推定し、利益変動予想値を推計、実績と比較することで期待外利益を算定す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期待外利益の推定モデル</w:t>
            </w:r>
          </w:p>
          <w:p>
            <w:pPr>
              <w:spacing w:line="300"/>
            </w:pPr>
            <w:r>
              <w:rPr>
                <w:rFonts w:ascii="Yu Mincho" w:cs="Yu Mincho" w:eastAsia="Yu Mincho" w:hAnsi="Yu Mincho"/>
                <w:sz w:val="20"/>
                <w:szCs w:val="20"/>
              </w:rPr>
              <w:t xml:space="preserve">ΔIit ＝ αit ＋ βiΔMt ＋ εit。ΔIit＝i企業のt期の利益変動額、ΔMt＝全企業の平均利益の変動額。プラスであればGood Newsの株式、マイナスならBad Newsの株式とみなす。</w:t>
            </w:r>
          </w:p>
        </w:tc>
      </w:tr>
    </w:tbl>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異常投資収益率の推定モデル</w:t>
            </w:r>
          </w:p>
          <w:p>
            <w:pPr>
              <w:spacing w:line="300"/>
            </w:pPr>
            <w:r>
              <w:rPr>
                <w:rFonts w:ascii="Yu Mincho" w:cs="Yu Mincho" w:eastAsia="Yu Mincho" w:hAnsi="Yu Mincho"/>
                <w:sz w:val="20"/>
                <w:szCs w:val="20"/>
              </w:rPr>
              <w:t xml:space="preserve">ΔRit ＝ αi ＋ βiΔRmt ＋ εit。ΔRit＝i株式のt期間の投資収益率、ΔRmt＝市場の平均投資収益率。月次ベースの時系列データで推定して予想投資収益率を推計し、実績値と比較することで異常投資収益率を算定。Good NewsグループとBad Newsグループの異常投資収益率を比較する。</w:t>
            </w:r>
          </w:p>
        </w:tc>
      </w:tr>
    </w:tbl>
    <w:p>
      <w:pPr>
        <w:spacing w:after="140" w:line="320"/>
        <w:jc w:val="left"/>
      </w:pPr>
      <w:r>
        <w:rPr>
          <w:rFonts w:ascii="Yu Mincho" w:cs="Yu Mincho" w:eastAsia="Yu Mincho" w:hAnsi="Yu Mincho"/>
          <w:sz w:val="21"/>
          <w:szCs w:val="21"/>
        </w:rPr>
        <w:t xml:space="preserve">サンプル：ニューヨーク証券取引所（NYSE）上場企業261社。1957年から1965年までの異常投資収益率を算定。The Wall Street Journalで決算が報道された日を年次利益の公表日（公表月）とみなす。公表月の1年前から6ヶ月後までの累積異常投資収益率（API）について、Good NewsとBad Newsのグループの平均値を追跡した。</w:t>
      </w:r>
    </w:p>
    <w:p>
      <w:pPr>
        <w:pStyle w:val="Heading3"/>
        <w:spacing w:after="120" w:before="240"/>
      </w:pPr>
      <w:r>
        <w:t xml:space="preserve">調査結果の解釈</w:t>
      </w:r>
    </w:p>
    <w:p>
      <w:pPr>
        <w:spacing w:after="140" w:line="320"/>
        <w:jc w:val="left"/>
      </w:pPr>
      <w:r>
        <w:rPr>
          <w:rFonts w:ascii="Yu Mincho" w:cs="Yu Mincho" w:eastAsia="Yu Mincho" w:hAnsi="Yu Mincho"/>
          <w:sz w:val="21"/>
          <w:szCs w:val="21"/>
        </w:rPr>
        <w:t xml:space="preserve">利益公表後の累積異常投資収益率はほとんど変動がなく、期待外利益情報と異常投資収益率に対応関係が認められない。→利益情報の公表とほぼ同時に市場がその情報を株価に織り込んだことを意味し、NYSEが半強度の効率的市場であることと符合する。ただし、この有用性は公表される利益情報を前もって入手した場合という仮定にもとづく「潜在的有用性」でしかない点に注意が必要である。利益情報が「実際的有用性」を持つためには、情報公表後にそれを用いて市場平均を上回る投資収益率を獲得することが必要になる（4.6節）。</w:t>
      </w:r>
    </w:p>
    <w:p>
      <w:pPr>
        <w:pStyle w:val="ListParagraph"/>
        <w:numPr>
          <w:ilvl w:val="0"/>
          <w:numId w:val="2"/>
        </w:numPr>
        <w:spacing w:after="80" w:line="300"/>
      </w:pPr>
      <w:r>
        <w:rPr>
          <w:rFonts w:ascii="Yu Mincho" w:cs="Yu Mincho" w:eastAsia="Yu Mincho" w:hAnsi="Yu Mincho"/>
          <w:sz w:val="21"/>
          <w:szCs w:val="21"/>
        </w:rPr>
        <w:t xml:space="preserve">日次異常投資収益率を用いて四半期利益情報を対象としても同様の結果が得られた（Foster, 1977）。</w:t>
      </w:r>
    </w:p>
    <w:p>
      <w:pPr>
        <w:pStyle w:val="ListParagraph"/>
        <w:numPr>
          <w:ilvl w:val="0"/>
          <w:numId w:val="2"/>
        </w:numPr>
        <w:spacing w:after="80" w:line="300"/>
      </w:pPr>
      <w:r>
        <w:rPr>
          <w:rFonts w:ascii="Yu Mincho" w:cs="Yu Mincho" w:eastAsia="Yu Mincho" w:hAnsi="Yu Mincho"/>
          <w:sz w:val="21"/>
          <w:szCs w:val="21"/>
        </w:rPr>
        <w:t xml:space="preserve">期待外利益の大きさと異常投資収益率の大きさには正の相関関係がある（Beaver et al., 1979）。</w:t>
      </w:r>
    </w:p>
    <w:p>
      <w:pPr>
        <w:pStyle w:val="ListParagraph"/>
        <w:numPr>
          <w:ilvl w:val="0"/>
          <w:numId w:val="2"/>
        </w:numPr>
        <w:spacing w:after="80" w:line="300"/>
      </w:pPr>
      <w:r>
        <w:rPr>
          <w:rFonts w:ascii="Yu Mincho" w:cs="Yu Mincho" w:eastAsia="Yu Mincho" w:hAnsi="Yu Mincho"/>
          <w:sz w:val="21"/>
          <w:szCs w:val="21"/>
        </w:rPr>
        <w:t xml:space="preserve">期待外利益の算定を精緻化しても同様の結果が得られた（Bathke and Lorek, 1984；Foster et al., 1984；Patell and Wolfson, 1984）。サンプル密集の問題や検定方法を変更しても調査結果は頑健であった。</w:t>
      </w:r>
    </w:p>
    <w:p>
      <w:pPr>
        <w:pStyle w:val="ListParagraph"/>
        <w:numPr>
          <w:ilvl w:val="0"/>
          <w:numId w:val="2"/>
        </w:numPr>
        <w:spacing w:after="80" w:line="300"/>
      </w:pPr>
      <w:r>
        <w:rPr>
          <w:rFonts w:ascii="Yu Mincho" w:cs="Yu Mincho" w:eastAsia="Yu Mincho" w:hAnsi="Yu Mincho"/>
          <w:sz w:val="21"/>
          <w:szCs w:val="21"/>
        </w:rPr>
        <w:t xml:space="preserve">日本におけるBall and Brown型調査（石川, 2004）でも同様の傾向が確認されている。</w:t>
      </w:r>
    </w:p>
    <w:p>
      <w:pPr>
        <w:pStyle w:val="Heading2"/>
        <w:spacing w:after="160" w:before="360"/>
      </w:pPr>
      <w:r>
        <w:t xml:space="preserve">4.4　決算発表に対する株式市場の反応：Beaver (1968)</w:t>
      </w:r>
    </w:p>
    <w:p>
      <w:pPr>
        <w:spacing w:after="140" w:line="320"/>
        <w:jc w:val="left"/>
      </w:pPr>
      <w:r>
        <w:rPr>
          <w:rFonts w:ascii="Yu Mincho" w:cs="Yu Mincho" w:eastAsia="Yu Mincho" w:hAnsi="Yu Mincho"/>
          <w:sz w:val="21"/>
          <w:szCs w:val="21"/>
        </w:rPr>
        <w:t xml:space="preserve">Ball and Brown (1968) の調査は「期待外利益」と「異常投資収益率」の符号（方向）の関係を調べていたのに対し、Beaverの調査は符号を問題とせず、利益公表時の株式市場の「反応の大きさ」（異常投資収益率の分散）を期間比較した。</w:t>
      </w:r>
    </w:p>
    <w:p>
      <w:pPr>
        <w:spacing w:after="140" w:line="320"/>
        <w:jc w:val="left"/>
      </w:pPr>
      <w:r>
        <w:rPr>
          <w:rFonts w:ascii="Yu Mincho" w:cs="Yu Mincho" w:eastAsia="Yu Mincho" w:hAnsi="Yu Mincho"/>
          <w:sz w:val="21"/>
          <w:szCs w:val="21"/>
        </w:rPr>
        <w:t xml:space="preserve">サンプル：NYSE上場企業のうち決算日が12月31日以外である等の条件を満たす143社。</w:t>
      </w:r>
    </w:p>
    <w:p>
      <w:pPr>
        <w:pStyle w:val="Heading3"/>
        <w:spacing w:after="120" w:before="240"/>
      </w:pPr>
      <w:r>
        <w:t xml:space="preserve">研究方法</w:t>
      </w:r>
    </w:p>
    <w:p>
      <w:pPr>
        <w:pStyle w:val="ListParagraph"/>
        <w:numPr>
          <w:ilvl w:val="0"/>
          <w:numId w:val="14"/>
        </w:numPr>
        <w:spacing w:after="80" w:line="300"/>
      </w:pPr>
      <w:r>
        <w:rPr>
          <w:rFonts w:ascii="Yu Mincho" w:cs="Yu Mincho" w:eastAsia="Yu Mincho" w:hAnsi="Yu Mincho"/>
          <w:sz w:val="21"/>
          <w:szCs w:val="21"/>
        </w:rPr>
        <w:t xml:space="preserve">年次利益公表週をt＝0とし、t＝-8からt＝+8を検定期間とする。ある年度のある株式についてt週の異常投資収益率を市場モデルにもとづいて計算する。同時に、検定期間外の異常投資収益率も計算する。</w:t>
      </w:r>
    </w:p>
    <w:p>
      <w:pPr>
        <w:pStyle w:val="ListParagraph"/>
        <w:numPr>
          <w:ilvl w:val="0"/>
          <w:numId w:val="14"/>
        </w:numPr>
        <w:spacing w:after="80" w:line="300"/>
      </w:pPr>
      <w:r>
        <w:rPr>
          <w:rFonts w:ascii="Yu Mincho" w:cs="Yu Mincho" w:eastAsia="Yu Mincho" w:hAnsi="Yu Mincho"/>
          <w:sz w:val="21"/>
          <w:szCs w:val="21"/>
        </w:rPr>
        <w:t xml:space="preserve">検定期間外の異常投資収益率の平均値で、検定期間各週の異常投資収益率を除す（異常投資収益率は2乗した値を利用）。</w:t>
      </w:r>
    </w:p>
    <w:p>
      <w:pPr>
        <w:pStyle w:val="ListParagraph"/>
        <w:numPr>
          <w:ilvl w:val="0"/>
          <w:numId w:val="14"/>
        </w:numPr>
        <w:spacing w:after="80" w:line="300"/>
      </w:pPr>
      <w:r>
        <w:rPr>
          <w:rFonts w:ascii="Yu Mincho" w:cs="Yu Mincho" w:eastAsia="Yu Mincho" w:hAnsi="Yu Mincho"/>
          <w:sz w:val="21"/>
          <w:szCs w:val="21"/>
        </w:rPr>
        <w:t xml:space="preserve">サンプルとなったすべての株式について上記の計算を行い、各週ごとの平均値（Ut）を算定する。</w:t>
      </w:r>
    </w:p>
    <w:p>
      <w:pPr>
        <w:pStyle w:val="Heading3"/>
        <w:spacing w:after="120" w:before="240"/>
      </w:pPr>
      <w:r>
        <w:t xml:space="preserve">調査結果の解釈</w:t>
      </w:r>
    </w:p>
    <w:p>
      <w:pPr>
        <w:spacing w:after="140" w:line="320"/>
        <w:jc w:val="left"/>
      </w:pPr>
      <w:r>
        <w:rPr>
          <w:rFonts w:ascii="Yu Mincho" w:cs="Yu Mincho" w:eastAsia="Yu Mincho" w:hAnsi="Yu Mincho"/>
          <w:sz w:val="21"/>
          <w:szCs w:val="21"/>
        </w:rPr>
        <w:t xml:space="preserve">年次利益公表週の異常投資収益率の分散が最大である。年次利益公表後は高い値は観察されない。→年次利益の公表週に異常な株価反応があったと解釈できる。これはBall and Brown型調査と一致しており、年次利益情報が株式投資に有用な情報となっていることを示唆する。</w:t>
      </w:r>
    </w:p>
    <w:p>
      <w:pPr>
        <w:pStyle w:val="ListParagraph"/>
        <w:numPr>
          <w:ilvl w:val="0"/>
          <w:numId w:val="2"/>
        </w:numPr>
        <w:spacing w:after="80" w:line="300"/>
      </w:pPr>
      <w:r>
        <w:rPr>
          <w:rFonts w:ascii="Yu Mincho" w:cs="Yu Mincho" w:eastAsia="Yu Mincho" w:hAnsi="Yu Mincho"/>
          <w:sz w:val="21"/>
          <w:szCs w:val="21"/>
        </w:rPr>
        <w:t xml:space="preserve">日次異常投資収益率を用いても同様の結果が得られた（Morse, 1981）。</w:t>
      </w:r>
    </w:p>
    <w:p>
      <w:pPr>
        <w:pStyle w:val="ListParagraph"/>
        <w:numPr>
          <w:ilvl w:val="0"/>
          <w:numId w:val="2"/>
        </w:numPr>
        <w:spacing w:after="80" w:line="300"/>
      </w:pPr>
      <w:r>
        <w:rPr>
          <w:rFonts w:ascii="Yu Mincho" w:cs="Yu Mincho" w:eastAsia="Yu Mincho" w:hAnsi="Yu Mincho"/>
          <w:sz w:val="21"/>
          <w:szCs w:val="21"/>
        </w:rPr>
        <w:t xml:space="preserve">四半期利益情報が公表されるようになってから、年次利益情報の有用性は低下した（McNicholes and Manegold, 1983）。</w:t>
      </w:r>
    </w:p>
    <w:p>
      <w:pPr>
        <w:pStyle w:val="ListParagraph"/>
        <w:numPr>
          <w:ilvl w:val="0"/>
          <w:numId w:val="2"/>
        </w:numPr>
        <w:spacing w:after="80" w:line="300"/>
      </w:pPr>
      <w:r>
        <w:rPr>
          <w:rFonts w:ascii="Yu Mincho" w:cs="Yu Mincho" w:eastAsia="Yu Mincho" w:hAnsi="Yu Mincho"/>
          <w:sz w:val="21"/>
          <w:szCs w:val="21"/>
        </w:rPr>
        <w:t xml:space="preserve">NYSE以外の市場（AMEX、店頭市場）でも同じ結果が観察された。</w:t>
      </w:r>
    </w:p>
    <w:p>
      <w:pPr>
        <w:pStyle w:val="ListParagraph"/>
        <w:numPr>
          <w:ilvl w:val="0"/>
          <w:numId w:val="2"/>
        </w:numPr>
        <w:spacing w:after="80" w:line="300"/>
      </w:pPr>
      <w:r>
        <w:rPr>
          <w:rFonts w:ascii="Yu Mincho" w:cs="Yu Mincho" w:eastAsia="Yu Mincho" w:hAnsi="Yu Mincho"/>
          <w:sz w:val="21"/>
          <w:szCs w:val="21"/>
        </w:rPr>
        <w:t xml:space="preserve">日本におけるBeaver型の調査結果（石川, 2000）でも類似の傾向が確認されている。</w:t>
      </w:r>
    </w:p>
    <w:p>
      <w:pPr>
        <w:pStyle w:val="Heading2"/>
        <w:spacing w:after="160" w:before="360"/>
      </w:pPr>
      <w:r>
        <w:t xml:space="preserve">4.5　両研究のまとめ：証券市場の効率性と会計情報の潜在的有用性</w:t>
      </w:r>
    </w:p>
    <w:p>
      <w:pPr>
        <w:spacing w:after="140" w:line="320"/>
        <w:jc w:val="left"/>
      </w:pPr>
      <w:r>
        <w:rPr>
          <w:rFonts w:ascii="Yu Mincho" w:cs="Yu Mincho" w:eastAsia="Yu Mincho" w:hAnsi="Yu Mincho"/>
          <w:sz w:val="21"/>
          <w:szCs w:val="21"/>
        </w:rPr>
        <w:t xml:space="preserve">Ball and Brown型・Beaver型の2つの調査結果は、投資家が実績利益額を事前に非常にうまく予測し、それが株価に織り込まれていることを示している。ただしBeaver型の研究は、実績利益の新聞報道日というわずか1日間だけであるが、投資家には市場平均を上回る投資収益率を獲得するチャンスが残されていることを示唆する。現時点で広く支持されている見解は、有能なアナリストが財務諸表分析に資源を投下するのを正当化する程度の小さな非効率性は存在するが、概して株式市場の効率性は非常に高い、というものである（桜井, 2013, 52頁）。証券市場における利益情報の有用性は確認されたが、それは「潜在的有用性」にとどまり、利益公表後にその情報を用いれば異常投資収益率を継続的に獲得できるという「実際的有用性」を支持する証拠はまだ得られていない。以下、実際的有用性を投資戦略の観点から検討する。</w:t>
      </w:r>
    </w:p>
    <w:p>
      <w:pPr>
        <w:pStyle w:val="Heading2"/>
        <w:spacing w:after="160" w:before="360"/>
      </w:pPr>
      <w:r>
        <w:t xml:space="preserve">4.6　投資戦略と会計情報</w:t>
      </w:r>
    </w:p>
    <w:p>
      <w:pPr>
        <w:spacing w:after="140" w:line="320"/>
        <w:jc w:val="left"/>
      </w:pPr>
      <w:r>
        <w:rPr>
          <w:rFonts w:ascii="Yu Mincho" w:cs="Yu Mincho" w:eastAsia="Yu Mincho" w:hAnsi="Yu Mincho"/>
          <w:sz w:val="21"/>
          <w:szCs w:val="21"/>
        </w:rPr>
        <w:t xml:space="preserve">証券市場の効率性（前節の復習）：日本の証券市場は半強度の効率性があると考えられるが、若干の非効率性が残されている可能性がある。投資家の能力に応じて2つの投資戦略が考えられる。</w:t>
      </w:r>
    </w:p>
    <w:p>
      <w:pPr>
        <w:pStyle w:val="ListParagraph"/>
        <w:numPr>
          <w:ilvl w:val="0"/>
          <w:numId w:val="2"/>
        </w:numPr>
        <w:spacing w:after="80" w:line="300"/>
      </w:pPr>
      <w:r>
        <w:rPr>
          <w:rFonts w:ascii="Yu Mincho" w:cs="Yu Mincho" w:eastAsia="Yu Mincho" w:hAnsi="Yu Mincho"/>
          <w:sz w:val="21"/>
          <w:szCs w:val="21"/>
        </w:rPr>
        <w:t xml:space="preserve">アクティブ戦略：企業の将来利益を平均以上に正確に予測したり、公表情報を迅速に解釈して即座に売買に結びつける能力を有する投資家が、誤って価格形成されている銘柄を識別して売買し、市場価格が正当な水準に戻るのを待つ戦略。会計情報に期待される2つの役割：①会計数値公表直後の分析で期待外に良い（悪い）業績であれば迅速に購入（売却）する、②公表された財務諸表から将来の業績・利益数値を予測する。</w:t>
      </w:r>
    </w:p>
    <w:p>
      <w:pPr>
        <w:pStyle w:val="ListParagraph"/>
        <w:numPr>
          <w:ilvl w:val="0"/>
          <w:numId w:val="2"/>
        </w:numPr>
        <w:spacing w:after="80" w:line="300"/>
      </w:pPr>
      <w:r>
        <w:rPr>
          <w:rFonts w:ascii="Yu Mincho" w:cs="Yu Mincho" w:eastAsia="Yu Mincho" w:hAnsi="Yu Mincho"/>
          <w:sz w:val="21"/>
          <w:szCs w:val="21"/>
        </w:rPr>
        <w:t xml:space="preserve">パッシブ戦略：そのような能力を持たない一般投資家が、自己が負担しうるリスク水準に適合した銘柄を選択し、それに見合った投資収益率の獲得を目指す戦略（効率的市場仮説を受け入れる）。財務会計情報に期待される主な役割はリスクの推定にある。</w:t>
      </w:r>
    </w:p>
    <w:p>
      <w:pPr>
        <w:pStyle w:val="Heading3"/>
        <w:spacing w:after="120" w:before="240"/>
      </w:pPr>
      <w:r>
        <w:t xml:space="preserve">パッシブ戦略と会計情報：リスク推定への有用性</w:t>
      </w:r>
    </w:p>
    <w:p>
      <w:pPr>
        <w:spacing w:after="140" w:line="320"/>
        <w:jc w:val="left"/>
      </w:pPr>
      <w:r>
        <w:rPr>
          <w:rFonts w:ascii="Yu Mincho" w:cs="Yu Mincho" w:eastAsia="Yu Mincho" w:hAnsi="Yu Mincho"/>
          <w:sz w:val="21"/>
          <w:szCs w:val="21"/>
        </w:rPr>
        <w:t xml:space="preserve">会計数値にもとづくリスク指標が、株式投資のリスク評価にどの程度役立つのかを検討する。</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600"/>
      </w:tblGrid>
      <w:tr>
        <w:trPr>
          <w:tblHeader/>
        </w:trPr>
        <w:tc>
          <w:tcPr>
            <w:tcW w:type="dxa" w:w="4400"/>
            <w:shd w:fill="DDE6F0" w:val="clear"/>
            <w:tcMar>
              <w:top w:type="dxa" w:w="60"/>
              <w:left w:type="dxa" w:w="100"/>
              <w:bottom w:type="dxa" w:w="60"/>
              <w:right w:type="dxa" w:w="100"/>
            </w:tcMar>
          </w:tcPr>
          <w:p>
            <w:r>
              <w:rPr>
                <w:rFonts w:ascii="Yu Gothic" w:cs="Yu Gothic" w:eastAsia="Yu Gothic" w:hAnsi="Yu Gothic"/>
                <w:b/>
                <w:bCs/>
                <w:sz w:val="19"/>
                <w:szCs w:val="19"/>
              </w:rPr>
              <w:t xml:space="preserve">一般的な投資リスク尺度</w:t>
            </w:r>
          </w:p>
        </w:tc>
        <w:tc>
          <w:tcPr>
            <w:tcW w:type="dxa" w:w="4600"/>
            <w:shd w:fill="DDE6F0" w:val="clear"/>
            <w:tcMar>
              <w:top w:type="dxa" w:w="60"/>
              <w:left w:type="dxa" w:w="100"/>
              <w:bottom w:type="dxa" w:w="60"/>
              <w:right w:type="dxa" w:w="100"/>
            </w:tcMar>
          </w:tcPr>
          <w:p>
            <w:r>
              <w:rPr>
                <w:rFonts w:ascii="Yu Gothic" w:cs="Yu Gothic" w:eastAsia="Yu Gothic" w:hAnsi="Yu Gothic"/>
                <w:b/>
                <w:bCs/>
                <w:sz w:val="19"/>
                <w:szCs w:val="19"/>
              </w:rPr>
              <w:t xml:space="preserve">会計上のリスク指標（符号）</w:t>
            </w:r>
          </w:p>
        </w:tc>
      </w:tr>
      <w:tr>
        <w:tc>
          <w:tcPr>
            <w:tcW w:type="dxa" w:w="4400"/>
            <w:tcMar>
              <w:top w:type="dxa" w:w="60"/>
              <w:left w:type="dxa" w:w="100"/>
              <w:bottom w:type="dxa" w:w="60"/>
              <w:right w:type="dxa" w:w="100"/>
            </w:tcMar>
          </w:tcPr>
          <w:p>
            <w:r>
              <w:rPr>
                <w:rFonts w:ascii="Yu Mincho" w:cs="Yu Mincho" w:eastAsia="Yu Mincho" w:hAnsi="Yu Mincho"/>
                <w:sz w:val="19"/>
                <w:szCs w:val="19"/>
              </w:rPr>
              <w:t xml:space="preserve">①リターン変動性　②市場β値　③デフォルト・リスク</w:t>
            </w:r>
          </w:p>
        </w:tc>
        <w:tc>
          <w:tcPr>
            <w:tcW w:type="dxa" w:w="4600"/>
            <w:tcMar>
              <w:top w:type="dxa" w:w="60"/>
              <w:left w:type="dxa" w:w="100"/>
              <w:bottom w:type="dxa" w:w="60"/>
              <w:right w:type="dxa" w:w="100"/>
            </w:tcMar>
          </w:tcPr>
          <w:p>
            <w:r>
              <w:rPr>
                <w:rFonts w:ascii="Yu Mincho" w:cs="Yu Mincho" w:eastAsia="Yu Mincho" w:hAnsi="Yu Mincho"/>
                <w:sz w:val="19"/>
                <w:szCs w:val="19"/>
              </w:rPr>
              <w:t xml:space="preserve">①損益分岐点比率（＋）　②自己資本比率（－）　③負債比率（＋）　④利益変動性（経常利益の標準偏差）（＋）　⑤会計β値（＋）</w:t>
            </w:r>
          </w:p>
        </w:tc>
      </w:tr>
    </w:tbl>
    <w:p>
      <w:pPr>
        <w:spacing w:after="100"/>
      </w:pPr>
    </w:p>
    <w:p>
      <w:pPr>
        <w:spacing w:after="140" w:line="320"/>
        <w:jc w:val="left"/>
      </w:pPr>
      <w:r>
        <w:rPr>
          <w:rFonts w:ascii="Yu Mincho" w:cs="Yu Mincho" w:eastAsia="Yu Mincho" w:hAnsi="Yu Mincho"/>
          <w:sz w:val="21"/>
          <w:szCs w:val="21"/>
        </w:rPr>
        <w:t xml:space="preserve">投資リスク尺度と会計上のリスク指標の相関関係（石川, 2000）：①損益分岐点比率、③負債比率、④利益変動性、⑤会計β値が高いほど投資リスクが大きくなる。②自己資本比率が高いほど投資リスクが小さくなる。⇒これら5つの会計リスク指標は各証券の投資リスクを評価する上で有用な指標となる。</w:t>
      </w:r>
    </w:p>
    <w:p>
      <w:pPr>
        <w:spacing w:after="140" w:line="320"/>
        <w:jc w:val="left"/>
      </w:pPr>
      <w:r>
        <w:rPr>
          <w:rFonts w:ascii="Yu Mincho" w:cs="Yu Mincho" w:eastAsia="Yu Mincho" w:hAnsi="Yu Mincho"/>
          <w:sz w:val="21"/>
          <w:szCs w:val="21"/>
        </w:rPr>
        <w:t xml:space="preserve">会計情報とデフォルト・リスクの関係：不確実性という意味で投資リスクを定義した場合、マイナス方向への最大の投資リスクは、将来の株価が大きく下落し企業が倒産に陥るケースである。第2章（債務契約と会計情報）で確認した通り、①倒産企業と財務比率の関係、②会計数値にもとづく倒産予測モデルの双方で、会計情報の利用を示す結果がすでに確認されている。⇒一般的な投資リスク尺度と会計数値にもとづくリスク指標は相関関係にあり、デフォルト・リスクが最も顕在化した状況（倒産）の予測にも会計数値が有用である。リスクの推計に会計情報は有用な役割を果たしている。</w:t>
      </w:r>
    </w:p>
    <w:p>
      <w:pPr>
        <w:pStyle w:val="Heading3"/>
        <w:spacing w:after="120" w:before="240"/>
      </w:pPr>
      <w:r>
        <w:t xml:space="preserve">アクティブ戦略と会計情報：アノマリー</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アノマリー（anomaly）</w:t>
            </w:r>
          </w:p>
          <w:p>
            <w:pPr>
              <w:spacing w:line="300"/>
            </w:pPr>
            <w:r>
              <w:rPr>
                <w:rFonts w:ascii="Yu Mincho" w:cs="Yu Mincho" w:eastAsia="Yu Mincho" w:hAnsi="Yu Mincho"/>
                <w:sz w:val="20"/>
                <w:szCs w:val="20"/>
              </w:rPr>
              <w:t xml:space="preserve">科学的には厳密であるように思えるが、基礎的理論の教義とは整合しない証拠の体系。現在入手可能な情報に基づいて証券を売買し、首尾一貫した異常リターンの獲得につながるのであれば、それは効率的市場仮説に反するアノマリーとなる。</w:t>
            </w:r>
          </w:p>
        </w:tc>
      </w:tr>
    </w:tbl>
    <w:p>
      <w:pPr>
        <w:spacing w:after="100"/>
      </w:pPr>
    </w:p>
    <w:p>
      <w:pPr>
        <w:pStyle w:val="ListParagraph"/>
        <w:numPr>
          <w:ilvl w:val="0"/>
          <w:numId w:val="2"/>
        </w:numPr>
        <w:spacing w:after="80" w:line="300"/>
      </w:pPr>
      <w:r>
        <w:rPr>
          <w:rFonts w:ascii="Yu Mincho" w:cs="Yu Mincho" w:eastAsia="Yu Mincho" w:hAnsi="Yu Mincho"/>
          <w:b/>
          <w:bCs/>
          <w:sz w:val="21"/>
          <w:szCs w:val="21"/>
        </w:rPr>
        <w:t xml:space="preserve">ファイナンス分野のアノマリー：</w:t>
      </w:r>
    </w:p>
    <w:p>
      <w:pPr>
        <w:pStyle w:val="ListParagraph"/>
        <w:numPr>
          <w:ilvl w:val="0"/>
          <w:numId w:val="2"/>
        </w:numPr>
        <w:spacing w:after="80" w:line="300"/>
      </w:pPr>
      <w:r>
        <w:rPr>
          <w:rFonts w:ascii="Yu Mincho" w:cs="Yu Mincho" w:eastAsia="Yu Mincho" w:hAnsi="Yu Mincho"/>
          <w:sz w:val="21"/>
          <w:szCs w:val="21"/>
        </w:rPr>
        <w:t xml:space="preserve">1月効果（January effect）、規模効果（size effect）、EP効果、BM効果、コントラリアン効果（contrarian effect）、モメンタム効果（momentum effect）。</w:t>
      </w:r>
    </w:p>
    <w:p>
      <w:pPr>
        <w:pStyle w:val="ListParagraph"/>
        <w:numPr>
          <w:ilvl w:val="0"/>
          <w:numId w:val="2"/>
        </w:numPr>
        <w:spacing w:after="80" w:line="300"/>
      </w:pPr>
      <w:r>
        <w:rPr>
          <w:rFonts w:ascii="Yu Mincho" w:cs="Yu Mincho" w:eastAsia="Yu Mincho" w:hAnsi="Yu Mincho"/>
          <w:b/>
          <w:bCs/>
          <w:sz w:val="21"/>
          <w:szCs w:val="21"/>
        </w:rPr>
        <w:t xml:space="preserve">会計分野のアノマリー：</w:t>
      </w:r>
    </w:p>
    <w:p>
      <w:pPr>
        <w:pStyle w:val="ListParagraph"/>
        <w:numPr>
          <w:ilvl w:val="0"/>
          <w:numId w:val="2"/>
        </w:numPr>
        <w:spacing w:after="80" w:line="300"/>
      </w:pPr>
      <w:r>
        <w:rPr>
          <w:rFonts w:ascii="Yu Mincho" w:cs="Yu Mincho" w:eastAsia="Yu Mincho" w:hAnsi="Yu Mincho"/>
          <w:sz w:val="21"/>
          <w:szCs w:val="21"/>
        </w:rPr>
        <w:t xml:space="preserve">利益発表後の株価のドリフト（PEAD）、ファンダメンタル分析、残余利益モデル、会計発生高アノマリー（第6章で詳述）。</w:t>
      </w:r>
    </w:p>
    <w:p>
      <w:pPr>
        <w:pStyle w:val="Heading3"/>
        <w:spacing w:after="120" w:before="240"/>
      </w:pPr>
      <w:r>
        <w:t xml:space="preserve">① 利益発表後の株価のドリフト（PEAD: post-earnings announcement drift）</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PEADとは</w:t>
            </w:r>
          </w:p>
          <w:p>
            <w:pPr>
              <w:spacing w:line="300"/>
            </w:pPr>
            <w:r>
              <w:rPr>
                <w:rFonts w:ascii="Yu Mincho" w:cs="Yu Mincho" w:eastAsia="Yu Mincho" w:hAnsi="Yu Mincho"/>
                <w:sz w:val="20"/>
                <w:szCs w:val="20"/>
              </w:rPr>
              <w:t xml:space="preserve">利益発表に対する株価の反応が迅速に完了せず、予想外に良好な利益を発表した企業の株価はその後の期間にわたって上昇し、予想外に低調な利益を発表した企業の株価は下落し続けるという現象。利益発表直後に予想外に良好な銘柄を買い、低調な銘柄を空売りすれば、超過リターンを獲得できる可能性がある。</w:t>
            </w:r>
          </w:p>
        </w:tc>
      </w:tr>
    </w:tbl>
    <w:p>
      <w:pPr>
        <w:spacing w:after="100"/>
      </w:pPr>
    </w:p>
    <w:p>
      <w:pPr>
        <w:spacing w:after="140" w:line="320"/>
        <w:jc w:val="left"/>
      </w:pPr>
      <w:r>
        <w:rPr>
          <w:rFonts w:ascii="Yu Mincho" w:cs="Yu Mincho" w:eastAsia="Yu Mincho" w:hAnsi="Yu Mincho"/>
          <w:sz w:val="21"/>
          <w:szCs w:val="21"/>
        </w:rPr>
        <w:t xml:space="preserve">Foster, Olsen and Shevlin (1984)：利益予想誤差（実績利益－期待利益）をそれ以前の期間の予想誤差の標準偏差で割ることで期待外利益を算定。期待外利益がプラスの上位10％銘柄を買い、マイナスの下位10％銘柄を空売りし、利益発表日の翌日から60日間ポジションを維持した場合、平均で6.31％の超過リターンを獲得できる。以降の研究もPEADの存在を裏付ける経験的証拠を提示している（音川, 2013）。⇒会計数値公表直後の分析による迅速な購入（売却）で異常投資収益率を獲得できることを示唆。</w:t>
      </w:r>
    </w:p>
    <w:p>
      <w:pPr>
        <w:pStyle w:val="Heading3"/>
        <w:spacing w:after="120" w:before="240"/>
      </w:pPr>
      <w:r>
        <w:t xml:space="preserve">② ファンダメンタル分析</w:t>
      </w:r>
    </w:p>
    <w:p>
      <w:pPr>
        <w:spacing w:after="140" w:line="320"/>
        <w:jc w:val="left"/>
      </w:pPr>
      <w:r>
        <w:rPr>
          <w:rFonts w:ascii="Yu Mincho" w:cs="Yu Mincho" w:eastAsia="Yu Mincho" w:hAnsi="Yu Mincho"/>
          <w:sz w:val="21"/>
          <w:szCs w:val="21"/>
        </w:rPr>
        <w:t xml:space="preserve">会計数値に依拠したファンダメンタル分析により「利益の予測モデル」を構築し、市場平均を上回る異常投資収益率の獲得を目指す。</w:t>
      </w:r>
    </w:p>
    <w:p>
      <w:pPr>
        <w:spacing w:after="140" w:line="320"/>
        <w:jc w:val="left"/>
      </w:pPr>
      <w:r>
        <w:rPr>
          <w:rFonts w:ascii="Yu Mincho" w:cs="Yu Mincho" w:eastAsia="Yu Mincho" w:hAnsi="Yu Mincho"/>
          <w:sz w:val="21"/>
          <w:szCs w:val="21"/>
        </w:rPr>
        <w:t xml:space="preserve">Ou and Penman (1989) の調査方法：①1965〜1972年の財務諸表数値を用いてステップワイズ・ロジット回帰分析により将来利益の予測モデルを設定（流動比率や売上高利益率など68の財務比率を独立変数、次年度増益なら1・減益なら0を従属変数とするロジット回帰）。②すべての独立変数が10％水準で有意になるまで推定を続け、最終的に残った16の比率で予測モデルを構築、次期増益予測確率60％以上の企業と40％以下の企業に分類し、前者を決算日の3ヵ月後に購入、後者を同時点で同額空売り。③24ヵ月後にバイ・アンド・ホールド運用を終え、市場平均収益率を差し引いて異常投資収益率を算定。</w:t>
      </w:r>
    </w:p>
    <w:p>
      <w:pPr>
        <w:spacing w:after="140" w:line="320"/>
        <w:jc w:val="left"/>
      </w:pPr>
      <w:r>
        <w:rPr>
          <w:rFonts w:ascii="Yu Mincho" w:cs="Yu Mincho" w:eastAsia="Yu Mincho" w:hAnsi="Yu Mincho"/>
          <w:sz w:val="21"/>
          <w:szCs w:val="21"/>
        </w:rPr>
        <w:t xml:space="preserve">調査結果：9,948の観測値についての平均異常投資収益率は14.5％。市場ベータや投資収益率の分散でリスクをコントロールしてもほぼ同じ結果。彼らは「財務諸表が、株価に反映されていないファンダメンタルを捕捉している」（Ou and Penman, 1989, p.328）と結論づけた。Abarbanell and Bushee (1998) は将来リターンの予測能力が高い指標として棚卸資産、売上総利益、販管費の動向を挙げた。⇒過大または過小に評価された証券の発見が財務諸表分析で可能であることを示唆し、公表された財務諸表から将来の利益数値を予測することで会計情報の実際的有用性が確認される。</w:t>
      </w:r>
    </w:p>
    <w:p>
      <w:pPr>
        <w:pStyle w:val="Heading3"/>
        <w:spacing w:after="120" w:before="240"/>
      </w:pPr>
      <w:r>
        <w:t xml:space="preserve">③ 残余利益モデル（超過利益モデル、Ohlsonモデル）</w:t>
      </w:r>
    </w:p>
    <w:p>
      <w:pPr>
        <w:spacing w:after="140" w:line="320"/>
        <w:jc w:val="left"/>
      </w:pPr>
      <w:r>
        <w:rPr>
          <w:rFonts w:ascii="Yu Mincho" w:cs="Yu Mincho" w:eastAsia="Yu Mincho" w:hAnsi="Yu Mincho"/>
          <w:sz w:val="21"/>
          <w:szCs w:val="21"/>
        </w:rPr>
        <w:t xml:space="preserve">Ou and Penman (1989) は会計情報の実際的有用性の可能性を示唆したが、会計情報と企業価値を結びつけるモデルは展開しなかった。ファンダメンタル分析の理論的枠組みを構築したのはオールソン（Ohlson）である。Ohlson (1995) は伝統的な株価形成モデルである割引配当モデルに、会計の「クリーン・サープラス関係」を考慮して展開し、超過利益モデルを提示した。</w:t>
      </w:r>
    </w:p>
    <w:p>
      <w:pPr>
        <w:spacing w:after="140" w:line="320"/>
        <w:jc w:val="left"/>
      </w:pPr>
      <w:r>
        <w:rPr>
          <w:rFonts w:ascii="Yu Mincho" w:cs="Yu Mincho" w:eastAsia="Yu Mincho" w:hAnsi="Yu Mincho"/>
          <w:sz w:val="21"/>
          <w:szCs w:val="21"/>
        </w:rPr>
        <w:t xml:space="preserve">超過利益モデルの株価説明力：超過利益モデルと配当割引モデルの現在株価に対する説明力を比較すると、決定係数が前者68％、後者29％であった（Bernard, 1995）。両モデルにキャッシュフロー割引モデルを加えて評価誤差（実際の株価から各モデル推定企業価値を差し引き株価で割った値）を測定した結果、超過利益モデルの測定誤差は他モデルより圧倒的に小さかった（Penman and Sougiannis, 1998）。→超過利益モデルの株価説明力は既存モデルと比較して非常に高い。</w:t>
      </w:r>
    </w:p>
    <w:p>
      <w:pPr>
        <w:spacing w:after="140" w:line="320"/>
        <w:jc w:val="left"/>
      </w:pPr>
      <w:r>
        <w:rPr>
          <w:rFonts w:ascii="Yu Mincho" w:cs="Yu Mincho" w:eastAsia="Yu Mincho" w:hAnsi="Yu Mincho"/>
          <w:sz w:val="21"/>
          <w:szCs w:val="21"/>
        </w:rPr>
        <w:t xml:space="preserve">Frankel and Lee (1998) の研究：①超過利益モデルにもとづいて企業価値（V）を推定し、株価で割る（V/P）。②V/Pの小さい順に五分位数ポートフォリオを作成。③第5五分位数ポートフォリオを購入し第1五分位数ポートフォリオを空売り。④株価純資産倍率（B/P）についても同様の計算。⑤月次の投資収益率を36ヶ月分累積。</w:t>
      </w:r>
    </w:p>
    <w:p>
      <w:pPr>
        <w:spacing w:after="140" w:line="320"/>
        <w:jc w:val="left"/>
      </w:pPr>
      <w:r>
        <w:rPr>
          <w:rFonts w:ascii="Yu Mincho" w:cs="Yu Mincho" w:eastAsia="Yu Mincho" w:hAnsi="Yu Mincho"/>
          <w:sz w:val="21"/>
          <w:szCs w:val="21"/>
        </w:rPr>
        <w:t xml:space="preserve">調査結果：V/Pポートフォリオにおける35ヶ月間の累積投資収益率はB/Pの3倍以上（規模・リスクの影響も調整済み）で、運用期間が長期になるほど差は大きくなる。→超過利益モデルを利用した投資戦略は株価純資産倍率効果を上回るパフォーマンスが得られ、財務会計情報の実際的有用性を示す証拠となる。超過利益にもとづく投資戦略の有用性は後続研究でも支持されている。</w:t>
      </w:r>
    </w:p>
    <w:p>
      <w:pPr>
        <w:pStyle w:val="Heading2"/>
        <w:spacing w:after="160" w:before="360"/>
      </w:pPr>
      <w:r>
        <w:t xml:space="preserve">4.7　本章のまとめ</w:t>
      </w:r>
    </w:p>
    <w:p>
      <w:pPr>
        <w:pStyle w:val="ListParagraph"/>
        <w:numPr>
          <w:ilvl w:val="0"/>
          <w:numId w:val="2"/>
        </w:numPr>
        <w:spacing w:after="80" w:line="300"/>
      </w:pPr>
      <w:r>
        <w:rPr>
          <w:rFonts w:ascii="Yu Mincho" w:cs="Yu Mincho" w:eastAsia="Yu Mincho" w:hAnsi="Yu Mincho"/>
          <w:sz w:val="21"/>
          <w:szCs w:val="21"/>
        </w:rPr>
        <w:t xml:space="preserve">効率的市場仮説：入手可能な情報を十分に反映し、価格が新情報に即座に反応する市場という考え方。日米市場は概ね半強度の効率性を持つ。</w:t>
      </w:r>
    </w:p>
    <w:p>
      <w:pPr>
        <w:pStyle w:val="ListParagraph"/>
        <w:numPr>
          <w:ilvl w:val="0"/>
          <w:numId w:val="2"/>
        </w:numPr>
        <w:spacing w:after="80" w:line="300"/>
      </w:pPr>
      <w:r>
        <w:rPr>
          <w:rFonts w:ascii="Yu Mincho" w:cs="Yu Mincho" w:eastAsia="Yu Mincho" w:hAnsi="Yu Mincho"/>
          <w:sz w:val="21"/>
          <w:szCs w:val="21"/>
        </w:rPr>
        <w:t xml:space="preserve">会計利益と株価の関係：（1）Ball and Brown (1968) は会計利益の動向と株価の動向の対応関係、（2）Beaver (1968) は決算発表時点での株価反応を検証し、いずれも会計利益の「潜在的有用性」を確認した。</w:t>
      </w:r>
    </w:p>
    <w:p>
      <w:pPr>
        <w:pStyle w:val="ListParagraph"/>
        <w:numPr>
          <w:ilvl w:val="0"/>
          <w:numId w:val="2"/>
        </w:numPr>
        <w:spacing w:after="80" w:line="300"/>
      </w:pPr>
      <w:r>
        <w:rPr>
          <w:rFonts w:ascii="Yu Mincho" w:cs="Yu Mincho" w:eastAsia="Yu Mincho" w:hAnsi="Yu Mincho"/>
          <w:sz w:val="21"/>
          <w:szCs w:val="21"/>
        </w:rPr>
        <w:t xml:space="preserve">投資戦略と会計情報：（1）パッシブ戦略では投資リスクの推定に会計情報が役立つ、（2）アクティブ戦略ではファンダメンタル分析による将来業績・企業価値の予測（①利益予測モデル、②残余利益モデル、③会計発生高アノマリー［第6章］）を通じて会計情報の「実際的有用性」が確認された。</w:t>
      </w:r>
    </w:p>
    <w:p>
      <w:pPr>
        <w:pStyle w:val="Heading1"/>
        <w:pageBreakBefore/>
        <w:spacing w:after="240" w:before="480"/>
      </w:pPr>
      <w:r>
        <w:t xml:space="preserve">第5章　自発的情報開示（IR）</w:t>
      </w:r>
    </w:p>
    <w:p>
      <w:pPr>
        <w:spacing w:after="140" w:line="320"/>
        <w:jc w:val="left"/>
      </w:pPr>
      <w:r>
        <w:rPr>
          <w:rFonts w:ascii="Yu Mincho" w:cs="Yu Mincho" w:eastAsia="Yu Mincho" w:hAnsi="Yu Mincho"/>
          <w:sz w:val="21"/>
          <w:szCs w:val="21"/>
        </w:rPr>
        <w:t xml:space="preserve">本章は第10回の内容にもとづく。IR（インベスター・リレーションズ）とは、企業が株主・投資家に対し、投資判断に必要な企業情報を、適時・公平・継続して提供する活動である（日本IR協議会）。IRは制度的開示にとどまらず、企業が任意（自主的）に行う情報提供活動（自発的情報開示）を意味する。インターネットなど開示媒体を問わず、時代に即した新しいIR活動も活発になっている。Question：IRは本当に効果があるのだろうか？　本章では、IRの効果を実証的に検証した論文に注目し、①資本コストに与える影響、②有事における情報開示の効果、③アニュアル・レポート（有価証券報告書）における記述情報の意義、の3つの視点からその開示効果を議論する。</w:t>
      </w:r>
    </w:p>
    <w:p>
      <w:pPr>
        <w:pStyle w:val="Heading2"/>
        <w:spacing w:after="160" w:before="360"/>
      </w:pPr>
      <w:r>
        <w:t xml:space="preserve">5.1　情報開示の形態</w:t>
      </w:r>
    </w:p>
    <w:p>
      <w:pPr>
        <w:spacing w:after="140" w:line="320"/>
        <w:jc w:val="left"/>
      </w:pPr>
      <w:r>
        <w:rPr>
          <w:rFonts w:ascii="Yu Mincho" w:cs="Yu Mincho" w:eastAsia="Yu Mincho" w:hAnsi="Yu Mincho"/>
          <w:sz w:val="21"/>
          <w:szCs w:val="21"/>
        </w:rPr>
        <w:t xml:space="preserve">情報開示は、強制開示とIR（任意開示）に大別される。強制開示には、有価証券報告書（財務諸表、リスク情報、コーポレートガバナンスに関する情報、MD&amp;A等）が含まれる。IRには、環境報告書・CSR報告書・知的財産報告書・経営計画・研究開発情報等が含まれ、その中には（1）強制開示ではないが強制開示と同様の情報内容を持つ情報（決算短信にもとづく経営者予想情報、その他適時開示）と、（2）将来強制開示になる可能性がある情報（会計基準の新設・改訂により開示される可能性がある情報、重要だが数量化が難しい情報［無形資産］、コーポレート・ガバナンス強化など社会的要請の変化により開示が要求されるもの［役員の独立性、経営者報酬等］）がある。⇒戦略的なIRの視点としては（2）が重要である。</w:t>
      </w:r>
    </w:p>
    <w:p>
      <w:pPr>
        <w:spacing w:after="140" w:line="320"/>
        <w:jc w:val="left"/>
      </w:pPr>
      <w:r>
        <w:rPr>
          <w:rFonts w:ascii="Yu Mincho" w:cs="Yu Mincho" w:eastAsia="Yu Mincho" w:hAnsi="Yu Mincho"/>
          <w:sz w:val="21"/>
          <w:szCs w:val="21"/>
        </w:rPr>
        <w:t xml:space="preserve">効果的なIRの実施に期待される効果：</w:t>
      </w:r>
    </w:p>
    <w:p>
      <w:pPr>
        <w:pStyle w:val="ListParagraph"/>
        <w:numPr>
          <w:ilvl w:val="0"/>
          <w:numId w:val="2"/>
        </w:numPr>
        <w:spacing w:after="80" w:line="300"/>
      </w:pPr>
      <w:r>
        <w:rPr>
          <w:rFonts w:ascii="Yu Mincho" w:cs="Yu Mincho" w:eastAsia="Yu Mincho" w:hAnsi="Yu Mincho"/>
          <w:sz w:val="21"/>
          <w:szCs w:val="21"/>
        </w:rPr>
        <w:t xml:space="preserve">短期的な効果：経営方針・企業戦略に関する理解、株主・一般投資家の企業に対するイメージの向上。</w:t>
      </w:r>
    </w:p>
    <w:p>
      <w:pPr>
        <w:pStyle w:val="ListParagraph"/>
        <w:numPr>
          <w:ilvl w:val="0"/>
          <w:numId w:val="2"/>
        </w:numPr>
        <w:spacing w:after="80" w:line="300"/>
      </w:pPr>
      <w:r>
        <w:rPr>
          <w:rFonts w:ascii="Yu Mincho" w:cs="Yu Mincho" w:eastAsia="Yu Mincho" w:hAnsi="Yu Mincho"/>
          <w:sz w:val="21"/>
          <w:szCs w:val="21"/>
        </w:rPr>
        <w:t xml:space="preserve">長期的な効果：株価水準の適正化、出来高の増加による流動性向上、株主数の増加・株主構成の変化。</w:t>
      </w:r>
    </w:p>
    <w:p>
      <w:pPr>
        <w:pStyle w:val="Heading2"/>
        <w:spacing w:after="160" w:before="360"/>
      </w:pPr>
      <w:r>
        <w:t xml:space="preserve">5.2　IRの効果①：資本コスト</w:t>
      </w:r>
    </w:p>
    <w:p>
      <w:pPr>
        <w:pStyle w:val="Heading3"/>
        <w:spacing w:after="120" w:before="240"/>
      </w:pPr>
      <w:r>
        <w:t xml:space="preserve">理論研究の示唆：Easley and O'Hara (2004)</w:t>
      </w:r>
    </w:p>
    <w:p>
      <w:pPr>
        <w:spacing w:after="140" w:line="320"/>
        <w:jc w:val="left"/>
      </w:pPr>
      <w:r>
        <w:rPr>
          <w:rFonts w:ascii="Yu Mincho" w:cs="Yu Mincho" w:eastAsia="Yu Mincho" w:hAnsi="Yu Mincho"/>
          <w:sz w:val="21"/>
          <w:szCs w:val="21"/>
        </w:rPr>
        <w:t xml:space="preserve">私的情報を有する情報優位な投資家（informed investors）と情報劣位の投資家（uninformed investors）との間の情報の非対称性から生じるリスクを「情報リスク（information risk）」と定義した。この情報リスクに直面する情報劣位の投資家は、リスクに見合うだけの高いリターンを企業に要求し、企業にとっては資本コストの増加につながる。情報リスクに起因する資本コストの増加部分は、投資家間の情報格差の原因である私的情報の量（amount）・精度（precision）に加え、公的情報の精度に応じて増減することが示されている。情報劣位の投資家は公的情報にはアクセスできるため公的情報の「量」は問題にならないが、その「精度」が悪い場合には追加的なリスクを負う。⇒会計情報といった公的情報の質が悪ければ、情報劣位の投資家の情報リスクが増加し、企業の資本コストが増加する、という仮説が導かれる。</w:t>
      </w:r>
    </w:p>
    <w:p>
      <w:pPr>
        <w:pStyle w:val="Heading3"/>
        <w:spacing w:after="120" w:before="240"/>
      </w:pPr>
      <w:r>
        <w:t xml:space="preserve">須田・首藤・太田（2004a, 2004b）の実証研究</w:t>
      </w:r>
    </w:p>
    <w:p>
      <w:pPr>
        <w:spacing w:after="140" w:line="320"/>
        <w:jc w:val="left"/>
      </w:pPr>
      <w:r>
        <w:rPr>
          <w:rFonts w:ascii="Yu Mincho" w:cs="Yu Mincho" w:eastAsia="Yu Mincho" w:hAnsi="Yu Mincho"/>
          <w:sz w:val="21"/>
          <w:szCs w:val="21"/>
        </w:rPr>
        <w:t xml:space="preserve">研究の目的：ディスクロージャーの優劣が株主資本コストと負債コストに与える影響を分析する。研究の方法：株主資本コスト（企業評価モデルを逆算して算定）と負債コスト（普通社債発行時の利率＝応募者利回り）を、日本証券アナリスト協会公表の「リサーチ・アナリストによるディスクロージャー優良企業選定」報告書にもとづき、ディスクロージャー優良企業（上位1位〜3位）とそれ以外で比較する。分析結果：ディスクロージャーに積極的な企業ほど資本コストが小さい。ディスクロージャーに積極的な企業ほど負債コストが小さい。⇒情報開示は投資家保護の観点から議論されることが多いが、企業はディスクロージャーを積極的に行うことで経済的なベネフィットを享受できる。</w:t>
      </w:r>
    </w:p>
    <w:p>
      <w:pPr>
        <w:pStyle w:val="Heading3"/>
        <w:spacing w:after="120" w:before="240"/>
      </w:pPr>
      <w:r>
        <w:t xml:space="preserve">その他の実証研究</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1600"/>
        <w:gridCol w:w="5000"/>
      </w:tblGrid>
      <w:tr>
        <w:trPr>
          <w:tblHeader/>
        </w:trPr>
        <w:tc>
          <w:tcPr>
            <w:tcW w:type="dxa" w:w="2400"/>
            <w:shd w:fill="DDE6F0" w:val="clear"/>
            <w:tcMar>
              <w:top w:type="dxa" w:w="60"/>
              <w:left w:type="dxa" w:w="100"/>
              <w:bottom w:type="dxa" w:w="60"/>
              <w:right w:type="dxa" w:w="100"/>
            </w:tcMar>
          </w:tcPr>
          <w:p>
            <w:r>
              <w:rPr>
                <w:rFonts w:ascii="Yu Gothic" w:cs="Yu Gothic" w:eastAsia="Yu Gothic" w:hAnsi="Yu Gothic"/>
                <w:b/>
                <w:bCs/>
                <w:sz w:val="19"/>
                <w:szCs w:val="19"/>
              </w:rPr>
              <w:t xml:space="preserve">研究</w:t>
            </w:r>
          </w:p>
        </w:tc>
        <w:tc>
          <w:tcPr>
            <w:tcW w:type="dxa" w:w="1600"/>
            <w:shd w:fill="DDE6F0" w:val="clear"/>
            <w:tcMar>
              <w:top w:type="dxa" w:w="60"/>
              <w:left w:type="dxa" w:w="100"/>
              <w:bottom w:type="dxa" w:w="60"/>
              <w:right w:type="dxa" w:w="100"/>
            </w:tcMar>
          </w:tcPr>
          <w:p>
            <w:r>
              <w:rPr>
                <w:rFonts w:ascii="Yu Gothic" w:cs="Yu Gothic" w:eastAsia="Yu Gothic" w:hAnsi="Yu Gothic"/>
                <w:b/>
                <w:bCs/>
                <w:sz w:val="19"/>
                <w:szCs w:val="19"/>
              </w:rPr>
              <w:t xml:space="preserve">サンプル</w:t>
            </w:r>
          </w:p>
        </w:tc>
        <w:tc>
          <w:tcPr>
            <w:tcW w:type="dxa" w:w="5000"/>
            <w:shd w:fill="DDE6F0" w:val="clear"/>
            <w:tcMar>
              <w:top w:type="dxa" w:w="60"/>
              <w:left w:type="dxa" w:w="100"/>
              <w:bottom w:type="dxa" w:w="60"/>
              <w:right w:type="dxa" w:w="100"/>
            </w:tcMar>
          </w:tcPr>
          <w:p>
            <w:r>
              <w:rPr>
                <w:rFonts w:ascii="Yu Gothic" w:cs="Yu Gothic" w:eastAsia="Yu Gothic" w:hAnsi="Yu Gothic"/>
                <w:b/>
                <w:bCs/>
                <w:sz w:val="19"/>
                <w:szCs w:val="19"/>
              </w:rPr>
              <w:t xml:space="preserve">発見事項</w:t>
            </w:r>
          </w:p>
        </w:tc>
      </w:tr>
      <w:tr>
        <w:tc>
          <w:tcPr>
            <w:tcW w:type="dxa" w:w="2400"/>
            <w:tcMar>
              <w:top w:type="dxa" w:w="60"/>
              <w:left w:type="dxa" w:w="100"/>
              <w:bottom w:type="dxa" w:w="60"/>
              <w:right w:type="dxa" w:w="100"/>
            </w:tcMar>
          </w:tcPr>
          <w:p>
            <w:r>
              <w:rPr>
                <w:rFonts w:ascii="Yu Mincho" w:cs="Yu Mincho" w:eastAsia="Yu Mincho" w:hAnsi="Yu Mincho"/>
                <w:sz w:val="19"/>
                <w:szCs w:val="19"/>
              </w:rPr>
              <w:t xml:space="preserve">村宮（2005）</w:t>
            </w:r>
          </w:p>
        </w:tc>
        <w:tc>
          <w:tcPr>
            <w:tcW w:type="dxa" w:w="1600"/>
            <w:tcMar>
              <w:top w:type="dxa" w:w="60"/>
              <w:left w:type="dxa" w:w="100"/>
              <w:bottom w:type="dxa" w:w="60"/>
              <w:right w:type="dxa" w:w="100"/>
            </w:tcMar>
          </w:tcPr>
          <w:p>
            <w:r>
              <w:rPr>
                <w:rFonts w:ascii="Yu Mincho" w:cs="Yu Mincho" w:eastAsia="Yu Mincho" w:hAnsi="Yu Mincho"/>
                <w:sz w:val="19"/>
                <w:szCs w:val="19"/>
              </w:rPr>
              <w:t xml:space="preserve">日本企業</w:t>
            </w:r>
          </w:p>
        </w:tc>
        <w:tc>
          <w:tcPr>
            <w:tcW w:type="dxa" w:w="5000"/>
            <w:tcMar>
              <w:top w:type="dxa" w:w="60"/>
              <w:left w:type="dxa" w:w="100"/>
              <w:bottom w:type="dxa" w:w="60"/>
              <w:right w:type="dxa" w:w="100"/>
            </w:tcMar>
          </w:tcPr>
          <w:p>
            <w:r>
              <w:rPr>
                <w:rFonts w:ascii="Yu Mincho" w:cs="Yu Mincho" w:eastAsia="Yu Mincho" w:hAnsi="Yu Mincho"/>
                <w:sz w:val="19"/>
                <w:szCs w:val="19"/>
              </w:rPr>
              <w:t xml:space="preserve">情報開示の質（経営者予想利益の精度）が低い企業ほど資本コストが高い傾向。情報の量だけでなく質も資本コストに影響。正確な経営者予想利益の公表が資本コストの低減につながる。</w:t>
            </w:r>
          </w:p>
        </w:tc>
      </w:tr>
      <w:tr>
        <w:tc>
          <w:tcPr>
            <w:tcW w:type="dxa" w:w="2400"/>
            <w:tcMar>
              <w:top w:type="dxa" w:w="60"/>
              <w:left w:type="dxa" w:w="100"/>
              <w:bottom w:type="dxa" w:w="60"/>
              <w:right w:type="dxa" w:w="100"/>
            </w:tcMar>
          </w:tcPr>
          <w:p>
            <w:r>
              <w:rPr>
                <w:rFonts w:ascii="Yu Mincho" w:cs="Yu Mincho" w:eastAsia="Yu Mincho" w:hAnsi="Yu Mincho"/>
                <w:sz w:val="19"/>
                <w:szCs w:val="19"/>
              </w:rPr>
              <w:t xml:space="preserve">Botosan (1997)</w:t>
            </w:r>
          </w:p>
        </w:tc>
        <w:tc>
          <w:tcPr>
            <w:tcW w:type="dxa" w:w="1600"/>
            <w:tcMar>
              <w:top w:type="dxa" w:w="60"/>
              <w:left w:type="dxa" w:w="100"/>
              <w:bottom w:type="dxa" w:w="60"/>
              <w:right w:type="dxa" w:w="100"/>
            </w:tcMar>
          </w:tcPr>
          <w:p>
            <w:r>
              <w:rPr>
                <w:rFonts w:ascii="Yu Mincho" w:cs="Yu Mincho" w:eastAsia="Yu Mincho" w:hAnsi="Yu Mincho"/>
                <w:sz w:val="19"/>
                <w:szCs w:val="19"/>
              </w:rPr>
              <w:t xml:space="preserve">米国企業</w:t>
            </w:r>
          </w:p>
        </w:tc>
        <w:tc>
          <w:tcPr>
            <w:tcW w:type="dxa" w:w="5000"/>
            <w:tcMar>
              <w:top w:type="dxa" w:w="60"/>
              <w:left w:type="dxa" w:w="100"/>
              <w:bottom w:type="dxa" w:w="60"/>
              <w:right w:type="dxa" w:w="100"/>
            </w:tcMar>
          </w:tcPr>
          <w:p>
            <w:r>
              <w:rPr>
                <w:rFonts w:ascii="Yu Mincho" w:cs="Yu Mincho" w:eastAsia="Yu Mincho" w:hAnsi="Yu Mincho"/>
                <w:sz w:val="19"/>
                <w:szCs w:val="19"/>
              </w:rPr>
              <w:t xml:space="preserve">アニュアル・リポートの情報開示水準を点数化し株主資本コストとの関係を調査した結果、ディスクロージャー・レベルが高い企業ほど資本コストが低下。</w:t>
            </w:r>
          </w:p>
        </w:tc>
      </w:tr>
      <w:tr>
        <w:tc>
          <w:tcPr>
            <w:tcW w:type="dxa" w:w="2400"/>
            <w:tcMar>
              <w:top w:type="dxa" w:w="60"/>
              <w:left w:type="dxa" w:w="100"/>
              <w:bottom w:type="dxa" w:w="60"/>
              <w:right w:type="dxa" w:w="100"/>
            </w:tcMar>
          </w:tcPr>
          <w:p>
            <w:r>
              <w:rPr>
                <w:rFonts w:ascii="Yu Mincho" w:cs="Yu Mincho" w:eastAsia="Yu Mincho" w:hAnsi="Yu Mincho"/>
                <w:sz w:val="19"/>
                <w:szCs w:val="19"/>
              </w:rPr>
              <w:t xml:space="preserve">Botosan and Plumlee (2002)</w:t>
            </w:r>
          </w:p>
        </w:tc>
        <w:tc>
          <w:tcPr>
            <w:tcW w:type="dxa" w:w="1600"/>
            <w:tcMar>
              <w:top w:type="dxa" w:w="60"/>
              <w:left w:type="dxa" w:w="100"/>
              <w:bottom w:type="dxa" w:w="60"/>
              <w:right w:type="dxa" w:w="100"/>
            </w:tcMar>
          </w:tcPr>
          <w:p>
            <w:r>
              <w:rPr>
                <w:rFonts w:ascii="Yu Mincho" w:cs="Yu Mincho" w:eastAsia="Yu Mincho" w:hAnsi="Yu Mincho"/>
                <w:sz w:val="19"/>
                <w:szCs w:val="19"/>
              </w:rPr>
              <w:t xml:space="preserve">米国企業</w:t>
            </w:r>
          </w:p>
        </w:tc>
        <w:tc>
          <w:tcPr>
            <w:tcW w:type="dxa" w:w="5000"/>
            <w:tcMar>
              <w:top w:type="dxa" w:w="60"/>
              <w:left w:type="dxa" w:w="100"/>
              <w:bottom w:type="dxa" w:w="60"/>
              <w:right w:type="dxa" w:w="100"/>
            </w:tcMar>
          </w:tcPr>
          <w:p>
            <w:r>
              <w:rPr>
                <w:rFonts w:ascii="Yu Mincho" w:cs="Yu Mincho" w:eastAsia="Yu Mincho" w:hAnsi="Yu Mincho"/>
                <w:sz w:val="19"/>
                <w:szCs w:val="19"/>
              </w:rPr>
              <w:t xml:space="preserve">「証券アナリストによるディスクロージャー優良企業選定」の総合評価点が高い企業ほど株主資本コストが低い。</w:t>
            </w:r>
          </w:p>
        </w:tc>
      </w:tr>
      <w:tr>
        <w:tc>
          <w:tcPr>
            <w:tcW w:type="dxa" w:w="2400"/>
            <w:tcMar>
              <w:top w:type="dxa" w:w="60"/>
              <w:left w:type="dxa" w:w="100"/>
              <w:bottom w:type="dxa" w:w="60"/>
              <w:right w:type="dxa" w:w="100"/>
            </w:tcMar>
          </w:tcPr>
          <w:p>
            <w:r>
              <w:rPr>
                <w:rFonts w:ascii="Yu Mincho" w:cs="Yu Mincho" w:eastAsia="Yu Mincho" w:hAnsi="Yu Mincho"/>
                <w:sz w:val="19"/>
                <w:szCs w:val="19"/>
              </w:rPr>
              <w:t xml:space="preserve">音川（2000）</w:t>
            </w:r>
          </w:p>
        </w:tc>
        <w:tc>
          <w:tcPr>
            <w:tcW w:type="dxa" w:w="1600"/>
            <w:tcMar>
              <w:top w:type="dxa" w:w="60"/>
              <w:left w:type="dxa" w:w="100"/>
              <w:bottom w:type="dxa" w:w="60"/>
              <w:right w:type="dxa" w:w="100"/>
            </w:tcMar>
          </w:tcPr>
          <w:p>
            <w:r>
              <w:rPr>
                <w:rFonts w:ascii="Yu Mincho" w:cs="Yu Mincho" w:eastAsia="Yu Mincho" w:hAnsi="Yu Mincho"/>
                <w:sz w:val="19"/>
                <w:szCs w:val="19"/>
              </w:rPr>
              <w:t xml:space="preserve">日本企業</w:t>
            </w:r>
          </w:p>
        </w:tc>
        <w:tc>
          <w:tcPr>
            <w:tcW w:type="dxa" w:w="5000"/>
            <w:tcMar>
              <w:top w:type="dxa" w:w="60"/>
              <w:left w:type="dxa" w:w="100"/>
              <w:bottom w:type="dxa" w:w="60"/>
              <w:right w:type="dxa" w:w="100"/>
            </w:tcMar>
          </w:tcPr>
          <w:p>
            <w:r>
              <w:rPr>
                <w:rFonts w:ascii="Yu Mincho" w:cs="Yu Mincho" w:eastAsia="Yu Mincho" w:hAnsi="Yu Mincho"/>
                <w:sz w:val="19"/>
                <w:szCs w:val="19"/>
              </w:rPr>
              <w:t xml:space="preserve">同上の日本版総合評価点が高い企業ほど株主資本コストが低い。</w:t>
            </w:r>
          </w:p>
        </w:tc>
      </w:tr>
      <w:tr>
        <w:tc>
          <w:tcPr>
            <w:tcW w:type="dxa" w:w="2400"/>
            <w:tcMar>
              <w:top w:type="dxa" w:w="60"/>
              <w:left w:type="dxa" w:w="100"/>
              <w:bottom w:type="dxa" w:w="60"/>
              <w:right w:type="dxa" w:w="100"/>
            </w:tcMar>
          </w:tcPr>
          <w:p>
            <w:r>
              <w:rPr>
                <w:rFonts w:ascii="Yu Mincho" w:cs="Yu Mincho" w:eastAsia="Yu Mincho" w:hAnsi="Yu Mincho"/>
                <w:sz w:val="19"/>
                <w:szCs w:val="19"/>
              </w:rPr>
              <w:t xml:space="preserve">金（2008）</w:t>
            </w:r>
          </w:p>
        </w:tc>
        <w:tc>
          <w:tcPr>
            <w:tcW w:type="dxa" w:w="1600"/>
            <w:tcMar>
              <w:top w:type="dxa" w:w="60"/>
              <w:left w:type="dxa" w:w="100"/>
              <w:bottom w:type="dxa" w:w="60"/>
              <w:right w:type="dxa" w:w="100"/>
            </w:tcMar>
          </w:tcPr>
          <w:p>
            <w:r>
              <w:rPr>
                <w:rFonts w:ascii="Yu Mincho" w:cs="Yu Mincho" w:eastAsia="Yu Mincho" w:hAnsi="Yu Mincho"/>
                <w:sz w:val="19"/>
                <w:szCs w:val="19"/>
              </w:rPr>
              <w:t xml:space="preserve">日本企業</w:t>
            </w:r>
          </w:p>
        </w:tc>
        <w:tc>
          <w:tcPr>
            <w:tcW w:type="dxa" w:w="5000"/>
            <w:tcMar>
              <w:top w:type="dxa" w:w="60"/>
              <w:left w:type="dxa" w:w="100"/>
              <w:bottom w:type="dxa" w:w="60"/>
              <w:right w:type="dxa" w:w="100"/>
            </w:tcMar>
          </w:tcPr>
          <w:p>
            <w:r>
              <w:rPr>
                <w:rFonts w:ascii="Yu Mincho" w:cs="Yu Mincho" w:eastAsia="Yu Mincho" w:hAnsi="Yu Mincho"/>
                <w:sz w:val="19"/>
                <w:szCs w:val="19"/>
              </w:rPr>
              <w:t xml:space="preserve">業績予想誤差が小さい企業が開示するリスク情報は株主資本コストを低下させる。</w:t>
            </w:r>
          </w:p>
        </w:tc>
      </w:tr>
    </w:tbl>
    <w:p>
      <w:pPr>
        <w:spacing w:after="100"/>
      </w:pPr>
    </w:p>
    <w:p>
      <w:pPr>
        <w:spacing w:after="140" w:line="320"/>
        <w:jc w:val="left"/>
      </w:pPr>
      <w:r>
        <w:rPr>
          <w:rFonts w:ascii="Yu Mincho" w:cs="Yu Mincho" w:eastAsia="Yu Mincho" w:hAnsi="Yu Mincho"/>
          <w:sz w:val="21"/>
          <w:szCs w:val="21"/>
        </w:rPr>
        <w:t xml:space="preserve">理論分析では、公的情報である会計情報の品質の向上は資本コストを低減することが示唆されている。実証分析の結果を確認すると、わが国でも優良なディスクロージャーは、企業業績等の他の条件を考慮しても株主資本コストと負債コストを低下させる効果があることが分かる。</w:t>
      </w:r>
    </w:p>
    <w:p>
      <w:pPr>
        <w:pStyle w:val="Heading2"/>
        <w:spacing w:after="160" w:before="360"/>
      </w:pPr>
      <w:r>
        <w:t xml:space="preserve">5.3　IRの効果②：企業不祥事と情報開示</w:t>
      </w:r>
    </w:p>
    <w:p>
      <w:pPr>
        <w:spacing w:after="140" w:line="320"/>
        <w:jc w:val="left"/>
      </w:pPr>
      <w:r>
        <w:rPr>
          <w:rFonts w:ascii="Yu Mincho" w:cs="Yu Mincho" w:eastAsia="Yu Mincho" w:hAnsi="Yu Mincho"/>
          <w:sz w:val="21"/>
          <w:szCs w:val="21"/>
        </w:rPr>
        <w:t xml:space="preserve">伊藤・加賀谷（2006）の分析：新聞紙上で取り上げられた企業不祥事（1998年から2002年にかけて報じられた製品・サービスの品質不良問題、土壌汚染などの環境問題、法令違反などの14件）を起こした企業の株価変動を考察。結果：不祥事発覚後、7日間ほど株価の下落が続き、そのまま低い水準で推移する。企業不祥事の公表は株式価値を大きく減少させる。⇒企業不祥事といった有事下における情報開示の有用性を検討する意義がある。</w:t>
      </w:r>
    </w:p>
    <w:p>
      <w:pPr>
        <w:spacing w:after="140" w:line="320"/>
        <w:jc w:val="left"/>
      </w:pPr>
      <w:r>
        <w:rPr>
          <w:rFonts w:ascii="Yu Mincho" w:cs="Yu Mincho" w:eastAsia="Yu Mincho" w:hAnsi="Yu Mincho"/>
          <w:sz w:val="21"/>
          <w:szCs w:val="21"/>
        </w:rPr>
        <w:t xml:space="preserve">リスク情報や環境情報の継続的な開示はIRの重要な開示項目となっているが、こうした開示項目が株価・企業価値に直接的な影響を与えているかは平時には観察が難しい。しかしリスクが顕在化した場合には、従前から積極的な開示を行ってきた企業とそうでない企業とで市場反応に差異が生じることが予測される。</w:t>
      </w:r>
    </w:p>
    <w:p>
      <w:pPr>
        <w:pStyle w:val="Heading3"/>
        <w:spacing w:after="120" w:before="240"/>
      </w:pPr>
      <w:r>
        <w:t xml:space="preserve">Blacconiere and Patten (1994)</w:t>
      </w:r>
    </w:p>
    <w:p>
      <w:pPr>
        <w:spacing w:after="140" w:line="320"/>
        <w:jc w:val="left"/>
      </w:pPr>
      <w:r>
        <w:rPr>
          <w:rFonts w:ascii="Yu Mincho" w:cs="Yu Mincho" w:eastAsia="Yu Mincho" w:hAnsi="Yu Mincho"/>
          <w:sz w:val="21"/>
          <w:szCs w:val="21"/>
        </w:rPr>
        <w:t xml:space="preserve">分析の目的：環境問題が発生したときの株価変動と環境会計情報開示の関係を分析。分析方法：1984年インドのボーパールでユニオン・カーバイド社の殺虫剤工場から有毒物質が流失し多数の死者を出した事件を契機に、米国政府による化学会社への規制強化が予想された。ユニオン・カーバイド社以外で規制強化の対象となる企業47社について、事件後5日間の異常株価変動と環境会計情報開示の関係を調査した。</w:t>
      </w:r>
    </w:p>
    <w:p>
      <w:pPr>
        <w:spacing w:after="140" w:line="320"/>
        <w:jc w:val="left"/>
      </w:pPr>
      <w:r>
        <w:rPr>
          <w:rFonts w:ascii="Yu Mincho" w:cs="Yu Mincho" w:eastAsia="Yu Mincho" w:hAnsi="Yu Mincho"/>
          <w:sz w:val="21"/>
          <w:szCs w:val="21"/>
        </w:rPr>
        <w:t xml:space="preserve">主要な分析結果：事件報道の直後、化学関連会社の株価は大幅に下落した。化学部門売上高比率の大きい企業ほど大幅な株価下落が観察された。事件前から積極的に環境会計情報を開示している企業は、事件後の株価下落幅が同業他社よりも小さかった（Reitenga, 2000；Blacconiere and Northcut, 1997でも同様の結果、詳細は須田, 2002参照）。調査結果のインプリケーション：環境コストのような短期の企業利益には負の影響を与えるような情報も、堅実な情報開示を通じて企業価値の増加につながる可能性を示唆する。⇒継続的かつ堅実な情報開示は、企業価値の毀損を最小限に抑える効果を有する。</w:t>
      </w:r>
    </w:p>
    <w:p>
      <w:pPr>
        <w:spacing w:after="140" w:line="320"/>
        <w:jc w:val="left"/>
      </w:pPr>
      <w:r>
        <w:rPr>
          <w:rFonts w:ascii="Yu Mincho" w:cs="Yu Mincho" w:eastAsia="Yu Mincho" w:hAnsi="Yu Mincho"/>
          <w:sz w:val="21"/>
          <w:szCs w:val="21"/>
        </w:rPr>
        <w:t xml:space="preserve">まとめ：環境情報や事業リスクに関する情報開示を堅実に行っていた企業は、環境問題やリスクが顕在化した場合に株価下落を最小限に食い止めることに成功していた。リスク情報や環境情報の開示は、株価変動に瞬時にインパクトを与えることはないが、有事の際に投資家・株主の理解を得る重要な役割を果たす。⇒短期的な視点ではない、継続的かつ堅実なIR戦略が重要。</w:t>
      </w:r>
    </w:p>
    <w:p>
      <w:pPr>
        <w:pStyle w:val="Heading2"/>
        <w:spacing w:after="160" w:before="360"/>
      </w:pPr>
      <w:r>
        <w:t xml:space="preserve">5.4　IRの効果③：記述情報の開示</w:t>
      </w:r>
    </w:p>
    <w:p>
      <w:pPr>
        <w:spacing w:after="140" w:line="320"/>
        <w:jc w:val="left"/>
      </w:pPr>
      <w:r>
        <w:rPr>
          <w:rFonts w:ascii="Yu Mincho" w:cs="Yu Mincho" w:eastAsia="Yu Mincho" w:hAnsi="Yu Mincho"/>
          <w:sz w:val="21"/>
          <w:szCs w:val="21"/>
        </w:rPr>
        <w:t xml:space="preserve">企業内容等の開示に関する内閣府令の改正により、2003年4月以後に開始する事業年度の有価証券報告書に、①事業等のリスク、②財政状態及び経営成績の分析（MD&amp;A）、③コーポレート・ガバナンスの状況、という3つの新規開示項目が取り入れられた（背景：証券不祥事に対する開示制度の厳格化、開示制度のグローバル・スタンダード化）。</w:t>
      </w:r>
    </w:p>
    <w:p>
      <w:pPr>
        <w:spacing w:after="140" w:line="320"/>
        <w:jc w:val="left"/>
      </w:pPr>
      <w:r>
        <w:rPr>
          <w:rFonts w:ascii="Yu Mincho" w:cs="Yu Mincho" w:eastAsia="Yu Mincho" w:hAnsi="Yu Mincho"/>
          <w:sz w:val="21"/>
          <w:szCs w:val="21"/>
        </w:rPr>
        <w:t xml:space="preserve">日米のMD&amp;A開示規制は、財務諸表本体と比較して次の特徴が指摘される：①開示が要求されているが開示形式に厳格な規定はない、②財務諸表本体のような定量的情報ではなく記述による定性的情報が要求される、③経営者による予測情報の開示が容認・奨励されている。⇒強制開示となっているが開示内容・形式は任意であり、IRとしての性格が非常に強い。</w:t>
      </w:r>
    </w:p>
    <w:p>
      <w:pPr>
        <w:spacing w:after="140" w:line="320"/>
        <w:jc w:val="left"/>
      </w:pPr>
      <w:r>
        <w:rPr>
          <w:rFonts w:ascii="Yu Mincho" w:cs="Yu Mincho" w:eastAsia="Yu Mincho" w:hAnsi="Yu Mincho"/>
          <w:sz w:val="21"/>
          <w:szCs w:val="21"/>
        </w:rPr>
        <w:t xml:space="preserve">例：アマゾンドットコム社の2003年第1四半期報告書（Form10-Q）のMD&amp;Aでは、「将来の経営成績に影響を与える可能性がある要因」として24項目のリスク（累積欠損金、重大な負債、激しい競争、季節変動性、為替リスク、知的財産権、電子商取引の政府規制、税金、仕入先の集中、製造物責任等）が列挙されていた。図表に載っていない「重要な会計方針」や「市場リスクに関する定量的・定性的情報」も別途要約されており、これらリスク情報を集めれば第1四半期報告書の約4分の1以上に相当する分量になる。米国企業がリスク情報の開示にいかに積極的であるかが分かる。</w:t>
      </w:r>
    </w:p>
    <w:p>
      <w:pPr>
        <w:pStyle w:val="Heading3"/>
        <w:spacing w:after="120" w:before="240"/>
      </w:pPr>
      <w:r>
        <w:t xml:space="preserve">テキスト分析（textual analysis）</w:t>
      </w:r>
    </w:p>
    <w:p>
      <w:pPr>
        <w:spacing w:after="140" w:line="320"/>
        <w:jc w:val="left"/>
      </w:pPr>
      <w:r>
        <w:rPr>
          <w:rFonts w:ascii="Yu Mincho" w:cs="Yu Mincho" w:eastAsia="Yu Mincho" w:hAnsi="Yu Mincho"/>
          <w:sz w:val="21"/>
          <w:szCs w:val="21"/>
        </w:rPr>
        <w:t xml:space="preserve">テキスト分析とは、文章といったテキスト情報を分析目的に応じて数量化し統計解析を行う分析手法である。会計学研究におけるテキスト分析の対象は、（1）企業の開示資料（アニュアル・リポート［Form 10-K］、四半期報告書［Form 10-Q］、臨時報告書［Form 8-K］、決算プレス・リリース、カンファレンス・コール）、（2）情報仲介者による開示（新聞・ニュース・コラム、アナリスト・レポート）、（3）インターネット（掲示板、個人のSNS発信）に大別される。テキスト分析が注目するディスクロージャーの特徴（Li, 2010b）は①可読性（readability）と②トーン（またはセンチメント）の2つである。</w:t>
      </w:r>
    </w:p>
    <w:p>
      <w:pPr>
        <w:pStyle w:val="Heading3"/>
        <w:spacing w:after="120" w:before="240"/>
      </w:pPr>
      <w:r>
        <w:t xml:space="preserve">① 可読性（readability）</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Fog Index</w:t>
            </w:r>
          </w:p>
          <w:p>
            <w:pPr>
              <w:spacing w:line="300"/>
            </w:pPr>
            <w:r>
              <w:rPr>
                <w:rFonts w:ascii="Yu Mincho" w:cs="Yu Mincho" w:eastAsia="Yu Mincho" w:hAnsi="Yu Mincho"/>
                <w:sz w:val="20"/>
                <w:szCs w:val="20"/>
              </w:rPr>
              <w:t xml:space="preserve">Fog Index ＝ 0.4×（1センテンスあたりの平均単語数＋3音節以上の単語の割合）。算出スコアは米国の学年レベルに対応して解釈される（例：スコア6なら6年生程度が理解できるレベル、17以上なら大学卒業生程度の難易度）。文書の長さ自体を可読性の指標にすることもある。</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Li (2008)：アニュアル・レポートの可読性をFog Indexで測定し企業業績・利益の持続性との関係を分析。結果：（1）企業業績が悪い企業のアニュアル・レポートほど読みにくい、（2）読みやすいアニュアル・レポートを公表している企業の利益ほど持続する傾向にある。悪い業績を隠すために経営者が意図的に記述情報を難解にしている可能性を主張（ただし、業績悪化の原因を株主に丁寧に説明するために長文が必要となり可読性が低下しているだけとする反論もある：Bloomfield, 2008）。</w:t>
      </w:r>
    </w:p>
    <w:p>
      <w:pPr>
        <w:pStyle w:val="ListParagraph"/>
        <w:numPr>
          <w:ilvl w:val="0"/>
          <w:numId w:val="2"/>
        </w:numPr>
        <w:spacing w:after="80" w:line="300"/>
      </w:pPr>
      <w:r>
        <w:rPr>
          <w:rFonts w:ascii="Yu Mincho" w:cs="Yu Mincho" w:eastAsia="Yu Mincho" w:hAnsi="Yu Mincho"/>
          <w:sz w:val="21"/>
          <w:szCs w:val="21"/>
        </w:rPr>
        <w:t xml:space="preserve">Lawrence (2013)：アニュアル・レポートの可読性を測定し小口の個人株式保有への影響を調査。個人投資家は単語数が少なく可読性の高い文章を公表する企業を好んで投資していることを発見。</w:t>
      </w:r>
    </w:p>
    <w:p>
      <w:pPr>
        <w:pStyle w:val="ListParagraph"/>
        <w:numPr>
          <w:ilvl w:val="0"/>
          <w:numId w:val="2"/>
        </w:numPr>
        <w:spacing w:after="80" w:line="300"/>
      </w:pPr>
      <w:r>
        <w:rPr>
          <w:rFonts w:ascii="Yu Mincho" w:cs="Yu Mincho" w:eastAsia="Yu Mincho" w:hAnsi="Yu Mincho"/>
          <w:sz w:val="21"/>
          <w:szCs w:val="21"/>
        </w:rPr>
        <w:t xml:space="preserve">Miller (2010)：文章が長く可読性が低いアニュアル・レポート公表日付近の取引高は有意に小さく、その原因は小口投資家の取引減少に起因することを示した。</w:t>
      </w:r>
    </w:p>
    <w:p>
      <w:pPr>
        <w:pStyle w:val="ListParagraph"/>
        <w:numPr>
          <w:ilvl w:val="0"/>
          <w:numId w:val="2"/>
        </w:numPr>
        <w:spacing w:after="80" w:line="300"/>
      </w:pPr>
      <w:r>
        <w:rPr>
          <w:rFonts w:ascii="Yu Mincho" w:cs="Yu Mincho" w:eastAsia="Yu Mincho" w:hAnsi="Yu Mincho"/>
          <w:sz w:val="21"/>
          <w:szCs w:val="21"/>
        </w:rPr>
        <w:t xml:space="preserve">限界（Loughran and McDonald, 2014）：Fog Indexに代表される可読性指標は、（1）一般的な文書の読みやすさを図るものでビジネス文書には適応しないかもしれない、（2）企業の事業の複雑性と文書の複雑性を厳密には区分できない、という問題がある。</w:t>
      </w:r>
    </w:p>
    <w:p>
      <w:pPr>
        <w:pStyle w:val="Heading3"/>
        <w:spacing w:after="120" w:before="240"/>
      </w:pPr>
      <w:r>
        <w:t xml:space="preserve">② トーン（センチメント）</w:t>
      </w:r>
    </w:p>
    <w:p>
      <w:pPr>
        <w:spacing w:after="140" w:line="320"/>
        <w:jc w:val="left"/>
      </w:pPr>
      <w:r>
        <w:rPr>
          <w:rFonts w:ascii="Yu Mincho" w:cs="Yu Mincho" w:eastAsia="Yu Mincho" w:hAnsi="Yu Mincho"/>
          <w:sz w:val="21"/>
          <w:szCs w:val="21"/>
        </w:rPr>
        <w:t xml:space="preserve">トーンの識別には2つのアプローチがある（Kearney and Liu, 2014）。</w:t>
      </w:r>
    </w:p>
    <w:p>
      <w:pPr>
        <w:pStyle w:val="ListParagraph"/>
        <w:numPr>
          <w:ilvl w:val="0"/>
          <w:numId w:val="2"/>
        </w:numPr>
        <w:spacing w:after="80" w:line="300"/>
      </w:pPr>
      <w:r>
        <w:rPr>
          <w:rFonts w:ascii="Yu Mincho" w:cs="Yu Mincho" w:eastAsia="Yu Mincho" w:hAnsi="Yu Mincho"/>
          <w:b/>
          <w:bCs/>
          <w:sz w:val="21"/>
          <w:szCs w:val="21"/>
        </w:rPr>
        <w:t xml:space="preserve">辞書ベース・アプローチ：</w:t>
      </w:r>
    </w:p>
    <w:p>
      <w:pPr>
        <w:pStyle w:val="ListParagraph"/>
        <w:numPr>
          <w:ilvl w:val="0"/>
          <w:numId w:val="2"/>
        </w:numPr>
        <w:spacing w:after="80" w:line="300"/>
      </w:pPr>
      <w:r>
        <w:rPr>
          <w:rFonts w:ascii="Yu Mincho" w:cs="Yu Mincho" w:eastAsia="Yu Mincho" w:hAnsi="Yu Mincho"/>
          <w:sz w:val="21"/>
          <w:szCs w:val="21"/>
        </w:rPr>
        <w:t xml:space="preserve">マッピング・アルゴリズムを利用し、事前に定められた辞書のカテゴリーを判断基準に単語を分類する手法（Li, 2010b）。文章の文脈は無視し単語の登場回数のみに着目する（“Bag-of-words”モデル）。事前に定めた辞書の単語リストのカテゴリー（positive、negative、uncertainty等）に入る単語数をカウントし、文書の全単語数に対する割合を計算する。会計・ファイナンス領域で利用される辞書には Henry (2008)、Harvard's GI、DICTION、Loughran and McDonald (2011) がある。</w:t>
      </w:r>
    </w:p>
    <w:p>
      <w:pPr>
        <w:pStyle w:val="ListParagraph"/>
        <w:numPr>
          <w:ilvl w:val="0"/>
          <w:numId w:val="2"/>
        </w:numPr>
        <w:spacing w:after="80" w:line="300"/>
      </w:pPr>
      <w:r>
        <w:rPr>
          <w:rFonts w:ascii="Yu Mincho" w:cs="Yu Mincho" w:eastAsia="Yu Mincho" w:hAnsi="Yu Mincho"/>
          <w:b/>
          <w:bCs/>
          <w:sz w:val="21"/>
          <w:szCs w:val="21"/>
        </w:rPr>
        <w:t xml:space="preserve">機械学習アプローチ：</w:t>
      </w:r>
    </w:p>
    <w:p>
      <w:pPr>
        <w:pStyle w:val="ListParagraph"/>
        <w:numPr>
          <w:ilvl w:val="0"/>
          <w:numId w:val="2"/>
        </w:numPr>
        <w:spacing w:after="80" w:line="300"/>
      </w:pPr>
      <w:r>
        <w:rPr>
          <w:rFonts w:ascii="Yu Mincho" w:cs="Yu Mincho" w:eastAsia="Yu Mincho" w:hAnsi="Yu Mincho"/>
          <w:sz w:val="21"/>
          <w:szCs w:val="21"/>
        </w:rPr>
        <w:t xml:space="preserve">文書分類のために辞書を利用せず、機械学習アルゴリズム（単純ベイズ、ランダム・フォレスト、サポート・ベクター・マシーン）を用いてトーンを識別する。サンプルの一部をトレーニング・データとして利用し、残りのサンプルに適用して交差検証（cross-validation）テストで分類率を確認するのが一般的。</w:t>
      </w:r>
    </w:p>
    <w:p>
      <w:pPr>
        <w:pStyle w:val="Heading3"/>
        <w:spacing w:after="120" w:before="240"/>
      </w:pPr>
      <w:r>
        <w:t xml:space="preserve">辞書ベース・アプローチの先行研究</w:t>
      </w:r>
    </w:p>
    <w:p>
      <w:pPr>
        <w:pStyle w:val="ListParagraph"/>
        <w:numPr>
          <w:ilvl w:val="0"/>
          <w:numId w:val="2"/>
        </w:numPr>
        <w:spacing w:after="80" w:line="300"/>
      </w:pPr>
      <w:r>
        <w:rPr>
          <w:rFonts w:ascii="Yu Mincho" w:cs="Yu Mincho" w:eastAsia="Yu Mincho" w:hAnsi="Yu Mincho"/>
          <w:sz w:val="21"/>
          <w:szCs w:val="21"/>
        </w:rPr>
        <w:t xml:space="preserve">Feldman et al. (2009)：MD&amp;Aのトーンの変化を時系列で測定し情報公開日に株価反応があるかを調査。財務諸表の利益情報を所与としてもMD&amp;A情報に有意な株価反応があり、MD&amp;Aが投資家の有用な情報源となっていることを示唆。</w:t>
      </w:r>
    </w:p>
    <w:p>
      <w:pPr>
        <w:pStyle w:val="ListParagraph"/>
        <w:numPr>
          <w:ilvl w:val="0"/>
          <w:numId w:val="2"/>
        </w:numPr>
        <w:spacing w:after="80" w:line="300"/>
      </w:pPr>
      <w:r>
        <w:rPr>
          <w:rFonts w:ascii="Yu Mincho" w:cs="Yu Mincho" w:eastAsia="Yu Mincho" w:hAnsi="Yu Mincho"/>
          <w:sz w:val="21"/>
          <w:szCs w:val="21"/>
        </w:rPr>
        <w:t xml:space="preserve">Davis et al. (2012)：利益プレス・リリースの記述内容が年々増加していることに注目。プレス・リリースの楽観的トーンは将来ROAと正の関連性を持ち経営者は信頼できる情報を市場に伝えている。当該記述情報に有意な株価反応があり、市場はその情報に反応している。</w:t>
      </w:r>
    </w:p>
    <w:p>
      <w:pPr>
        <w:pStyle w:val="ListParagraph"/>
        <w:numPr>
          <w:ilvl w:val="0"/>
          <w:numId w:val="2"/>
        </w:numPr>
        <w:spacing w:after="80" w:line="300"/>
      </w:pPr>
      <w:r>
        <w:rPr>
          <w:rFonts w:ascii="Yu Mincho" w:cs="Yu Mincho" w:eastAsia="Yu Mincho" w:hAnsi="Yu Mincho"/>
          <w:sz w:val="21"/>
          <w:szCs w:val="21"/>
        </w:rPr>
        <w:t xml:space="preserve">Davis and Tama-Sweet (2012)：経営者はプレス・リリースの情報開示を戦略的に利用する可能性を示唆。プレス・リリースはアニュアル・リポートより早期に開示されるため投資家の反応が大きく、経営者は株価反応が大きなプレス・リリースではアニュアル・リポートのMD&amp;Aと比較して悲観的な言葉の使用を戦略的に避ける傾向にある（投資家のネガティブ反応を避けるための機会主義的行動）。</w:t>
      </w:r>
    </w:p>
    <w:p>
      <w:pPr>
        <w:pStyle w:val="ListParagraph"/>
        <w:numPr>
          <w:ilvl w:val="0"/>
          <w:numId w:val="2"/>
        </w:numPr>
        <w:spacing w:after="80" w:line="300"/>
      </w:pPr>
      <w:r>
        <w:rPr>
          <w:rFonts w:ascii="Yu Mincho" w:cs="Yu Mincho" w:eastAsia="Yu Mincho" w:hAnsi="Yu Mincho"/>
          <w:sz w:val="21"/>
          <w:szCs w:val="21"/>
        </w:rPr>
        <w:t xml:space="preserve">Huang et al. (2014b)：プレス・リリースで異常に高いポジティブ・トーン（abnormal positive tone）を示す企業は、将来利益・将来キャッシュ・フローが数年間にわたって減少する。このようなトーン・マネジメントは短期の株価を上昇させ投資家をミスリードしている。</w:t>
      </w:r>
    </w:p>
    <w:p>
      <w:pPr>
        <w:spacing w:after="140" w:line="320"/>
        <w:jc w:val="left"/>
      </w:pPr>
      <w:r>
        <w:rPr>
          <w:rFonts w:ascii="Yu Mincho" w:cs="Yu Mincho" w:eastAsia="Yu Mincho" w:hAnsi="Yu Mincho"/>
          <w:sz w:val="21"/>
          <w:szCs w:val="21"/>
        </w:rPr>
        <w:t xml:space="preserve">要約：ディスクロージャーのトーンも情報内容を有し様々な経済的帰結を生む。企業はMD&amp;A等を通じて将来の業績見通しを市場に伝達し、投資家はそのような情報に反応しているが、経営者は株価マネジメントを意識して戦略的にトーンを調整する可能性がある点に留意が必要（詳細レビュー：Li, 2010bの3.3節、Kearney and Liu, 2014の6.3節）。</w:t>
      </w:r>
    </w:p>
    <w:p>
      <w:pPr>
        <w:pStyle w:val="Heading3"/>
        <w:spacing w:after="120" w:before="240"/>
      </w:pPr>
      <w:r>
        <w:t xml:space="preserve">機械学習アプローチの先行研究</w:t>
      </w:r>
    </w:p>
    <w:p>
      <w:pPr>
        <w:pStyle w:val="ListParagraph"/>
        <w:numPr>
          <w:ilvl w:val="0"/>
          <w:numId w:val="2"/>
        </w:numPr>
        <w:spacing w:after="80" w:line="300"/>
      </w:pPr>
      <w:r>
        <w:rPr>
          <w:rFonts w:ascii="Yu Mincho" w:cs="Yu Mincho" w:eastAsia="Yu Mincho" w:hAnsi="Yu Mincho"/>
          <w:sz w:val="21"/>
          <w:szCs w:val="21"/>
        </w:rPr>
        <w:t xml:space="preserve">Li (2010a)：MD&amp;Aの将来予測に関する記述（forward-looking statements: FLS）のトーンが将来業績に与える影響を分析。①MD&amp;Aから30,000FLSをランダム抽出しトーン（positive/negative）と内容（profitability, operation, liquidity等）で分類、②単純ベイズ・アルゴリズムのトレーニング・データに利用、③1994〜2007年の140,000以上の10Q・10K filingから13,000,000,000のFLSを分類、④将来業績等との関係を検証。結果：MD&amp;AにおけるFLSのトーンは将来業績・流動性と正の相関を持つ（例：ポジティブなトーンの企業は次期ROAが増加）。経営者が将来業績への注意（warn）を出している場合、会計発生高アノマリー（第6章参照）が減少する。辞書ベース・アプローチではトーンと将来業績の間に有意な関連性は見られなかった。</w:t>
      </w:r>
    </w:p>
    <w:p>
      <w:pPr>
        <w:pStyle w:val="ListParagraph"/>
        <w:numPr>
          <w:ilvl w:val="0"/>
          <w:numId w:val="2"/>
        </w:numPr>
        <w:spacing w:after="80" w:line="300"/>
      </w:pPr>
      <w:r>
        <w:rPr>
          <w:rFonts w:ascii="Yu Mincho" w:cs="Yu Mincho" w:eastAsia="Yu Mincho" w:hAnsi="Yu Mincho"/>
          <w:sz w:val="21"/>
          <w:szCs w:val="21"/>
        </w:rPr>
        <w:t xml:space="preserve">Purda and Skillicorn (2015)：アニュアルレポート（四半期報告書含む）のMD&amp;A記述情報を分析し不正会計の発生を予測できるかを検証。①MD&amp;Aの単語出現頻度リストを作成、②ランダムフォレストでSEC's AAER bulletinsが定義する不正と関連する上位200単語を識別、③1994〜2004年の4,895の10-K・10-Qレポートで実際の不正をどれだけ識別できたかを確認。結果：正分類率（the rate of correct classification）は約82％で、代替的な不正会計予測モデルを上回るパフォーマンス。時系列検証でも頑健。不正と関連が高かった単語：merger activity（acquisition, acquired）、potential legal problems（settlement, legal, judgments）、financing activities（debt, lease）、innocuous（customers, fiscal, gross）。</w:t>
      </w:r>
    </w:p>
    <w:p>
      <w:pPr>
        <w:spacing w:after="140" w:line="320"/>
        <w:jc w:val="left"/>
      </w:pPr>
      <w:r>
        <w:rPr>
          <w:rFonts w:ascii="Yu Mincho" w:cs="Yu Mincho" w:eastAsia="Yu Mincho" w:hAnsi="Yu Mincho"/>
          <w:sz w:val="21"/>
          <w:szCs w:val="21"/>
        </w:rPr>
        <w:t xml:space="preserve">機械学習アプローチの長所・短所（Loughran and McDonald, 2016）：長所は、人間の代わりに機械が読むため大量文書を簡単に分析でき、評価基準を決めれば研究者の主観の影響を受けない点。短所は、判断手続きが複雑なため他の研究者による再現が難しい点。</w:t>
      </w:r>
    </w:p>
    <w:p>
      <w:pPr>
        <w:pStyle w:val="Heading2"/>
        <w:spacing w:after="160" w:before="360"/>
      </w:pPr>
      <w:r>
        <w:t xml:space="preserve">5.5　ケース：オリックスのIR戦略</w:t>
      </w:r>
    </w:p>
    <w:p>
      <w:pPr>
        <w:spacing w:after="140" w:line="320"/>
        <w:jc w:val="left"/>
      </w:pPr>
      <w:r>
        <w:rPr>
          <w:rFonts w:ascii="Yu Mincho" w:cs="Yu Mincho" w:eastAsia="Yu Mincho" w:hAnsi="Yu Mincho"/>
          <w:sz w:val="21"/>
          <w:szCs w:val="21"/>
        </w:rPr>
        <w:t xml:space="preserve">オリックスがIRに特に力を入れ始めたのは1990年代であるが、それ以前に2つの問題を抱えていた：①積極的な多角化が成功していたにもかかわらず日本ではリース業に対する理解が十分でない、②インフラとしてのリース会計基準が未整備で企業実態を適切に反映する会計数値が算出されない。オリックスは会計基準の任意適用（先取り）と分かりやすい情報開示で株主・投資家の理解を獲得した。</w:t>
      </w:r>
    </w:p>
    <w:p>
      <w:pPr>
        <w:pStyle w:val="Heading3"/>
        <w:spacing w:after="120" w:before="240"/>
      </w:pPr>
      <w:r>
        <w:t xml:space="preserve">ポイント①：連結ベースの業績評価</w:t>
      </w:r>
    </w:p>
    <w:p>
      <w:pPr>
        <w:spacing w:after="140" w:line="320"/>
        <w:jc w:val="left"/>
      </w:pPr>
      <w:r>
        <w:rPr>
          <w:rFonts w:ascii="Yu Mincho" w:cs="Yu Mincho" w:eastAsia="Yu Mincho" w:hAnsi="Yu Mincho"/>
          <w:sz w:val="21"/>
          <w:szCs w:val="21"/>
        </w:rPr>
        <w:t xml:space="preserve">日本に連結財務諸表が主たる財務諸表として導入されたのは2000年度から（それまでは個別財務諸表が主要）。オリックスは90年代から日本基準と米国基準の双方にもとづき年2回の決算発表を行い、アナリスト・機関投資家向けにも会社法単独とSEC連結の決算について最低年2回の説明会を実施していた。⇒経営政策上、子会社・関係会社・事業をそれぞれ独立したプロフィットセンターとして同列に位置付け、グループ全体を1つの会社としてみなしていることを主張。自社HPには「事業セグメント」（各事業ごとに展開する子会社や収益を要約）と「財務諸表の見方」（営業収益項目から商品・サービスを説明、米国基準財務諸表の読み方を解説）という項目も設け、連結財務諸表だけでは伝えられないセグメント別情報を補足することでグループ全体の姿・収益力の把握を可能にしていた。</w:t>
      </w:r>
    </w:p>
    <w:p>
      <w:pPr>
        <w:pStyle w:val="Heading3"/>
        <w:spacing w:after="120" w:before="240"/>
      </w:pPr>
      <w:r>
        <w:t xml:space="preserve">ポイント②：米国基準にもとづくリース会計</w:t>
      </w:r>
    </w:p>
    <w:p>
      <w:pPr>
        <w:spacing w:after="140" w:line="320"/>
        <w:jc w:val="left"/>
      </w:pPr>
      <w:r>
        <w:rPr>
          <w:rFonts w:ascii="Yu Mincho" w:cs="Yu Mincho" w:eastAsia="Yu Mincho" w:hAnsi="Yu Mincho"/>
          <w:sz w:val="21"/>
          <w:szCs w:val="21"/>
        </w:rPr>
        <w:t xml:space="preserve">1990年代前半までの日本のリース会計基準は米国と相違点が多かった。日本基準は減価償却費・金利等のコストを初期に多く負担しリース開始初期は利益が出ない仕組みであったのに対し、米国基準は経営内容を適切に反映できるようリース開始初期から均等に利益が計上できる仕組みであった。⇒オリックスは米国基準で利益を計算して業績をアピールするとともに、リース会計の適切な評価方法そのものについてもアピールする必要があった。</w:t>
      </w:r>
    </w:p>
    <w:p>
      <w:pPr>
        <w:pStyle w:val="Heading3"/>
        <w:spacing w:after="120" w:before="240"/>
      </w:pPr>
      <w:r>
        <w:t xml:space="preserve">まとめ：オリックスのIRの特徴と理解のポイント</w:t>
      </w:r>
    </w:p>
    <w:p>
      <w:pPr>
        <w:pStyle w:val="ListParagraph"/>
        <w:numPr>
          <w:ilvl w:val="0"/>
          <w:numId w:val="2"/>
        </w:numPr>
        <w:spacing w:after="80" w:line="300"/>
      </w:pPr>
      <w:r>
        <w:rPr>
          <w:rFonts w:ascii="Yu Mincho" w:cs="Yu Mincho" w:eastAsia="Yu Mincho" w:hAnsi="Yu Mincho"/>
          <w:sz w:val="21"/>
          <w:szCs w:val="21"/>
        </w:rPr>
        <w:t xml:space="preserve">①連結ベースでの評価：任意で連結財務諸表中心の情報開示を行い、多角化を進めていたオリックス特有の企業形態・戦略を伝えた。</w:t>
      </w:r>
    </w:p>
    <w:p>
      <w:pPr>
        <w:pStyle w:val="ListParagraph"/>
        <w:numPr>
          <w:ilvl w:val="0"/>
          <w:numId w:val="2"/>
        </w:numPr>
        <w:spacing w:after="80" w:line="300"/>
      </w:pPr>
      <w:r>
        <w:rPr>
          <w:rFonts w:ascii="Yu Mincho" w:cs="Yu Mincho" w:eastAsia="Yu Mincho" w:hAnsi="Yu Mincho"/>
          <w:sz w:val="21"/>
          <w:szCs w:val="21"/>
        </w:rPr>
        <w:t xml:space="preserve">②米国のリース会計基準による開示：米国会計基準を適用することでリース業の形態を理解してもらうとともに、適切な業績開示を行った。</w:t>
      </w:r>
    </w:p>
    <w:p>
      <w:pPr>
        <w:pStyle w:val="ListParagraph"/>
        <w:numPr>
          <w:ilvl w:val="0"/>
          <w:numId w:val="2"/>
        </w:numPr>
        <w:spacing w:after="80" w:line="300"/>
      </w:pPr>
      <w:r>
        <w:rPr>
          <w:rFonts w:ascii="Yu Mincho" w:cs="Yu Mincho" w:eastAsia="Yu Mincho" w:hAnsi="Yu Mincho"/>
          <w:sz w:val="21"/>
          <w:szCs w:val="21"/>
        </w:rPr>
        <w:t xml:space="preserve">単に米国の連結基準・リース会計基準を適用するだけでなく、「なぜ連結での評価なのか」「なぜ米国のリース基準の方が適切なのか」を繰り返し株主通信等で分かりやすく説明し続けた点が重要。</w:t>
      </w:r>
    </w:p>
    <w:p>
      <w:pPr>
        <w:pStyle w:val="ListParagraph"/>
        <w:numPr>
          <w:ilvl w:val="0"/>
          <w:numId w:val="2"/>
        </w:numPr>
        <w:spacing w:after="80" w:line="300"/>
      </w:pPr>
      <w:r>
        <w:rPr>
          <w:rFonts w:ascii="Yu Mincho" w:cs="Yu Mincho" w:eastAsia="Yu Mincho" w:hAnsi="Yu Mincho"/>
          <w:sz w:val="21"/>
          <w:szCs w:val="21"/>
        </w:rPr>
        <w:t xml:space="preserve">連結財務諸表もリース会計基準も、後に日本でも米国と同様に整備された会計基準であるが、任意に早期適用することで効果的なIRとなった興味深いケースである（IFRS導入の影響で日本の会計基準も今後さらに変わる可能性がある）。</w:t>
      </w:r>
    </w:p>
    <w:p>
      <w:pPr>
        <w:pStyle w:val="Heading2"/>
        <w:spacing w:after="160" w:before="360"/>
      </w:pPr>
      <w:r>
        <w:t xml:space="preserve">5.6　本章のまとめ</w:t>
      </w:r>
    </w:p>
    <w:p>
      <w:pPr>
        <w:pStyle w:val="ListParagraph"/>
        <w:numPr>
          <w:ilvl w:val="0"/>
          <w:numId w:val="2"/>
        </w:numPr>
        <w:spacing w:after="80" w:line="300"/>
      </w:pPr>
      <w:r>
        <w:rPr>
          <w:rFonts w:ascii="Yu Mincho" w:cs="Yu Mincho" w:eastAsia="Yu Mincho" w:hAnsi="Yu Mincho"/>
          <w:sz w:val="21"/>
          <w:szCs w:val="21"/>
        </w:rPr>
        <w:t xml:space="preserve">優良なディスクロージャーは、資本コストの低下といった経済的なベネフィットを享受できる。</w:t>
      </w:r>
    </w:p>
    <w:p>
      <w:pPr>
        <w:pStyle w:val="ListParagraph"/>
        <w:numPr>
          <w:ilvl w:val="0"/>
          <w:numId w:val="2"/>
        </w:numPr>
        <w:spacing w:after="80" w:line="300"/>
      </w:pPr>
      <w:r>
        <w:rPr>
          <w:rFonts w:ascii="Yu Mincho" w:cs="Yu Mincho" w:eastAsia="Yu Mincho" w:hAnsi="Yu Mincho"/>
          <w:sz w:val="21"/>
          <w:szCs w:val="21"/>
        </w:rPr>
        <w:t xml:space="preserve">一見マイナスに感じられる環境会計コストやリスク情報の開示も、不測の事態における過剰な損失回避という形で企業価値の向上に貢献しうる。</w:t>
      </w:r>
    </w:p>
    <w:p>
      <w:pPr>
        <w:pStyle w:val="ListParagraph"/>
        <w:numPr>
          <w:ilvl w:val="0"/>
          <w:numId w:val="2"/>
        </w:numPr>
        <w:spacing w:after="80" w:line="300"/>
      </w:pPr>
      <w:r>
        <w:rPr>
          <w:rFonts w:ascii="Yu Mincho" w:cs="Yu Mincho" w:eastAsia="Yu Mincho" w:hAnsi="Yu Mincho"/>
          <w:sz w:val="21"/>
          <w:szCs w:val="21"/>
        </w:rPr>
        <w:t xml:space="preserve">会計学のテキスト分析研究は一部に対立する結果が混在しまだ結論を下せない論点もあるが、記述情報が利害関係者の重要な情報源となっており様々な経済的帰結を有することは現時点でも共有できる発見事項である。</w:t>
      </w:r>
    </w:p>
    <w:p>
      <w:pPr>
        <w:pStyle w:val="Heading1"/>
        <w:pageBreakBefore/>
        <w:spacing w:after="240" w:before="480"/>
      </w:pPr>
      <w:r>
        <w:t xml:space="preserve">第6章　利益調整：定義・検出方法・動機・決定要因・経済的帰結</w:t>
      </w:r>
    </w:p>
    <w:p>
      <w:pPr>
        <w:spacing w:after="140" w:line="320"/>
        <w:jc w:val="left"/>
      </w:pPr>
      <w:r>
        <w:rPr>
          <w:rFonts w:ascii="Yu Mincho" w:cs="Yu Mincho" w:eastAsia="Yu Mincho" w:hAnsi="Yu Mincho"/>
          <w:sz w:val="21"/>
          <w:szCs w:val="21"/>
        </w:rPr>
        <w:t xml:space="preserve">本章は第11回（利益調整(1)：定義と検出方法）、第12回（同(2)：動機と決定要因）、第13回（同(3)：利益調整と株式市場）を統合したものである。財務会計の機能（意思決定支援機能・契約支援機能）と利益調整の実施は表裏一体の関係にある。財務会計の機能が社会で認知されれば、経営者は報告利益を調整するインセンティブを持つことになる。</w:t>
      </w:r>
    </w:p>
    <w:p>
      <w:pPr>
        <w:pStyle w:val="Heading2"/>
        <w:spacing w:after="160" w:before="360"/>
      </w:pPr>
      <w:r>
        <w:t xml:space="preserve">6.1　利益調整研究の展開</w:t>
      </w:r>
    </w:p>
    <w:p>
      <w:pPr>
        <w:spacing w:after="140" w:line="320"/>
        <w:jc w:val="left"/>
      </w:pPr>
      <w:r>
        <w:rPr>
          <w:rFonts w:ascii="Yu Mincho" w:cs="Yu Mincho" w:eastAsia="Yu Mincho" w:hAnsi="Yu Mincho"/>
          <w:sz w:val="21"/>
          <w:szCs w:val="21"/>
        </w:rPr>
        <w:t xml:space="preserve">1960年代・1970年代前半の会計研究では資本市場ベースの会計研究が先行し、会計情報の有用性を示唆する経験的証拠が蓄積された（第4章）。効率的市場仮説のインプリケーションとして、投資家は企業のキャッシュフローに影響を与えない会計手続き選択の変更には反応しないとされた（無効果仮説と機械的反応仮説）——会計手続き選択を変更して会計利益を底上げしても投資家をだますことはできない（株価を上げることはできない）というのがその含意である。</w:t>
      </w:r>
    </w:p>
    <w:p>
      <w:pPr>
        <w:spacing w:after="140" w:line="320"/>
        <w:jc w:val="left"/>
      </w:pPr>
      <w:r>
        <w:rPr>
          <w:rFonts w:ascii="Yu Mincho" w:cs="Yu Mincho" w:eastAsia="Yu Mincho" w:hAnsi="Yu Mincho"/>
          <w:sz w:val="21"/>
          <w:szCs w:val="21"/>
        </w:rPr>
        <w:t xml:space="preserve">しかし、キャッシュフローに影響を与えない会計手続き選択に経営者が関心を持つという事実そのものに対して、効率的市場の理論だけでは説明ができなかった。そこでWatts and Zimmerman (1986) の実証会計理論（Positive Accounting Theory: PAT）が台頭する。PATは、企業の会計行動を説明する理論の構築を目的とし、株価形成ではなく「契約に与える影響」を説明理由として仮説を設定する。代表的な3つの仮説は、①報酬契約仮説、②債務契約仮説、③政治費用仮説である（6.7節）。もっとも近年では、契約にもとづく動機に加えて株価形成を意識した利益調整の動機も報告されている（6.8節）。</w:t>
      </w:r>
    </w:p>
    <w:p>
      <w:pPr>
        <w:spacing w:after="140" w:line="320"/>
        <w:jc w:val="left"/>
      </w:pPr>
      <w:r>
        <w:rPr>
          <w:rFonts w:ascii="Yu Mincho" w:cs="Yu Mincho" w:eastAsia="Yu Mincho" w:hAnsi="Yu Mincho"/>
          <w:sz w:val="21"/>
          <w:szCs w:val="21"/>
        </w:rPr>
        <w:t xml:space="preserve">利益調整研究の全体像は、①定義（6.2節）、②検出方法（6.3〜6.6節）、③動機（6.7〜6.8節）、④決定要因（6.9節）、⑤利益調整と株式市場（6.10〜6.11節）、⑥会計発生高アノマリー（6.11節）という体系で整理できる。</w:t>
      </w:r>
    </w:p>
    <w:p>
      <w:pPr>
        <w:pStyle w:val="Heading2"/>
        <w:spacing w:after="160" w:before="360"/>
      </w:pPr>
      <w:r>
        <w:t xml:space="preserve">6.2　利益調整の定義</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利益調整の定義（首藤, 2010）</w:t>
            </w:r>
          </w:p>
          <w:p>
            <w:pPr>
              <w:spacing w:line="300"/>
            </w:pPr>
            <w:r>
              <w:rPr>
                <w:rFonts w:ascii="Yu Mincho" w:cs="Yu Mincho" w:eastAsia="Yu Mincho" w:hAnsi="Yu Mincho"/>
                <w:sz w:val="20"/>
                <w:szCs w:val="20"/>
              </w:rPr>
              <w:t xml:space="preserve">「何らかの特定の目的を達成するために、経営者によって行われる会計数値を対象とした裁量行動」</w:t>
            </w:r>
          </w:p>
        </w:tc>
      </w:tr>
    </w:tbl>
    <w:p>
      <w:pPr>
        <w:spacing w:after="100"/>
      </w:pPr>
    </w:p>
    <w:p>
      <w:pPr>
        <w:spacing w:after="140" w:line="320"/>
        <w:jc w:val="left"/>
      </w:pPr>
      <w:r>
        <w:rPr>
          <w:rFonts w:ascii="Yu Mincho" w:cs="Yu Mincho" w:eastAsia="Yu Mincho" w:hAnsi="Yu Mincho"/>
          <w:sz w:val="21"/>
          <w:szCs w:val="21"/>
        </w:rPr>
        <w:t xml:space="preserve">定義には4つのポイントがある。</w:t>
      </w:r>
    </w:p>
    <w:p>
      <w:pPr>
        <w:pStyle w:val="Heading3"/>
        <w:spacing w:after="120" w:before="240"/>
      </w:pPr>
      <w:r>
        <w:t xml:space="preserve">(1) 利益調整と利益操作（不正会計）の違い</w:t>
      </w:r>
    </w:p>
    <w:p>
      <w:pPr>
        <w:spacing w:after="140" w:line="320"/>
        <w:jc w:val="left"/>
      </w:pPr>
      <w:r>
        <w:rPr>
          <w:rFonts w:ascii="Yu Mincho" w:cs="Yu Mincho" w:eastAsia="Yu Mincho" w:hAnsi="Yu Mincho"/>
          <w:sz w:val="21"/>
          <w:szCs w:val="21"/>
        </w:rPr>
        <w:t xml:space="preserve">利益調整はGAAPの範囲内で行われる裁量行動であり、利益操作・不正会計とは明確に区別される（ただし両者の相関が高いという分析結果もある：Dechow et al., 1996）。Dechow and Skinner (2000, p.239) のFigure 1にもとづく分類：</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2600"/>
        <w:gridCol w:w="4200"/>
      </w:tblGrid>
      <w:tr>
        <w:trPr>
          <w:tblHeader/>
        </w:trPr>
        <w:tc>
          <w:tcPr>
            <w:tcW w:type="dxa" w:w="2200"/>
            <w:shd w:fill="DDE6F0" w:val="clear"/>
            <w:tcMar>
              <w:top w:type="dxa" w:w="60"/>
              <w:left w:type="dxa" w:w="100"/>
              <w:bottom w:type="dxa" w:w="60"/>
              <w:right w:type="dxa" w:w="100"/>
            </w:tcMar>
          </w:tcPr>
          <w:p>
            <w:r>
              <w:rPr>
                <w:rFonts w:ascii="Yu Gothic" w:cs="Yu Gothic" w:eastAsia="Yu Gothic" w:hAnsi="Yu Gothic"/>
                <w:b/>
                <w:bCs/>
                <w:sz w:val="19"/>
                <w:szCs w:val="19"/>
              </w:rPr>
              <w:t xml:space="preserve">区分</w:t>
            </w:r>
          </w:p>
        </w:tc>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会計手続き選択の性格</w:t>
            </w:r>
          </w:p>
        </w:tc>
        <w:tc>
          <w:tcPr>
            <w:tcW w:type="dxa" w:w="4200"/>
            <w:shd w:fill="DDE6F0" w:val="clear"/>
            <w:tcMar>
              <w:top w:type="dxa" w:w="60"/>
              <w:left w:type="dxa" w:w="100"/>
              <w:bottom w:type="dxa" w:w="60"/>
              <w:right w:type="dxa" w:w="100"/>
            </w:tcMar>
          </w:tcPr>
          <w:p>
            <w:r>
              <w:rPr>
                <w:rFonts w:ascii="Yu Gothic" w:cs="Yu Gothic" w:eastAsia="Yu Gothic" w:hAnsi="Yu Gothic"/>
                <w:b/>
                <w:bCs/>
                <w:sz w:val="19"/>
                <w:szCs w:val="19"/>
              </w:rPr>
              <w:t xml:space="preserve">具体例</w:t>
            </w:r>
          </w:p>
        </w:tc>
      </w:tr>
      <w:tr>
        <w:tc>
          <w:tcPr>
            <w:tcW w:type="dxa" w:w="2200"/>
            <w:tcMar>
              <w:top w:type="dxa" w:w="60"/>
              <w:left w:type="dxa" w:w="100"/>
              <w:bottom w:type="dxa" w:w="60"/>
              <w:right w:type="dxa" w:w="100"/>
            </w:tcMar>
          </w:tcPr>
          <w:p>
            <w:r>
              <w:rPr>
                <w:rFonts w:ascii="Yu Mincho" w:cs="Yu Mincho" w:eastAsia="Yu Mincho" w:hAnsi="Yu Mincho"/>
                <w:sz w:val="19"/>
                <w:szCs w:val="19"/>
              </w:rPr>
              <w:t xml:space="preserve">GAAPの範囲内（Within GAAP）</w:t>
            </w:r>
          </w:p>
        </w:tc>
        <w:tc>
          <w:tcPr>
            <w:tcW w:type="dxa" w:w="2600"/>
            <w:tcMar>
              <w:top w:type="dxa" w:w="60"/>
              <w:left w:type="dxa" w:w="100"/>
              <w:bottom w:type="dxa" w:w="60"/>
              <w:right w:type="dxa" w:w="100"/>
            </w:tcMar>
          </w:tcPr>
          <w:p>
            <w:r>
              <w:rPr>
                <w:rFonts w:ascii="Yu Mincho" w:cs="Yu Mincho" w:eastAsia="Yu Mincho" w:hAnsi="Yu Mincho"/>
                <w:sz w:val="19"/>
                <w:szCs w:val="19"/>
              </w:rPr>
              <w:t xml:space="preserve">Conservative Accounting</w:t>
            </w:r>
          </w:p>
        </w:tc>
        <w:tc>
          <w:tcPr>
            <w:tcW w:type="dxa" w:w="4200"/>
            <w:tcMar>
              <w:top w:type="dxa" w:w="60"/>
              <w:left w:type="dxa" w:w="100"/>
              <w:bottom w:type="dxa" w:w="60"/>
              <w:right w:type="dxa" w:w="100"/>
            </w:tcMar>
          </w:tcPr>
          <w:p>
            <w:r>
              <w:rPr>
                <w:rFonts w:ascii="Yu Mincho" w:cs="Yu Mincho" w:eastAsia="Yu Mincho" w:hAnsi="Yu Mincho"/>
                <w:sz w:val="19"/>
                <w:szCs w:val="19"/>
              </w:rPr>
              <w:t xml:space="preserve">引当金・R&amp;D・リストラ関連費用・固定資産の評価損等を過剰に計上する</w:t>
            </w:r>
          </w:p>
        </w:tc>
      </w:tr>
      <w:tr>
        <w:tc>
          <w:tcPr>
            <w:tcW w:type="dxa" w:w="2200"/>
            <w:tcMar>
              <w:top w:type="dxa" w:w="60"/>
              <w:left w:type="dxa" w:w="100"/>
              <w:bottom w:type="dxa" w:w="60"/>
              <w:right w:type="dxa" w:w="100"/>
            </w:tcMar>
          </w:tcPr>
          <w:p>
            <w:r>
              <w:rPr>
                <w:rFonts w:ascii="Yu Mincho" w:cs="Yu Mincho" w:eastAsia="Yu Mincho" w:hAnsi="Yu Mincho"/>
                <w:sz w:val="19"/>
                <w:szCs w:val="19"/>
              </w:rPr>
              <w:t xml:space="preserve">GAAPの範囲内（Within GAAP）</w:t>
            </w:r>
          </w:p>
        </w:tc>
        <w:tc>
          <w:tcPr>
            <w:tcW w:type="dxa" w:w="2600"/>
            <w:tcMar>
              <w:top w:type="dxa" w:w="60"/>
              <w:left w:type="dxa" w:w="100"/>
              <w:bottom w:type="dxa" w:w="60"/>
              <w:right w:type="dxa" w:w="100"/>
            </w:tcMar>
          </w:tcPr>
          <w:p>
            <w:r>
              <w:rPr>
                <w:rFonts w:ascii="Yu Mincho" w:cs="Yu Mincho" w:eastAsia="Yu Mincho" w:hAnsi="Yu Mincho"/>
                <w:sz w:val="19"/>
                <w:szCs w:val="19"/>
              </w:rPr>
              <w:t xml:space="preserve">Neutral Accounting</w:t>
            </w:r>
          </w:p>
        </w:tc>
        <w:tc>
          <w:tcPr>
            <w:tcW w:type="dxa" w:w="4200"/>
            <w:tcMar>
              <w:top w:type="dxa" w:w="60"/>
              <w:left w:type="dxa" w:w="100"/>
              <w:bottom w:type="dxa" w:w="60"/>
              <w:right w:type="dxa" w:w="100"/>
            </w:tcMar>
          </w:tcPr>
          <w:p>
            <w:r>
              <w:rPr>
                <w:rFonts w:ascii="Yu Mincho" w:cs="Yu Mincho" w:eastAsia="Yu Mincho" w:hAnsi="Yu Mincho"/>
                <w:sz w:val="19"/>
                <w:szCs w:val="19"/>
              </w:rPr>
              <w:t xml:space="preserve">中立的な営業プロセスから生じた利益</w:t>
            </w:r>
          </w:p>
        </w:tc>
      </w:tr>
      <w:tr>
        <w:tc>
          <w:tcPr>
            <w:tcW w:type="dxa" w:w="2200"/>
            <w:tcMar>
              <w:top w:type="dxa" w:w="60"/>
              <w:left w:type="dxa" w:w="100"/>
              <w:bottom w:type="dxa" w:w="60"/>
              <w:right w:type="dxa" w:w="100"/>
            </w:tcMar>
          </w:tcPr>
          <w:p>
            <w:r>
              <w:rPr>
                <w:rFonts w:ascii="Yu Mincho" w:cs="Yu Mincho" w:eastAsia="Yu Mincho" w:hAnsi="Yu Mincho"/>
                <w:sz w:val="19"/>
                <w:szCs w:val="19"/>
              </w:rPr>
              <w:t xml:space="preserve">GAAPの範囲内（Within GAAP）</w:t>
            </w:r>
          </w:p>
        </w:tc>
        <w:tc>
          <w:tcPr>
            <w:tcW w:type="dxa" w:w="2600"/>
            <w:tcMar>
              <w:top w:type="dxa" w:w="60"/>
              <w:left w:type="dxa" w:w="100"/>
              <w:bottom w:type="dxa" w:w="60"/>
              <w:right w:type="dxa" w:w="100"/>
            </w:tcMar>
          </w:tcPr>
          <w:p>
            <w:r>
              <w:rPr>
                <w:rFonts w:ascii="Yu Mincho" w:cs="Yu Mincho" w:eastAsia="Yu Mincho" w:hAnsi="Yu Mincho"/>
                <w:sz w:val="19"/>
                <w:szCs w:val="19"/>
              </w:rPr>
              <w:t xml:space="preserve">Aggressive Accounting</w:t>
            </w:r>
          </w:p>
        </w:tc>
        <w:tc>
          <w:tcPr>
            <w:tcW w:type="dxa" w:w="4200"/>
            <w:tcMar>
              <w:top w:type="dxa" w:w="60"/>
              <w:left w:type="dxa" w:w="100"/>
              <w:bottom w:type="dxa" w:w="60"/>
              <w:right w:type="dxa" w:w="100"/>
            </w:tcMar>
          </w:tcPr>
          <w:p>
            <w:r>
              <w:rPr>
                <w:rFonts w:ascii="Yu Mincho" w:cs="Yu Mincho" w:eastAsia="Yu Mincho" w:hAnsi="Yu Mincho"/>
                <w:sz w:val="19"/>
                <w:szCs w:val="19"/>
              </w:rPr>
              <w:t xml:space="preserve">貸倒引当金等の過小計上</w:t>
            </w:r>
          </w:p>
        </w:tc>
      </w:tr>
      <w:tr>
        <w:tc>
          <w:tcPr>
            <w:tcW w:type="dxa" w:w="2200"/>
            <w:tcMar>
              <w:top w:type="dxa" w:w="60"/>
              <w:left w:type="dxa" w:w="100"/>
              <w:bottom w:type="dxa" w:w="60"/>
              <w:right w:type="dxa" w:w="100"/>
            </w:tcMar>
          </w:tcPr>
          <w:p>
            <w:r>
              <w:rPr>
                <w:rFonts w:ascii="Yu Mincho" w:cs="Yu Mincho" w:eastAsia="Yu Mincho" w:hAnsi="Yu Mincho"/>
                <w:sz w:val="19"/>
                <w:szCs w:val="19"/>
              </w:rPr>
              <w:t xml:space="preserve">GAAPの範囲外（Violates GAAP）</w:t>
            </w:r>
          </w:p>
        </w:tc>
        <w:tc>
          <w:tcPr>
            <w:tcW w:type="dxa" w:w="2600"/>
            <w:tcMar>
              <w:top w:type="dxa" w:w="60"/>
              <w:left w:type="dxa" w:w="100"/>
              <w:bottom w:type="dxa" w:w="60"/>
              <w:right w:type="dxa" w:w="100"/>
            </w:tcMar>
          </w:tcPr>
          <w:p>
            <w:r>
              <w:rPr>
                <w:rFonts w:ascii="Yu Mincho" w:cs="Yu Mincho" w:eastAsia="Yu Mincho" w:hAnsi="Yu Mincho"/>
                <w:sz w:val="19"/>
                <w:szCs w:val="19"/>
              </w:rPr>
              <w:t xml:space="preserve">Fraudulent Accounting</w:t>
            </w:r>
          </w:p>
        </w:tc>
        <w:tc>
          <w:tcPr>
            <w:tcW w:type="dxa" w:w="4200"/>
            <w:tcMar>
              <w:top w:type="dxa" w:w="60"/>
              <w:left w:type="dxa" w:w="100"/>
              <w:bottom w:type="dxa" w:w="60"/>
              <w:right w:type="dxa" w:w="100"/>
            </w:tcMar>
          </w:tcPr>
          <w:p>
            <w:r>
              <w:rPr>
                <w:rFonts w:ascii="Yu Mincho" w:cs="Yu Mincho" w:eastAsia="Yu Mincho" w:hAnsi="Yu Mincho"/>
                <w:sz w:val="19"/>
                <w:szCs w:val="19"/>
              </w:rPr>
              <w:t xml:space="preserve">未実現の売上の認識、売上の架空計上、売上計上タイミングの操作、架空在庫を利用した操作</w:t>
            </w:r>
          </w:p>
        </w:tc>
      </w:tr>
    </w:tbl>
    <w:p>
      <w:pPr>
        <w:spacing w:after="100"/>
      </w:pPr>
    </w:p>
    <w:p>
      <w:pPr>
        <w:pStyle w:val="Heading3"/>
        <w:spacing w:after="120" w:before="240"/>
      </w:pPr>
      <w:r>
        <w:t xml:space="preserve">(2) 会計手続き選択だけでなく見積もり等の調整も含まれる（Healy, 1985）</w:t>
      </w:r>
    </w:p>
    <w:p>
      <w:pPr>
        <w:spacing w:after="140" w:line="320"/>
        <w:jc w:val="left"/>
      </w:pPr>
      <w:r>
        <w:rPr>
          <w:rFonts w:ascii="Yu Mincho" w:cs="Yu Mincho" w:eastAsia="Yu Mincho" w:hAnsi="Yu Mincho"/>
          <w:sz w:val="21"/>
          <w:szCs w:val="21"/>
        </w:rPr>
        <w:t xml:space="preserve">定額法・定率法といった会計「手続き」選択だけでなく、貸倒引当金の見積もり等の裁量的な「調整」も利益調整に含まれる。これは6.4節・6.5節の会計発生高・裁量的発生高の理解につながる。</w:t>
      </w:r>
    </w:p>
    <w:p>
      <w:pPr>
        <w:pStyle w:val="Heading3"/>
        <w:spacing w:after="120" w:before="240"/>
      </w:pPr>
      <w:r>
        <w:t xml:space="preserve">(3) 会計的裁量行動と実体的裁量行動</w:t>
      </w:r>
    </w:p>
    <w:p>
      <w:pPr>
        <w:spacing w:after="140" w:line="320"/>
        <w:jc w:val="left"/>
      </w:pPr>
      <w:r>
        <w:rPr>
          <w:rFonts w:ascii="Yu Mincho" w:cs="Yu Mincho" w:eastAsia="Yu Mincho" w:hAnsi="Yu Mincho"/>
          <w:sz w:val="21"/>
          <w:szCs w:val="21"/>
        </w:rPr>
        <w:t xml:space="preserve">裁量行動は会計的裁量行動と実体的裁量行動に分類される。実体的裁量行動とは、企業活動自体を変更することによって報告利益を操作すること（Roychowdhury, 2006）をいう。例：研究開発費・広告宣伝費の支出調整、有価証券・固定資産の売却時期の選択。</w:t>
      </w:r>
    </w:p>
    <w:p>
      <w:pPr>
        <w:pStyle w:val="Heading3"/>
        <w:spacing w:after="120" w:before="240"/>
      </w:pPr>
      <w:r>
        <w:t xml:space="preserve">(4) 会計発生高の反転（accruals reverse）という特徴</w:t>
      </w:r>
    </w:p>
    <w:p>
      <w:pPr>
        <w:spacing w:after="140" w:line="320"/>
        <w:jc w:val="left"/>
      </w:pPr>
      <w:r>
        <w:rPr>
          <w:rFonts w:ascii="Yu Mincho" w:cs="Yu Mincho" w:eastAsia="Yu Mincho" w:hAnsi="Yu Mincho"/>
          <w:sz w:val="21"/>
          <w:szCs w:val="21"/>
        </w:rPr>
        <w:t xml:space="preserve">GAAPの範囲内で行われる利益調整は平均回帰的な性質を有するため、報告利益を無制限に増加（または減少）させることはできない。利益増加型の利益調整は将来の利益を現在に移行する手続きであり、利益減少型の利益調整は現在の利益を将来に繰り延べる手続きである。この性質の理解は会計利益の将来予測を行う上で極めて重要である。</w:t>
      </w:r>
    </w:p>
    <w:p>
      <w:pPr>
        <w:pStyle w:val="Heading3"/>
        <w:spacing w:after="120" w:before="240"/>
      </w:pPr>
      <w:r>
        <w:t xml:space="preserve">利益調整の形態</w:t>
      </w:r>
    </w:p>
    <w:p>
      <w:pPr>
        <w:pStyle w:val="ListParagraph"/>
        <w:numPr>
          <w:ilvl w:val="0"/>
          <w:numId w:val="2"/>
        </w:numPr>
        <w:spacing w:after="80" w:line="300"/>
      </w:pPr>
      <w:r>
        <w:rPr>
          <w:rFonts w:ascii="Yu Mincho" w:cs="Yu Mincho" w:eastAsia="Yu Mincho" w:hAnsi="Yu Mincho"/>
          <w:sz w:val="21"/>
          <w:szCs w:val="21"/>
        </w:rPr>
        <w:t xml:space="preserve">利益最大化（Income maximization）＝利益増加型の利益調整。</w:t>
      </w:r>
    </w:p>
    <w:p>
      <w:pPr>
        <w:pStyle w:val="ListParagraph"/>
        <w:numPr>
          <w:ilvl w:val="0"/>
          <w:numId w:val="2"/>
        </w:numPr>
        <w:spacing w:after="80" w:line="300"/>
      </w:pPr>
      <w:r>
        <w:rPr>
          <w:rFonts w:ascii="Yu Mincho" w:cs="Yu Mincho" w:eastAsia="Yu Mincho" w:hAnsi="Yu Mincho"/>
          <w:sz w:val="21"/>
          <w:szCs w:val="21"/>
        </w:rPr>
        <w:t xml:space="preserve">利益最小化（Income minimization）＝利益減少型の利益調整。</w:t>
      </w:r>
    </w:p>
    <w:p>
      <w:pPr>
        <w:pStyle w:val="ListParagraph"/>
        <w:numPr>
          <w:ilvl w:val="0"/>
          <w:numId w:val="2"/>
        </w:numPr>
        <w:spacing w:after="80" w:line="300"/>
      </w:pPr>
      <w:r>
        <w:rPr>
          <w:rFonts w:ascii="Yu Mincho" w:cs="Yu Mincho" w:eastAsia="Yu Mincho" w:hAnsi="Yu Mincho"/>
          <w:sz w:val="21"/>
          <w:szCs w:val="21"/>
        </w:rPr>
        <w:t xml:space="preserve">ビッグ・バス（Big bath）＝極端な利益圧縮行動。後の利益を増加傾向に持っていく。</w:t>
      </w:r>
    </w:p>
    <w:p>
      <w:pPr>
        <w:pStyle w:val="ListParagraph"/>
        <w:numPr>
          <w:ilvl w:val="0"/>
          <w:numId w:val="2"/>
        </w:numPr>
        <w:spacing w:after="80" w:line="300"/>
      </w:pPr>
      <w:r>
        <w:rPr>
          <w:rFonts w:ascii="Yu Mincho" w:cs="Yu Mincho" w:eastAsia="Yu Mincho" w:hAnsi="Yu Mincho"/>
          <w:sz w:val="21"/>
          <w:szCs w:val="21"/>
        </w:rPr>
        <w:t xml:space="preserve">利益平準化（Income smoothing）＝企業業績が好調な時は利益減少型の調整、業績が不調な場合には利益増加型の調整を行う。</w:t>
      </w:r>
    </w:p>
    <w:p>
      <w:pPr>
        <w:spacing w:after="140" w:line="320"/>
        <w:jc w:val="left"/>
      </w:pPr>
      <w:r>
        <w:rPr>
          <w:rFonts w:ascii="Yu Mincho" w:cs="Yu Mincho" w:eastAsia="Yu Mincho" w:hAnsi="Yu Mincho"/>
          <w:sz w:val="21"/>
          <w:szCs w:val="21"/>
        </w:rPr>
        <w:t xml:space="preserve">利益調整の検出方法としては、①会計手続き選択（およびそのポートフォリオ）、②会計発生高（total accruals）・裁量的発生高（discretionary accruals）、③利益分布アプローチ（earnings distribution approach）、④利益平準化（income smoothing）、⑤実体的裁量行動（real earnings management）、⑥分類的操作（classification shifting）が用いられる。以下、①〜③を中心に、研究の展開順に沿って説明する。</w:t>
      </w:r>
    </w:p>
    <w:p>
      <w:pPr>
        <w:pStyle w:val="Heading2"/>
        <w:spacing w:after="160" w:before="360"/>
      </w:pPr>
      <w:r>
        <w:t xml:space="preserve">6.3　検出方法①：会計手続き選択</w:t>
      </w:r>
    </w:p>
    <w:p>
      <w:pPr>
        <w:spacing w:after="140" w:line="320"/>
        <w:jc w:val="left"/>
      </w:pPr>
      <w:r>
        <w:rPr>
          <w:rFonts w:ascii="Yu Mincho" w:cs="Yu Mincho" w:eastAsia="Yu Mincho" w:hAnsi="Yu Mincho"/>
          <w:sz w:val="21"/>
          <w:szCs w:val="21"/>
        </w:rPr>
        <w:t xml:space="preserve">現行の会計制度の下では1つの会計事象について複数の会計処理方法が認められているケースがあり、そうした情報は財務諸表の注記により把握可能である（須田, 2000）。例（日産自動車2001年3月決算期）：有形固定資産の減価償却方法を、法人税法基準の定率法から定額法に変更した結果、減価償却費が29,804百万円減少し、営業利益が28,672百万円増加、経常利益・税金等調整前当期純利益が29,052百万円増加した。</w:t>
      </w:r>
    </w:p>
    <w:p>
      <w:pPr>
        <w:spacing w:after="140" w:line="320"/>
        <w:jc w:val="left"/>
      </w:pPr>
      <w:r>
        <w:rPr>
          <w:rFonts w:ascii="Yu Mincho" w:cs="Yu Mincho" w:eastAsia="Yu Mincho" w:hAnsi="Yu Mincho"/>
          <w:sz w:val="21"/>
          <w:szCs w:val="21"/>
        </w:rPr>
        <w:t xml:space="preserve">会計手続き選択のみに注目した分析には限界がある：個別の会計手続き選択に注目するだけでは利益調整が利益全体に与える影響を完全に把握できず、利益額に異なる影響を与える会計手続き選択を併用している場合（例：定額法と後入先出法の併用）には解釈が困難となる。そこで会計手続き選択ポートフォリオの研究へと展開する。</w:t>
      </w:r>
    </w:p>
    <w:p>
      <w:pPr>
        <w:spacing w:after="140" w:line="320"/>
        <w:jc w:val="left"/>
      </w:pPr>
      <w:r>
        <w:rPr>
          <w:rFonts w:ascii="Yu Mincho" w:cs="Yu Mincho" w:eastAsia="Yu Mincho" w:hAnsi="Yu Mincho"/>
          <w:sz w:val="21"/>
          <w:szCs w:val="21"/>
        </w:rPr>
        <w:t xml:space="preserve">Zmijewski and Hagerman (1981)：4つの会計手続き選択（①減価償却法：定額法or加速償却法、②棚卸資産会計：先入先出法or後入先出法、③投資税額控除：一括控除法or繰延法、④過去勤務費用：償却期間30年超or30年以下）について利益増加型・利益減少型の2処理を想定し、16通りの組み合わせにしたがってポートフォリオを作成、会計手続き選択の影響を包括的に把握することを試みた。</w:t>
      </w:r>
    </w:p>
    <w:p>
      <w:pPr>
        <w:spacing w:after="140" w:line="320"/>
        <w:jc w:val="left"/>
      </w:pPr>
      <w:r>
        <w:rPr>
          <w:rFonts w:ascii="Yu Mincho" w:cs="Yu Mincho" w:eastAsia="Yu Mincho" w:hAnsi="Yu Mincho"/>
          <w:sz w:val="21"/>
          <w:szCs w:val="21"/>
        </w:rPr>
        <w:t xml:space="preserve">この手法にも問題点がある：各会計手続き選択の影響を均一と仮定していること、会計手続き選択以外の各種見積もり等が把握できないこと、利益調整の影響を金額ベースで把握できないこと。⇒会計発生高（accruals）を用いた研究へ展開する（Healy, 1985）。</w:t>
      </w:r>
    </w:p>
    <w:p>
      <w:pPr>
        <w:pStyle w:val="Heading2"/>
        <w:spacing w:after="160" w:before="360"/>
      </w:pPr>
      <w:r>
        <w:t xml:space="preserve">6.4　検出方法②：会計発生高</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会計発生高（Healy, 1985）</w:t>
            </w:r>
          </w:p>
          <w:p>
            <w:pPr>
              <w:spacing w:line="300"/>
            </w:pPr>
            <w:r>
              <w:rPr>
                <w:rFonts w:ascii="Yu Mincho" w:cs="Yu Mincho" w:eastAsia="Yu Mincho" w:hAnsi="Yu Mincho"/>
                <w:sz w:val="20"/>
                <w:szCs w:val="20"/>
              </w:rPr>
              <w:t xml:space="preserve">会計上の見積もりなどキャッシュ・フロー以外の会計要素をすべて集約させたもの。会計利益＝営業キャッシュ・フロー＋会計発生高。これにより利益調整の影響額を包括的かつ金額ベースで把握することが可能になる。ただし会計発生高の中には非裁量的な部分も存在する。</w:t>
            </w:r>
          </w:p>
        </w:tc>
      </w:tr>
    </w:tbl>
    <w:p>
      <w:pPr>
        <w:spacing w:after="100"/>
      </w:pPr>
    </w:p>
    <w:p>
      <w:pPr>
        <w:pStyle w:val="Heading3"/>
        <w:spacing w:after="120" w:before="240"/>
      </w:pPr>
      <w:r>
        <w:t xml:space="preserve">会計発生高の計算方法</w:t>
      </w:r>
    </w:p>
    <w:p>
      <w:pPr>
        <w:pStyle w:val="ListParagraph"/>
        <w:numPr>
          <w:ilvl w:val="0"/>
          <w:numId w:val="2"/>
        </w:numPr>
        <w:spacing w:after="80" w:line="300"/>
      </w:pPr>
      <w:r>
        <w:rPr>
          <w:rFonts w:ascii="Yu Mincho" w:cs="Yu Mincho" w:eastAsia="Yu Mincho" w:hAnsi="Yu Mincho"/>
          <w:b/>
          <w:bCs/>
          <w:sz w:val="21"/>
          <w:szCs w:val="21"/>
        </w:rPr>
        <w:t xml:space="preserve">直接誘導法：</w:t>
      </w:r>
    </w:p>
    <w:p>
      <w:pPr>
        <w:pStyle w:val="ListParagraph"/>
        <w:numPr>
          <w:ilvl w:val="0"/>
          <w:numId w:val="2"/>
        </w:numPr>
        <w:spacing w:after="80" w:line="300"/>
      </w:pPr>
      <w:r>
        <w:rPr>
          <w:rFonts w:ascii="Yu Mincho" w:cs="Yu Mincho" w:eastAsia="Yu Mincho" w:hAnsi="Yu Mincho"/>
          <w:sz w:val="21"/>
          <w:szCs w:val="21"/>
        </w:rPr>
        <w:t xml:space="preserve">会計発生高＝税引後経常利益－営業キャッシュ・フロー（税引後経常利益＝当期純利益＋特別損失合計額－特別利益合計額）。損益計算書とキャッシュ・フロー計算書の2数値で算定できる簡便法だが、キャッシュ・フロー計算書導入以後しか計算できない。企業合併が盛んな業種・企業では、後述の間接誘導法より正確に推定できるという分析結果もある。</w:t>
      </w:r>
    </w:p>
    <w:p>
      <w:pPr>
        <w:pStyle w:val="ListParagraph"/>
        <w:numPr>
          <w:ilvl w:val="0"/>
          <w:numId w:val="2"/>
        </w:numPr>
        <w:spacing w:after="80" w:line="300"/>
      </w:pPr>
      <w:r>
        <w:rPr>
          <w:rFonts w:ascii="Yu Mincho" w:cs="Yu Mincho" w:eastAsia="Yu Mincho" w:hAnsi="Yu Mincho"/>
          <w:b/>
          <w:bCs/>
          <w:sz w:val="21"/>
          <w:szCs w:val="21"/>
        </w:rPr>
        <w:t xml:space="preserve">間接誘導法：</w:t>
      </w:r>
    </w:p>
    <w:p>
      <w:pPr>
        <w:pStyle w:val="ListParagraph"/>
        <w:numPr>
          <w:ilvl w:val="0"/>
          <w:numId w:val="2"/>
        </w:numPr>
        <w:spacing w:after="80" w:line="300"/>
      </w:pPr>
      <w:r>
        <w:rPr>
          <w:rFonts w:ascii="Yu Mincho" w:cs="Yu Mincho" w:eastAsia="Yu Mincho" w:hAnsi="Yu Mincho"/>
          <w:sz w:val="21"/>
          <w:szCs w:val="21"/>
        </w:rPr>
        <w:t xml:space="preserve">会計発生高＝（Δ流動資産－Δ現金預金）－（Δ流動負債－Δ資金調達項目）－（Δ貸倒引当金＋Δ退職給付引当金＋Δ役員退職慰労引当金＋Δその他の長期引当金＋減価償却費）。貸借対照表と損益計算書から個別の会計項目を加減する方法で、算定は多少煩雑だが個別項目の影響を把握できる。</w:t>
      </w:r>
    </w:p>
    <w:p>
      <w:pPr>
        <w:pStyle w:val="Heading3"/>
        <w:spacing w:after="120" w:before="240"/>
      </w:pPr>
      <w:r>
        <w:t xml:space="preserve">計算例：日産自動車（2001年3月決算期）</w:t>
      </w:r>
    </w:p>
    <w:p>
      <w:pPr>
        <w:spacing w:after="140" w:line="320"/>
        <w:jc w:val="left"/>
      </w:pPr>
      <w:r>
        <w:rPr>
          <w:rFonts w:ascii="Yu Mincho" w:cs="Yu Mincho" w:eastAsia="Yu Mincho" w:hAnsi="Yu Mincho"/>
          <w:sz w:val="21"/>
          <w:szCs w:val="21"/>
        </w:rPr>
        <w:t xml:space="preserve">直接誘導法：税引後経常利益＝当期純利益（331,075）＋特別損失合計額（80,775）－特別利益合計額（88,164）＝323,686。会計発生高＝税引後経常利益（323,686）－営業キャッシュ・フロー（73,251）＝250,435。すなわち、日産自動車の会計利益（税引後経常利益323,686百万円）のうち250,435百万円はキャッシュ・フローの裏付けのない会計発生高である。経営者は会計的裁量行動を通じてこの部分を調整した可能性が高い。</w:t>
      </w:r>
    </w:p>
    <w:p>
      <w:pPr>
        <w:spacing w:after="140" w:line="320"/>
        <w:jc w:val="left"/>
      </w:pPr>
      <w:r>
        <w:rPr>
          <w:rFonts w:ascii="Yu Mincho" w:cs="Yu Mincho" w:eastAsia="Yu Mincho" w:hAnsi="Yu Mincho"/>
          <w:sz w:val="21"/>
          <w:szCs w:val="21"/>
        </w:rPr>
        <w:t xml:space="preserve">会計発生高にもとづく分析の限界：会計発生高の中には裁量的な部分と非裁量的な部分が混在する。会計発生高には会計システムによって規則的に計上される部分もあるため、すべてを裁量部分と認識することはできない（例：減価償却費の期間配分額や見積額は変更できるがゼロにはできない）。</w:t>
      </w:r>
    </w:p>
    <w:p>
      <w:pPr>
        <w:pStyle w:val="Heading2"/>
        <w:spacing w:after="160" w:before="360"/>
      </w:pPr>
      <w:r>
        <w:t xml:space="preserve">6.5　検出方法③：裁量的発生高</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裁量的発生高の構成</w:t>
            </w:r>
          </w:p>
          <w:p>
            <w:pPr>
              <w:spacing w:line="300"/>
            </w:pPr>
            <w:r>
              <w:rPr>
                <w:rFonts w:ascii="Yu Mincho" w:cs="Yu Mincho" w:eastAsia="Yu Mincho" w:hAnsi="Yu Mincho"/>
                <w:sz w:val="20"/>
                <w:szCs w:val="20"/>
              </w:rPr>
              <w:t xml:space="preserve">会計利益＝営業キャッシュ・フロー＋会計発生高＝営業キャッシュ・フロー＋非裁量的発生高＋裁量的発生高。裁量的発生高（discretionary accruals）を把握するには、非裁量的発生高（non-discretionary accruals）を測定する必要がある。</w:t>
            </w:r>
          </w:p>
        </w:tc>
      </w:tr>
    </w:tbl>
    <w:p>
      <w:pPr>
        <w:spacing w:after="100"/>
      </w:pPr>
    </w:p>
    <w:p>
      <w:pPr>
        <w:spacing w:after="140" w:line="320"/>
        <w:jc w:val="left"/>
      </w:pPr>
      <w:r>
        <w:rPr>
          <w:rFonts w:ascii="Yu Mincho" w:cs="Yu Mincho" w:eastAsia="Yu Mincho" w:hAnsi="Yu Mincho"/>
          <w:sz w:val="21"/>
          <w:szCs w:val="21"/>
        </w:rPr>
        <w:t xml:space="preserve">代表的な非裁量的発生高の推計モデルは、①DeAngeloモデル、②Jonesモデル、③修正Jonesモデル、④CFO修正Jonesモデルの4つで、研究の精緻化の順に発展してきた。</w:t>
      </w:r>
    </w:p>
    <w:p>
      <w:pPr>
        <w:pStyle w:val="Heading3"/>
        <w:spacing w:after="120" w:before="240"/>
      </w:pPr>
      <w:r>
        <w:t xml:space="preserve">① DeAngeloモデル（DeAngelo, 1986）</w:t>
      </w:r>
    </w:p>
    <w:p>
      <w:pPr>
        <w:spacing w:after="140" w:line="320"/>
        <w:jc w:val="left"/>
      </w:pPr>
      <w:r>
        <w:rPr>
          <w:rFonts w:ascii="Yu Mincho" w:cs="Yu Mincho" w:eastAsia="Yu Mincho" w:hAnsi="Yu Mincho"/>
          <w:sz w:val="21"/>
          <w:szCs w:val="21"/>
        </w:rPr>
        <w:t xml:space="preserve">非裁量的発生高＝前期の会計発生高、裁量的発生高＝当期の会計発生高－前期の会計発生高。非裁量的発生高がランダム・ウォークに従うと仮定しているが、会計発生高は景気変動とともにシステマティックに変化する可能性がある。→Jonesモデルへの展開。</w:t>
      </w:r>
    </w:p>
    <w:p>
      <w:pPr>
        <w:pStyle w:val="Heading3"/>
        <w:spacing w:after="120" w:before="240"/>
      </w:pPr>
      <w:r>
        <w:t xml:space="preserve">② Jonesモデル（Jones, 1991）</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Jonesモデル</w:t>
            </w:r>
          </w:p>
          <w:p>
            <w:pPr>
              <w:spacing w:line="300"/>
            </w:pPr>
            <w:r>
              <w:rPr>
                <w:rFonts w:ascii="Yu Mincho" w:cs="Yu Mincho" w:eastAsia="Yu Mincho" w:hAnsi="Yu Mincho"/>
                <w:sz w:val="20"/>
                <w:szCs w:val="20"/>
              </w:rPr>
              <w:t xml:space="preserve">会計発生高＝α＋α1Δ売上高＋α2償却性固定資産＋ε。非裁量的発生高を上記回帰モデルで推定する。売上高は流動資産・流動負債に関する会計発生高（運転資本、事業活動の変動に大きく依存）を、償却性固定資産は減価償却費をコントロールするために用いられる。</w:t>
            </w:r>
          </w:p>
        </w:tc>
      </w:tr>
    </w:tbl>
    <w:p>
      <w:pPr>
        <w:spacing w:after="100"/>
      </w:pPr>
    </w:p>
    <w:p>
      <w:pPr>
        <w:spacing w:after="140" w:line="320"/>
        <w:jc w:val="left"/>
      </w:pPr>
      <w:r>
        <w:rPr>
          <w:rFonts w:ascii="Yu Mincho" w:cs="Yu Mincho" w:eastAsia="Yu Mincho" w:hAnsi="Yu Mincho"/>
          <w:sz w:val="21"/>
          <w:szCs w:val="21"/>
        </w:rPr>
        <w:t xml:space="preserve">推定モデルで得られた会計発生高の期待値（非裁量的発生高）を実際の会計発生高から控除することで裁量的発生高を算定する。推計に際して変数はすべて前期末総資産額で基準化する。推定には①企業ごとの時系列推定と②産業・年度を考慮したクロスセクション推定があり、②の場合、推定された裁量的発生高が正であれば利益増加型、負であれば利益減少型の利益調整と判断される。</w:t>
      </w:r>
    </w:p>
    <w:p>
      <w:pPr>
        <w:pStyle w:val="Heading3"/>
        <w:spacing w:after="120" w:before="240"/>
      </w:pPr>
      <w:r>
        <w:t xml:space="preserve">③ 修正Jonesモデル（Dechow et al., 1995）</w:t>
      </w:r>
    </w:p>
    <w:p>
      <w:pPr>
        <w:spacing w:after="140" w:line="320"/>
        <w:jc w:val="left"/>
      </w:pPr>
      <w:r>
        <w:rPr>
          <w:rFonts w:ascii="Yu Mincho" w:cs="Yu Mincho" w:eastAsia="Yu Mincho" w:hAnsi="Yu Mincho"/>
          <w:sz w:val="21"/>
          <w:szCs w:val="21"/>
        </w:rPr>
        <w:t xml:space="preserve">会計発生高＝α＋α1(Δ売上高－Δ売上債権)＋α2償却性固定資産＋ε。説明変数の売上高は調整不可能という仮定を緩和し、売上債権を通じた調整可能性を織り込んでいる。これまでの研究で最もよく使われているモデルである。</w:t>
      </w:r>
    </w:p>
    <w:p>
      <w:pPr>
        <w:pStyle w:val="Heading3"/>
        <w:spacing w:after="120" w:before="240"/>
      </w:pPr>
      <w:r>
        <w:t xml:space="preserve">④ CFO修正Jonesモデル（Kasznick, 1999）</w:t>
      </w:r>
    </w:p>
    <w:p>
      <w:pPr>
        <w:spacing w:after="140" w:line="320"/>
        <w:jc w:val="left"/>
      </w:pPr>
      <w:r>
        <w:rPr>
          <w:rFonts w:ascii="Yu Mincho" w:cs="Yu Mincho" w:eastAsia="Yu Mincho" w:hAnsi="Yu Mincho"/>
          <w:sz w:val="21"/>
          <w:szCs w:val="21"/>
        </w:rPr>
        <w:t xml:space="preserve">会計発生高＝α＋α1(Δ売上高－Δ売上債権)＋α2償却性固定資産＋α3Δ営業キャッシュ・フロー＋ε。営業キャッシュ・フローは会計発生高と負の相関関係を有する。わが国のデータで推定した場合、決定係数が大幅に増加するという実証結果もある（首藤, 2010）。</w:t>
      </w:r>
    </w:p>
    <w:p>
      <w:pPr>
        <w:pStyle w:val="Heading3"/>
        <w:spacing w:after="120" w:before="240"/>
      </w:pPr>
      <w:r>
        <w:t xml:space="preserve">各モデルの推計値の比較</w:t>
      </w:r>
    </w:p>
    <w:p>
      <w:pPr>
        <w:spacing w:after="140" w:line="320"/>
        <w:jc w:val="left"/>
      </w:pPr>
      <w:r>
        <w:rPr>
          <w:rFonts w:ascii="Yu Mincho" w:cs="Yu Mincho" w:eastAsia="Yu Mincho" w:hAnsi="Yu Mincho"/>
          <w:sz w:val="21"/>
          <w:szCs w:val="21"/>
        </w:rPr>
        <w:t xml:space="preserve">1991年〜2000年の日本の上場企業（クロスセクション推計）について、各モデルで算定した裁量的発生高の絶対値を経常利益の絶対値で割った割合（％）：</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2200"/>
        <w:gridCol w:w="2200"/>
        <w:gridCol w:w="2000"/>
        <w:gridCol w:w="20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モデル</w:t>
            </w:r>
          </w:p>
        </w:tc>
        <w:tc>
          <w:tcPr>
            <w:tcW w:type="dxa" w:w="2200"/>
            <w:shd w:fill="DDE6F0" w:val="clear"/>
            <w:tcMar>
              <w:top w:type="dxa" w:w="60"/>
              <w:left w:type="dxa" w:w="100"/>
              <w:bottom w:type="dxa" w:w="60"/>
              <w:right w:type="dxa" w:w="100"/>
            </w:tcMar>
          </w:tcPr>
          <w:p>
            <w:r>
              <w:rPr>
                <w:rFonts w:ascii="Yu Gothic" w:cs="Yu Gothic" w:eastAsia="Yu Gothic" w:hAnsi="Yu Gothic"/>
                <w:b/>
                <w:bCs/>
                <w:sz w:val="19"/>
                <w:szCs w:val="19"/>
              </w:rPr>
              <w:t xml:space="preserve">平均値</w:t>
            </w:r>
          </w:p>
        </w:tc>
        <w:tc>
          <w:tcPr>
            <w:tcW w:type="dxa" w:w="2200"/>
            <w:shd w:fill="DDE6F0" w:val="clear"/>
            <w:tcMar>
              <w:top w:type="dxa" w:w="60"/>
              <w:left w:type="dxa" w:w="100"/>
              <w:bottom w:type="dxa" w:w="60"/>
              <w:right w:type="dxa" w:w="100"/>
            </w:tcMar>
          </w:tcPr>
          <w:p>
            <w:r>
              <w:rPr>
                <w:rFonts w:ascii="Yu Gothic" w:cs="Yu Gothic" w:eastAsia="Yu Gothic" w:hAnsi="Yu Gothic"/>
                <w:b/>
                <w:bCs/>
                <w:sz w:val="19"/>
                <w:szCs w:val="19"/>
              </w:rPr>
              <w:t xml:space="preserve">中央値</w:t>
            </w:r>
          </w:p>
        </w:tc>
        <w:tc>
          <w:tcPr>
            <w:tcW w:type="dxa" w:w="2000"/>
            <w:shd w:fill="DDE6F0" w:val="clear"/>
            <w:tcMar>
              <w:top w:type="dxa" w:w="60"/>
              <w:left w:type="dxa" w:w="100"/>
              <w:bottom w:type="dxa" w:w="60"/>
              <w:right w:type="dxa" w:w="100"/>
            </w:tcMar>
          </w:tcPr>
          <w:p>
            <w:r>
              <w:rPr>
                <w:rFonts w:ascii="Yu Gothic" w:cs="Yu Gothic" w:eastAsia="Yu Gothic" w:hAnsi="Yu Gothic"/>
                <w:b/>
                <w:bCs/>
                <w:sz w:val="19"/>
                <w:szCs w:val="19"/>
              </w:rPr>
              <w:t xml:space="preserve">1Q</w:t>
            </w:r>
          </w:p>
        </w:tc>
        <w:tc>
          <w:tcPr>
            <w:tcW w:type="dxa" w:w="2000"/>
            <w:shd w:fill="DDE6F0" w:val="clear"/>
            <w:tcMar>
              <w:top w:type="dxa" w:w="60"/>
              <w:left w:type="dxa" w:w="100"/>
              <w:bottom w:type="dxa" w:w="60"/>
              <w:right w:type="dxa" w:w="100"/>
            </w:tcMar>
          </w:tcPr>
          <w:p>
            <w:r>
              <w:rPr>
                <w:rFonts w:ascii="Yu Gothic" w:cs="Yu Gothic" w:eastAsia="Yu Gothic" w:hAnsi="Yu Gothic"/>
                <w:b/>
                <w:bCs/>
                <w:sz w:val="19"/>
                <w:szCs w:val="19"/>
              </w:rPr>
              <w:t xml:space="preserve">3Q</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ジョーンズ</w:t>
            </w:r>
          </w:p>
        </w:tc>
        <w:tc>
          <w:tcPr>
            <w:tcW w:type="dxa" w:w="2200"/>
            <w:tcMar>
              <w:top w:type="dxa" w:w="60"/>
              <w:left w:type="dxa" w:w="100"/>
              <w:bottom w:type="dxa" w:w="60"/>
              <w:right w:type="dxa" w:w="100"/>
            </w:tcMar>
          </w:tcPr>
          <w:p>
            <w:r>
              <w:rPr>
                <w:rFonts w:ascii="Yu Mincho" w:cs="Yu Mincho" w:eastAsia="Yu Mincho" w:hAnsi="Yu Mincho"/>
                <w:sz w:val="19"/>
                <w:szCs w:val="19"/>
              </w:rPr>
              <w:t xml:space="preserve">752.692%</w:t>
            </w:r>
          </w:p>
        </w:tc>
        <w:tc>
          <w:tcPr>
            <w:tcW w:type="dxa" w:w="2200"/>
            <w:tcMar>
              <w:top w:type="dxa" w:w="60"/>
              <w:left w:type="dxa" w:w="100"/>
              <w:bottom w:type="dxa" w:w="60"/>
              <w:right w:type="dxa" w:w="100"/>
            </w:tcMar>
          </w:tcPr>
          <w:p>
            <w:r>
              <w:rPr>
                <w:rFonts w:ascii="Yu Mincho" w:cs="Yu Mincho" w:eastAsia="Yu Mincho" w:hAnsi="Yu Mincho"/>
                <w:sz w:val="19"/>
                <w:szCs w:val="19"/>
              </w:rPr>
              <w:t xml:space="preserve">147.368%</w:t>
            </w:r>
          </w:p>
        </w:tc>
        <w:tc>
          <w:tcPr>
            <w:tcW w:type="dxa" w:w="2000"/>
            <w:tcMar>
              <w:top w:type="dxa" w:w="60"/>
              <w:left w:type="dxa" w:w="100"/>
              <w:bottom w:type="dxa" w:w="60"/>
              <w:right w:type="dxa" w:w="100"/>
            </w:tcMar>
          </w:tcPr>
          <w:p>
            <w:r>
              <w:rPr>
                <w:rFonts w:ascii="Yu Mincho" w:cs="Yu Mincho" w:eastAsia="Yu Mincho" w:hAnsi="Yu Mincho"/>
                <w:sz w:val="19"/>
                <w:szCs w:val="19"/>
              </w:rPr>
              <w:t xml:space="preserve">58.921%</w:t>
            </w:r>
          </w:p>
        </w:tc>
        <w:tc>
          <w:tcPr>
            <w:tcW w:type="dxa" w:w="2000"/>
            <w:tcMar>
              <w:top w:type="dxa" w:w="60"/>
              <w:left w:type="dxa" w:w="100"/>
              <w:bottom w:type="dxa" w:w="60"/>
              <w:right w:type="dxa" w:w="100"/>
            </w:tcMar>
          </w:tcPr>
          <w:p>
            <w:r>
              <w:rPr>
                <w:rFonts w:ascii="Yu Mincho" w:cs="Yu Mincho" w:eastAsia="Yu Mincho" w:hAnsi="Yu Mincho"/>
                <w:sz w:val="19"/>
                <w:szCs w:val="19"/>
              </w:rPr>
              <w:t xml:space="preserve">356.224%</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修正ジョーンズ</w:t>
            </w:r>
          </w:p>
        </w:tc>
        <w:tc>
          <w:tcPr>
            <w:tcW w:type="dxa" w:w="2200"/>
            <w:tcMar>
              <w:top w:type="dxa" w:w="60"/>
              <w:left w:type="dxa" w:w="100"/>
              <w:bottom w:type="dxa" w:w="60"/>
              <w:right w:type="dxa" w:w="100"/>
            </w:tcMar>
          </w:tcPr>
          <w:p>
            <w:r>
              <w:rPr>
                <w:rFonts w:ascii="Yu Mincho" w:cs="Yu Mincho" w:eastAsia="Yu Mincho" w:hAnsi="Yu Mincho"/>
                <w:sz w:val="19"/>
                <w:szCs w:val="19"/>
              </w:rPr>
              <w:t xml:space="preserve">757.214%</w:t>
            </w:r>
          </w:p>
        </w:tc>
        <w:tc>
          <w:tcPr>
            <w:tcW w:type="dxa" w:w="2200"/>
            <w:tcMar>
              <w:top w:type="dxa" w:w="60"/>
              <w:left w:type="dxa" w:w="100"/>
              <w:bottom w:type="dxa" w:w="60"/>
              <w:right w:type="dxa" w:w="100"/>
            </w:tcMar>
          </w:tcPr>
          <w:p>
            <w:r>
              <w:rPr>
                <w:rFonts w:ascii="Yu Mincho" w:cs="Yu Mincho" w:eastAsia="Yu Mincho" w:hAnsi="Yu Mincho"/>
                <w:sz w:val="19"/>
                <w:szCs w:val="19"/>
              </w:rPr>
              <w:t xml:space="preserve">140.194%</w:t>
            </w:r>
          </w:p>
        </w:tc>
        <w:tc>
          <w:tcPr>
            <w:tcW w:type="dxa" w:w="2000"/>
            <w:tcMar>
              <w:top w:type="dxa" w:w="60"/>
              <w:left w:type="dxa" w:w="100"/>
              <w:bottom w:type="dxa" w:w="60"/>
              <w:right w:type="dxa" w:w="100"/>
            </w:tcMar>
          </w:tcPr>
          <w:p>
            <w:r>
              <w:rPr>
                <w:rFonts w:ascii="Yu Mincho" w:cs="Yu Mincho" w:eastAsia="Yu Mincho" w:hAnsi="Yu Mincho"/>
                <w:sz w:val="19"/>
                <w:szCs w:val="19"/>
              </w:rPr>
              <w:t xml:space="preserve">56.258%</w:t>
            </w:r>
          </w:p>
        </w:tc>
        <w:tc>
          <w:tcPr>
            <w:tcW w:type="dxa" w:w="2000"/>
            <w:tcMar>
              <w:top w:type="dxa" w:w="60"/>
              <w:left w:type="dxa" w:w="100"/>
              <w:bottom w:type="dxa" w:w="60"/>
              <w:right w:type="dxa" w:w="100"/>
            </w:tcMar>
          </w:tcPr>
          <w:p>
            <w:r>
              <w:rPr>
                <w:rFonts w:ascii="Yu Mincho" w:cs="Yu Mincho" w:eastAsia="Yu Mincho" w:hAnsi="Yu Mincho"/>
                <w:sz w:val="19"/>
                <w:szCs w:val="19"/>
              </w:rPr>
              <w:t xml:space="preserve">340.789%</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CFOジョーンズ</w:t>
            </w:r>
          </w:p>
        </w:tc>
        <w:tc>
          <w:tcPr>
            <w:tcW w:type="dxa" w:w="2200"/>
            <w:tcMar>
              <w:top w:type="dxa" w:w="60"/>
              <w:left w:type="dxa" w:w="100"/>
              <w:bottom w:type="dxa" w:w="60"/>
              <w:right w:type="dxa" w:w="100"/>
            </w:tcMar>
          </w:tcPr>
          <w:p>
            <w:r>
              <w:rPr>
                <w:rFonts w:ascii="Yu Mincho" w:cs="Yu Mincho" w:eastAsia="Yu Mincho" w:hAnsi="Yu Mincho"/>
                <w:sz w:val="19"/>
                <w:szCs w:val="19"/>
              </w:rPr>
              <w:t xml:space="preserve">566.237%</w:t>
            </w:r>
          </w:p>
        </w:tc>
        <w:tc>
          <w:tcPr>
            <w:tcW w:type="dxa" w:w="2200"/>
            <w:tcMar>
              <w:top w:type="dxa" w:w="60"/>
              <w:left w:type="dxa" w:w="100"/>
              <w:bottom w:type="dxa" w:w="60"/>
              <w:right w:type="dxa" w:w="100"/>
            </w:tcMar>
          </w:tcPr>
          <w:p>
            <w:r>
              <w:rPr>
                <w:rFonts w:ascii="Yu Mincho" w:cs="Yu Mincho" w:eastAsia="Yu Mincho" w:hAnsi="Yu Mincho"/>
                <w:sz w:val="19"/>
                <w:szCs w:val="19"/>
              </w:rPr>
              <w:t xml:space="preserve">108.381%</w:t>
            </w:r>
          </w:p>
        </w:tc>
        <w:tc>
          <w:tcPr>
            <w:tcW w:type="dxa" w:w="2000"/>
            <w:tcMar>
              <w:top w:type="dxa" w:w="60"/>
              <w:left w:type="dxa" w:w="100"/>
              <w:bottom w:type="dxa" w:w="60"/>
              <w:right w:type="dxa" w:w="100"/>
            </w:tcMar>
          </w:tcPr>
          <w:p>
            <w:r>
              <w:rPr>
                <w:rFonts w:ascii="Yu Mincho" w:cs="Yu Mincho" w:eastAsia="Yu Mincho" w:hAnsi="Yu Mincho"/>
                <w:sz w:val="19"/>
                <w:szCs w:val="19"/>
              </w:rPr>
              <w:t xml:space="preserve">43.137%</w:t>
            </w:r>
          </w:p>
        </w:tc>
        <w:tc>
          <w:tcPr>
            <w:tcW w:type="dxa" w:w="2000"/>
            <w:tcMar>
              <w:top w:type="dxa" w:w="60"/>
              <w:left w:type="dxa" w:w="100"/>
              <w:bottom w:type="dxa" w:w="60"/>
              <w:right w:type="dxa" w:w="100"/>
            </w:tcMar>
          </w:tcPr>
          <w:p>
            <w:r>
              <w:rPr>
                <w:rFonts w:ascii="Yu Mincho" w:cs="Yu Mincho" w:eastAsia="Yu Mincho" w:hAnsi="Yu Mincho"/>
                <w:sz w:val="19"/>
                <w:szCs w:val="19"/>
              </w:rPr>
              <w:t xml:space="preserve">268.783%</w:t>
            </w:r>
          </w:p>
        </w:tc>
      </w:tr>
      <w:tr>
        <w:tc>
          <w:tcPr>
            <w:tcW w:type="dxa" w:w="2600"/>
            <w:tcMar>
              <w:top w:type="dxa" w:w="60"/>
              <w:left w:type="dxa" w:w="100"/>
              <w:bottom w:type="dxa" w:w="60"/>
              <w:right w:type="dxa" w:w="100"/>
            </w:tcMar>
          </w:tcPr>
          <w:p>
            <w:r>
              <w:rPr>
                <w:rFonts w:ascii="Yu Mincho" w:cs="Yu Mincho" w:eastAsia="Yu Mincho" w:hAnsi="Yu Mincho"/>
                <w:sz w:val="19"/>
                <w:szCs w:val="19"/>
              </w:rPr>
              <w:t xml:space="preserve">CFO修正ジョーンズ</w:t>
            </w:r>
          </w:p>
        </w:tc>
        <w:tc>
          <w:tcPr>
            <w:tcW w:type="dxa" w:w="2200"/>
            <w:tcMar>
              <w:top w:type="dxa" w:w="60"/>
              <w:left w:type="dxa" w:w="100"/>
              <w:bottom w:type="dxa" w:w="60"/>
              <w:right w:type="dxa" w:w="100"/>
            </w:tcMar>
          </w:tcPr>
          <w:p>
            <w:r>
              <w:rPr>
                <w:rFonts w:ascii="Yu Mincho" w:cs="Yu Mincho" w:eastAsia="Yu Mincho" w:hAnsi="Yu Mincho"/>
                <w:sz w:val="19"/>
                <w:szCs w:val="19"/>
              </w:rPr>
              <w:t xml:space="preserve">575.573%</w:t>
            </w:r>
          </w:p>
        </w:tc>
        <w:tc>
          <w:tcPr>
            <w:tcW w:type="dxa" w:w="2200"/>
            <w:tcMar>
              <w:top w:type="dxa" w:w="60"/>
              <w:left w:type="dxa" w:w="100"/>
              <w:bottom w:type="dxa" w:w="60"/>
              <w:right w:type="dxa" w:w="100"/>
            </w:tcMar>
          </w:tcPr>
          <w:p>
            <w:r>
              <w:rPr>
                <w:rFonts w:ascii="Yu Mincho" w:cs="Yu Mincho" w:eastAsia="Yu Mincho" w:hAnsi="Yu Mincho"/>
                <w:sz w:val="19"/>
                <w:szCs w:val="19"/>
              </w:rPr>
              <w:t xml:space="preserve">108.878%</w:t>
            </w:r>
          </w:p>
        </w:tc>
        <w:tc>
          <w:tcPr>
            <w:tcW w:type="dxa" w:w="2000"/>
            <w:tcMar>
              <w:top w:type="dxa" w:w="60"/>
              <w:left w:type="dxa" w:w="100"/>
              <w:bottom w:type="dxa" w:w="60"/>
              <w:right w:type="dxa" w:w="100"/>
            </w:tcMar>
          </w:tcPr>
          <w:p>
            <w:r>
              <w:rPr>
                <w:rFonts w:ascii="Yu Mincho" w:cs="Yu Mincho" w:eastAsia="Yu Mincho" w:hAnsi="Yu Mincho"/>
                <w:sz w:val="19"/>
                <w:szCs w:val="19"/>
              </w:rPr>
              <w:t xml:space="preserve">43.928%</w:t>
            </w:r>
          </w:p>
        </w:tc>
        <w:tc>
          <w:tcPr>
            <w:tcW w:type="dxa" w:w="2000"/>
            <w:tcMar>
              <w:top w:type="dxa" w:w="60"/>
              <w:left w:type="dxa" w:w="100"/>
              <w:bottom w:type="dxa" w:w="60"/>
              <w:right w:type="dxa" w:w="100"/>
            </w:tcMar>
          </w:tcPr>
          <w:p>
            <w:r>
              <w:rPr>
                <w:rFonts w:ascii="Yu Mincho" w:cs="Yu Mincho" w:eastAsia="Yu Mincho" w:hAnsi="Yu Mincho"/>
                <w:sz w:val="19"/>
                <w:szCs w:val="19"/>
              </w:rPr>
              <w:t xml:space="preserve">268.161%</w:t>
            </w:r>
          </w:p>
        </w:tc>
      </w:tr>
    </w:tbl>
    <w:p>
      <w:pPr>
        <w:pStyle w:val="Heading3"/>
        <w:spacing w:after="120" w:before="240"/>
      </w:pPr>
      <w:r>
        <w:t xml:space="preserve">ケース：日産自動車のV字回復（1999年ゴーン社長就任前後）</w:t>
      </w:r>
    </w:p>
    <w:p>
      <w:pPr>
        <w:spacing w:after="140" w:line="320"/>
        <w:jc w:val="left"/>
      </w:pPr>
      <w:r>
        <w:rPr>
          <w:rFonts w:ascii="Yu Mincho" w:cs="Yu Mincho" w:eastAsia="Yu Mincho" w:hAnsi="Yu Mincho"/>
          <w:sz w:val="21"/>
          <w:szCs w:val="21"/>
        </w:rPr>
        <w:t xml:space="preserve">ゴーン社長就任後初の決算（2000年3月決算期）を0期とした前後の推移を確認すると、当期純利益（前期末総資産額で基準化）は明確な「V字回復」を示す。ところが営業キャッシュ・フロー（同様に基準化）はV字型を示していない。一方、CFO修正ジョーンズ・モデルで算定した裁量的発生高は「やはりV字」を示す。⇒会計発生高（裁量的発生高）の推移が、報告利益のV字回復に寄与していた可能性を示唆する興味深いケースである（この結果自体は単独の裁量的発生高分析であり、V字回復の全てが利益調整によるものと断定するものではない点に留意）。</w:t>
      </w:r>
    </w:p>
    <w:p>
      <w:pPr>
        <w:pStyle w:val="Heading2"/>
        <w:spacing w:after="160" w:before="360"/>
      </w:pPr>
      <w:r>
        <w:t xml:space="preserve">6.6　検出方法④：利益分布アプローチ</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利益分布アプローチ</w:t>
            </w:r>
          </w:p>
          <w:p>
            <w:pPr>
              <w:spacing w:line="300"/>
            </w:pPr>
            <w:r>
              <w:rPr>
                <w:rFonts w:ascii="Yu Mincho" w:cs="Yu Mincho" w:eastAsia="Yu Mincho" w:hAnsi="Yu Mincho"/>
                <w:sz w:val="20"/>
                <w:szCs w:val="20"/>
              </w:rPr>
              <w:t xml:space="preserve">報告利益をヒストグラムで示し、検証対象となる利益変数のゼロ付近の分布の不規則性を観察することによって利益調整の有無を判断する方法（Burgstahler and Dichev, 1997；Degeorge et al., 1999）。</w:t>
            </w:r>
          </w:p>
        </w:tc>
      </w:tr>
    </w:tbl>
    <w:p>
      <w:pPr>
        <w:spacing w:after="100"/>
      </w:pPr>
    </w:p>
    <w:p>
      <w:pPr>
        <w:spacing w:after="140" w:line="320"/>
        <w:jc w:val="left"/>
      </w:pPr>
      <w:r>
        <w:rPr>
          <w:rFonts w:ascii="Yu Mincho" w:cs="Yu Mincho" w:eastAsia="Yu Mincho" w:hAnsi="Yu Mincho"/>
          <w:sz w:val="21"/>
          <w:szCs w:val="21"/>
        </w:rPr>
        <w:t xml:space="preserve">背景にある仮説：①経営者は損失を回避するために利益調整を行う、②経営者は減益を回避するために利益調整を行う、③経営者はアナリスト予想値を達成するために利益調整を行う。具体的な検証方法は、①利益額の水準、②利益の変化額、③利益サプライズ（予想値－実績値）についてヒストグラムを作成し、ゼロ付近の分布の不規則性から利益調整の有無を判断する（分布の不規則性の統計的検定には標準化差異［standardized difference］を用いる）。</w:t>
      </w:r>
    </w:p>
    <w:p>
      <w:pPr>
        <w:spacing w:after="140" w:line="320"/>
        <w:jc w:val="left"/>
      </w:pPr>
      <w:r>
        <w:rPr>
          <w:rFonts w:ascii="Yu Mincho" w:cs="Yu Mincho" w:eastAsia="Yu Mincho" w:hAnsi="Yu Mincho"/>
          <w:sz w:val="21"/>
          <w:szCs w:val="21"/>
        </w:rPr>
        <w:t xml:space="preserve">首藤（2010）による日本企業（1976年〜2000年）の検証：（1）減益回避の検証（ΔNI ＝［当期純利益t－当期純利益t-1］/総資産t-2 のヒストグラム、43,364観測値）では、ゼロをわずかに下回る区間の観測数が不自然に少なく、ゼロをわずかに上回る区間で不自然に多いという分布の不規則性が観察される。（2）損失回避の検証（NI ＝当期純利益t/総資産t-1 のヒストグラム、45,482観測値）でも同様に、ゼロ付近での分布の不規則性（ゼロをわずかに下回る区間の観測数の少なさ）が観察される。これらは、日本企業の経営者が減益や損失をわずかに回避するために利益調整を行っていることを示唆する強力な状況証拠である。</w:t>
      </w:r>
    </w:p>
    <w:p>
      <w:pPr>
        <w:pStyle w:val="Heading2"/>
        <w:spacing w:after="160" w:before="360"/>
      </w:pPr>
      <w:r>
        <w:t xml:space="preserve">6.7　利益調整の動機①：契約に基づく動機</w:t>
      </w:r>
    </w:p>
    <w:p>
      <w:pPr>
        <w:spacing w:after="140" w:line="320"/>
        <w:jc w:val="left"/>
      </w:pPr>
      <w:r>
        <w:rPr>
          <w:rFonts w:ascii="Yu Mincho" w:cs="Yu Mincho" w:eastAsia="Yu Mincho" w:hAnsi="Yu Mincho"/>
          <w:sz w:val="21"/>
          <w:szCs w:val="21"/>
        </w:rPr>
        <w:t xml:space="preserve">PATの3つの代表的仮説（報酬契約仮説、債務契約仮説、政治費用仮説）を中心に、契約に基づく利益調整の動機を整理する。</w:t>
      </w:r>
    </w:p>
    <w:p>
      <w:pPr>
        <w:pStyle w:val="Heading3"/>
        <w:spacing w:after="120" w:before="240"/>
      </w:pPr>
      <w:r>
        <w:t xml:space="preserve">(1) ボーナス制度仮説（報酬契約）</w:t>
      </w:r>
    </w:p>
    <w:p>
      <w:pPr>
        <w:spacing w:after="140" w:line="320"/>
        <w:jc w:val="left"/>
      </w:pPr>
      <w:r>
        <w:rPr>
          <w:rFonts w:ascii="Yu Mincho" w:cs="Yu Mincho" w:eastAsia="Yu Mincho" w:hAnsi="Yu Mincho"/>
          <w:sz w:val="21"/>
          <w:szCs w:val="21"/>
        </w:rPr>
        <w:t xml:space="preserve">利益連動型の報酬契約を結んでいる企業の経営者は、ボーナスの最大化を目指して利益を調整する。1980年代前半までの実証研究では、利益連動型報酬制度導入企業は利益増加型の会計手続き選択を行うことが確認された。Healy (1985)：上限（Cap）と下限（Bogey）を有する利益連動型報酬契約を結んでいる企業の経営者は、ボーナスの受取額を最大化するような利益調整を行う（会計発生高に注目した最初の研究）。典型的な利益連動型報酬制度では、会計利益がbogeyを下回る場合や既にcapに達している場合には利益を将来に繰り延べる誘因（利益減少型、極端な場合はビッグ・バス）が、bogeyとcapの間にある場合には当期の利益を増加させる誘因（利益増加型）が生じる——ボーナス制度の上限・下限の存在そのものが利益調整の包括的な説明変数になる（第1章1.2節の図参照）。</w:t>
      </w:r>
    </w:p>
    <w:p>
      <w:pPr>
        <w:pStyle w:val="Heading3"/>
        <w:spacing w:after="120" w:before="240"/>
      </w:pPr>
      <w:r>
        <w:t xml:space="preserve">(2) 債務契約仮説</w:t>
      </w:r>
    </w:p>
    <w:p>
      <w:pPr>
        <w:spacing w:after="140" w:line="320"/>
        <w:jc w:val="left"/>
      </w:pPr>
      <w:r>
        <w:rPr>
          <w:rFonts w:ascii="Yu Mincho" w:cs="Yu Mincho" w:eastAsia="Yu Mincho" w:hAnsi="Yu Mincho"/>
          <w:sz w:val="21"/>
          <w:szCs w:val="21"/>
        </w:rPr>
        <w:t xml:space="preserve">債務契約で結ばれる会計数値にもとづく財務制限条項への抵触を回避するために、利益増加型の利益調整を行う。</w:t>
      </w:r>
    </w:p>
    <w:p>
      <w:pPr>
        <w:pStyle w:val="ListParagraph"/>
        <w:numPr>
          <w:ilvl w:val="0"/>
          <w:numId w:val="2"/>
        </w:numPr>
        <w:spacing w:after="80" w:line="300"/>
      </w:pPr>
      <w:r>
        <w:rPr>
          <w:rFonts w:ascii="Yu Mincho" w:cs="Yu Mincho" w:eastAsia="Yu Mincho" w:hAnsi="Yu Mincho"/>
          <w:sz w:val="21"/>
          <w:szCs w:val="21"/>
        </w:rPr>
        <w:t xml:space="preserve">Sweeney (1994)：財務制限条項に抵触した企業は、コントロール企業と比較して利益増加型の会計手続きを選択している。利益を増加させる新しい会計基準を早期に導入する傾向もある。</w:t>
      </w:r>
    </w:p>
    <w:p>
      <w:pPr>
        <w:pStyle w:val="ListParagraph"/>
        <w:numPr>
          <w:ilvl w:val="0"/>
          <w:numId w:val="2"/>
        </w:numPr>
        <w:spacing w:after="80" w:line="300"/>
      </w:pPr>
      <w:r>
        <w:rPr>
          <w:rFonts w:ascii="Yu Mincho" w:cs="Yu Mincho" w:eastAsia="Yu Mincho" w:hAnsi="Yu Mincho"/>
          <w:sz w:val="21"/>
          <w:szCs w:val="21"/>
        </w:rPr>
        <w:t xml:space="preserve">DeFond and Jiambalvo (1994)：財務制限条項に抵触した企業は、抵触前年に裁量的発生高を増加させている。</w:t>
      </w:r>
    </w:p>
    <w:p>
      <w:pPr>
        <w:pStyle w:val="ListParagraph"/>
        <w:numPr>
          <w:ilvl w:val="0"/>
          <w:numId w:val="2"/>
        </w:numPr>
        <w:spacing w:after="80" w:line="300"/>
      </w:pPr>
      <w:r>
        <w:rPr>
          <w:rFonts w:ascii="Yu Mincho" w:cs="Yu Mincho" w:eastAsia="Yu Mincho" w:hAnsi="Yu Mincho"/>
          <w:sz w:val="21"/>
          <w:szCs w:val="21"/>
        </w:rPr>
        <w:t xml:space="preserve">Dichev and Skinner (2002)：財務制限条項で利用される財務比率のスラック（余裕度）の分布を観察し、その分布の不規則性から利益調整の存在を例証。</w:t>
      </w:r>
    </w:p>
    <w:p>
      <w:pPr>
        <w:pStyle w:val="ListParagraph"/>
        <w:numPr>
          <w:ilvl w:val="0"/>
          <w:numId w:val="2"/>
        </w:numPr>
        <w:spacing w:after="80" w:line="300"/>
      </w:pPr>
      <w:r>
        <w:rPr>
          <w:rFonts w:ascii="Yu Mincho" w:cs="Yu Mincho" w:eastAsia="Yu Mincho" w:hAnsi="Yu Mincho"/>
          <w:sz w:val="21"/>
          <w:szCs w:val="21"/>
        </w:rPr>
        <w:t xml:space="preserve">Beneish et al. (2012)：経営者は技術的債務不履行（technical default）に陥る前に利益増加型の利益調整を行うと同時に、株価下落を懸念して自社株を売却する。</w:t>
      </w:r>
    </w:p>
    <w:p>
      <w:pPr>
        <w:pStyle w:val="ListParagraph"/>
        <w:numPr>
          <w:ilvl w:val="0"/>
          <w:numId w:val="2"/>
        </w:numPr>
        <w:spacing w:after="80" w:line="300"/>
      </w:pPr>
      <w:r>
        <w:rPr>
          <w:rFonts w:ascii="Yu Mincho" w:cs="Yu Mincho" w:eastAsia="Yu Mincho" w:hAnsi="Yu Mincho"/>
          <w:sz w:val="21"/>
          <w:szCs w:val="21"/>
        </w:rPr>
        <w:t xml:space="preserve">Alissa et al. (2013)：期待モデルで債券格付けの期待格付けを算定し、期待格付けよりも実際の評価が低い（高い）企業の経営者は利益増加（減少）型の会計的裁量行動と実体的裁量行動を行っている。こうした利益調整を通じて実際の格付けが期待格付けに収束することも示された。</w:t>
      </w:r>
    </w:p>
    <w:p>
      <w:pPr>
        <w:pStyle w:val="ListParagraph"/>
        <w:numPr>
          <w:ilvl w:val="0"/>
          <w:numId w:val="2"/>
        </w:numPr>
        <w:spacing w:after="80" w:line="300"/>
      </w:pPr>
      <w:r>
        <w:rPr>
          <w:rFonts w:ascii="Yu Mincho" w:cs="Yu Mincho" w:eastAsia="Yu Mincho" w:hAnsi="Yu Mincho"/>
          <w:sz w:val="21"/>
          <w:szCs w:val="21"/>
        </w:rPr>
        <w:t xml:space="preserve">Jung et al. (2013)：格付けを意識している企業は利益平準化行動に従事している。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日本のケース：日本航空の財務制限条項回避（1994年）</w:t>
            </w:r>
          </w:p>
          <w:p>
            <w:pPr>
              <w:spacing w:line="300"/>
            </w:pPr>
            <w:r>
              <w:rPr>
                <w:rFonts w:ascii="Yu Mincho" w:cs="Yu Mincho" w:eastAsia="Yu Mincho" w:hAnsi="Yu Mincho"/>
                <w:sz w:val="20"/>
                <w:szCs w:val="20"/>
              </w:rPr>
              <w:t xml:space="preserve">1989年発行の転換社債には利益維持条項（3期連続経常損失で繰上償還または担保設定、ただし3期目の損失が2期目より減少しかつ純資産の10％以内なら1年間の猶予）が付されていた。日本航空は1992年から3期連続経常損失を計上したが、3期目（1994年3月期）は①社債発行費の繰延資産計上への変更（経常損失を14億1,900万円減少）、②航空機の耐用年数を税法基準から会社独自の基準への変更（経常損失を178億4,200万円減少）という2つの会計手続き変更により、条項抵触を回避した（詳細は第2章2.8節参照）。</w:t>
            </w:r>
          </w:p>
        </w:tc>
      </w:tr>
    </w:tbl>
    <w:p>
      <w:pPr>
        <w:pStyle w:val="Heading3"/>
        <w:spacing w:after="120" w:before="240"/>
      </w:pPr>
      <w:r>
        <w:t xml:space="preserve">(3) 政治費用仮説</w:t>
      </w:r>
    </w:p>
    <w:p>
      <w:pPr>
        <w:spacing w:after="140" w:line="320"/>
        <w:jc w:val="left"/>
      </w:pPr>
      <w:r>
        <w:rPr>
          <w:rFonts w:ascii="Yu Mincho" w:cs="Yu Mincho" w:eastAsia="Yu Mincho" w:hAnsi="Yu Mincho"/>
          <w:sz w:val="21"/>
          <w:szCs w:val="21"/>
        </w:rPr>
        <w:t xml:space="preserve">政治コストが大きい企業の経営者ほど利益減少型の利益調整を行う。政治的な規制（国際貿易委員会の調査年度、独占禁止法の調査年度等）の調査期間中には利益減少型の裁量的発生高を計上する（Jones, 1991；Cahan, 1992）。Han and Wang (1998)：イラク軍によるクウェート侵攻を契機に石油・ガソリン価格が高騰した際、石油精製会社は負の裁量的発生高を計上した——製品価格の異常な上昇に直面した企業は政治的圧力とそのコストを最小化する必要があった。</w:t>
      </w:r>
    </w:p>
    <w:p>
      <w:pPr>
        <w:spacing w:after="140" w:line="320"/>
        <w:jc w:val="left"/>
      </w:pPr>
      <w:r>
        <w:rPr>
          <w:rFonts w:ascii="Yu Mincho" w:cs="Yu Mincho" w:eastAsia="Yu Mincho" w:hAnsi="Yu Mincho"/>
          <w:sz w:val="21"/>
          <w:szCs w:val="21"/>
        </w:rPr>
        <w:t xml:space="preserve">金融規制と会計的裁量行動——Skinner (2008)：日本の銀行業を対象に、税効果会計基準の設定と自己資本比率規制の関係を分析。1998年度から税効果会計の適用が認められたが、この基準適用は繰延税金資産の計上を通じた資本増強という副次的効果を有していた。分析結果：自己資本比率規制の抵触回避を目的として、銀行が1990年代後半の金融危機の際に繰延税金資産を裁量的に計上していた。</w:t>
      </w:r>
    </w:p>
    <w:p>
      <w:pPr>
        <w:spacing w:after="140" w:line="320"/>
        <w:jc w:val="left"/>
      </w:pPr>
      <w:r>
        <w:rPr>
          <w:rFonts w:ascii="Yu Mincho" w:cs="Yu Mincho" w:eastAsia="Yu Mincho" w:hAnsi="Yu Mincho"/>
          <w:sz w:val="21"/>
          <w:szCs w:val="21"/>
        </w:rPr>
        <w:t xml:space="preserve">税コスト仮説：税コストを削減するために経営者は利益減少型の利益調整を行う（米国では棚卸資産の会計手続きに関して）。背景：米国の法人税法は所得税計算に財務会計とは別の会計手続きを求める傾向にあるが、例外として課税所得目的で後入先出法（LIFO）を採用した場合は財務会計でもLIFOを採用しなければならない（一般にLIFOは利益減少型の会計手続き選択）。Dopuch and Pincus (1988)：実際にLIFOを採用している企業は節税の恩恵を受けており、先入先出法（FIFO）採用企業はLIFO採用による節税メリットが小さいことを発見。</w:t>
      </w:r>
    </w:p>
    <w:p>
      <w:pPr>
        <w:spacing w:after="140" w:line="320"/>
        <w:jc w:val="left"/>
      </w:pPr>
      <w:r>
        <w:rPr>
          <w:rFonts w:ascii="Yu Mincho" w:cs="Yu Mincho" w:eastAsia="Yu Mincho" w:hAnsi="Yu Mincho"/>
          <w:sz w:val="21"/>
          <w:szCs w:val="21"/>
        </w:rPr>
        <w:t xml:space="preserve">日本企業の損失回避行動——Shuto and Iwasaki (2014/2015)：日本企業の利益水準の分布はゼロ付近で非常に顕著な不規則性を示す（6.6節）。日本特有の制度的要因がこの利益調整行動を誘引していることを明らかにした。調査結果：（1）限界税率が高い企業ほど僅かな利益を計上する、（2）銀行との結びつきが強い企業ほど僅かな利益を計上する、（3）非上場企業の方が上記（1）（2）の傾向が強くなる。</w:t>
      </w:r>
    </w:p>
    <w:p>
      <w:pPr>
        <w:pStyle w:val="Heading3"/>
        <w:spacing w:after="120" w:before="240"/>
      </w:pPr>
      <w:r>
        <w:t xml:space="preserve">(4) 経営者交代仮説</w:t>
      </w:r>
    </w:p>
    <w:p>
      <w:pPr>
        <w:spacing w:after="140" w:line="320"/>
        <w:jc w:val="left"/>
      </w:pPr>
      <w:r>
        <w:rPr>
          <w:rFonts w:ascii="Yu Mincho" w:cs="Yu Mincho" w:eastAsia="Yu Mincho" w:hAnsi="Yu Mincho"/>
          <w:sz w:val="21"/>
          <w:szCs w:val="21"/>
        </w:rPr>
        <w:t xml:space="preserve">新経営者は就任初年度に、企業業績を成長傾向に持っていくためにビッグ・バスを行う。経営者交代期における利益調整インセンティブ：前任経営者は解雇を防ぐために利益増加型の利益調整を行い、新任経営者は就任初年度に将来利益を増加させるためにビッグ・バスを行う（この業績悪化は前任経営者のせいにされる）。実証分析の結果は主に新任経営者のビッグ・バスを支持している（Strong and Meyer, 1987；Elliott and Shaw, 1988；Murphy and Zimmerman, 1993；Pourciau, 1993）。</w:t>
      </w:r>
    </w:p>
    <w:p>
      <w:pPr>
        <w:pStyle w:val="Heading2"/>
        <w:spacing w:after="160" w:before="360"/>
      </w:pPr>
      <w:r>
        <w:t xml:space="preserve">6.8　利益調整の動機②：株式市場に基づく動機</w:t>
      </w:r>
    </w:p>
    <w:p>
      <w:pPr>
        <w:pStyle w:val="Heading3"/>
        <w:spacing w:after="120" w:before="240"/>
      </w:pPr>
      <w:r>
        <w:t xml:space="preserve">(1) 新規株式公開（IPO）仮説</w:t>
      </w:r>
    </w:p>
    <w:p>
      <w:pPr>
        <w:spacing w:after="140" w:line="320"/>
        <w:jc w:val="left"/>
      </w:pPr>
      <w:r>
        <w:rPr>
          <w:rFonts w:ascii="Yu Mincho" w:cs="Yu Mincho" w:eastAsia="Yu Mincho" w:hAnsi="Yu Mincho"/>
          <w:sz w:val="21"/>
          <w:szCs w:val="21"/>
        </w:rPr>
        <w:t xml:space="preserve">IPO企業はIPO期において利益増加型の利益調整を行う。Friedlan (1994)：1981〜1984年に米国でIPOを実施した155社を分析した結果、IPO直前の会計期間において裁量的発生高を利用した利益増加型の利益調整が確認された。市場はこのような利益調整によりミスプライスしているのか？——Teoh et al. (1998a)：1980〜1992年にIPOを実施した米国企業1,649社（Jonesモデルで裁量的発生高を推定）を分析。IPO企業はIPO実施年度において有意な正の裁量的発生高を計上している。裁量的発生高の大きさで4グループに分割すると、値が大きいグループほど後の株価下落が大きい。⇒裁量的発生高を利用してIPO企業における長期投資収益率の企業間差異を説明できる可能性を示唆。</w:t>
      </w:r>
    </w:p>
    <w:p>
      <w:pPr>
        <w:pStyle w:val="Heading3"/>
        <w:spacing w:after="120" w:before="240"/>
      </w:pPr>
      <w:r>
        <w:t xml:space="preserve">(2) 公募増資（SEO）仮説</w:t>
      </w:r>
    </w:p>
    <w:p>
      <w:pPr>
        <w:spacing w:after="140" w:line="320"/>
        <w:jc w:val="left"/>
      </w:pPr>
      <w:r>
        <w:rPr>
          <w:rFonts w:ascii="Yu Mincho" w:cs="Yu Mincho" w:eastAsia="Yu Mincho" w:hAnsi="Yu Mincho"/>
          <w:sz w:val="21"/>
          <w:szCs w:val="21"/>
        </w:rPr>
        <w:t xml:space="preserve">Rangan (1998) &amp; Teoh et al. (1998b)：公募増資を行う経営者は公募価格を上昇させるために直近の財務数値に対して利益増加型の利益調整を行う（ただし市場の効率性については議論が分かれる）。Cohen and Zarowin (2010)：SEO企業の会計的裁量行動と実体的裁量行動を調査し、実施コストを勘案しながら両方の手段を利用していることを発見。利益調整企業は公募増資後に企業業績が下降するが、実体的裁量行動を利用した企業の方がより顕著である。</w:t>
      </w:r>
    </w:p>
    <w:p>
      <w:pPr>
        <w:pStyle w:val="Heading3"/>
        <w:spacing w:after="120" w:before="240"/>
      </w:pPr>
      <w:r>
        <w:t xml:space="preserve">(3) エクイティ・インセンティブ仮説</w:t>
      </w:r>
    </w:p>
    <w:p>
      <w:pPr>
        <w:spacing w:after="140" w:line="320"/>
        <w:jc w:val="left"/>
      </w:pPr>
      <w:r>
        <w:rPr>
          <w:rFonts w:ascii="Yu Mincho" w:cs="Yu Mincho" w:eastAsia="Yu Mincho" w:hAnsi="Yu Mincho"/>
          <w:sz w:val="21"/>
          <w:szCs w:val="21"/>
        </w:rPr>
        <w:t xml:space="preserve">エクイティ・インセンティブ（自社株保有やストック・オプションといった株式保有にもとづくインセンティブ）が大きな経営者は利益増加型の利益調整を行う。Cheng and Warfield (2005)：エクイティ・インセンティブが高い企業ほどアナリスト予想値を達成するための利益調整を行っており、利益公表後に自社株を売却する傾向にある。Bergstresser and Philippon (2006)：ストック・オプションを保有する企業ほど利益増加型の利益調整を行う。</w:t>
      </w:r>
    </w:p>
    <w:p>
      <w:pPr>
        <w:pStyle w:val="Heading3"/>
        <w:spacing w:after="120" w:before="240"/>
      </w:pPr>
      <w:r>
        <w:t xml:space="preserve">(4) マネジメント・バイアウト（MBO）仮説</w:t>
      </w:r>
    </w:p>
    <w:p>
      <w:pPr>
        <w:spacing w:after="140" w:line="320"/>
        <w:jc w:val="left"/>
      </w:pPr>
      <w:r>
        <w:rPr>
          <w:rFonts w:ascii="Yu Mincho" w:cs="Yu Mincho" w:eastAsia="Yu Mincho" w:hAnsi="Yu Mincho"/>
          <w:sz w:val="21"/>
          <w:szCs w:val="21"/>
        </w:rPr>
        <w:t xml:space="preserve">MBOを目論む経営者は利益減少型の利益調整を行う。Perry and Williams (1994)：1981〜1988年にMBOを行った175社を分析した結果、MBO実施企業はMBO公表前に裁量的発生高を有意に減少させている一方、対象となっていないコントロール企業には有意な減少が観察されない。⇒MBOを目論む経営者は戦略的に報告利益を減少させ、株価を引き下げることで買収価格を小さくしようとした。</w:t>
      </w:r>
    </w:p>
    <w:p>
      <w:pPr>
        <w:pStyle w:val="Heading3"/>
        <w:spacing w:after="120" w:before="240"/>
      </w:pPr>
      <w:r>
        <w:t xml:space="preserve">(5) M&amp;A仮説</w:t>
      </w:r>
    </w:p>
    <w:p>
      <w:pPr>
        <w:spacing w:after="140" w:line="320"/>
        <w:jc w:val="left"/>
      </w:pPr>
      <w:r>
        <w:rPr>
          <w:rFonts w:ascii="Yu Mincho" w:cs="Yu Mincho" w:eastAsia="Yu Mincho" w:hAnsi="Yu Mincho"/>
          <w:sz w:val="21"/>
          <w:szCs w:val="21"/>
        </w:rPr>
        <w:t xml:space="preserve">企業買収を行う企業は、交換比率などの買収条件を有利にするために利益増加型の利益調整を行う（Louis, 2004；Gong et al., 2008）。</w:t>
      </w:r>
    </w:p>
    <w:p>
      <w:pPr>
        <w:pStyle w:val="Heading3"/>
        <w:spacing w:after="120" w:before="240"/>
      </w:pPr>
      <w:r>
        <w:t xml:space="preserve">(6) 利益ベンチマーク仮説</w:t>
      </w:r>
    </w:p>
    <w:p>
      <w:pPr>
        <w:spacing w:after="140" w:line="320"/>
        <w:jc w:val="left"/>
      </w:pPr>
      <w:r>
        <w:rPr>
          <w:rFonts w:ascii="Yu Mincho" w:cs="Yu Mincho" w:eastAsia="Yu Mincho" w:hAnsi="Yu Mincho"/>
          <w:sz w:val="21"/>
          <w:szCs w:val="21"/>
        </w:rPr>
        <w:t xml:space="preserve">損失回避、減益回避、アナリスト予想利益または経営者予想利益を達成するために利益調整を行う。この仮説は6.6節の利益分布アプローチの理論的背景そのものであり、Burgstahler and Dichev (1997)、Degeorge et al. (1999) の研究に対応する。</w:t>
      </w:r>
    </w:p>
    <w:p>
      <w:pPr>
        <w:pStyle w:val="Heading2"/>
        <w:spacing w:after="160" w:before="360"/>
      </w:pPr>
      <w:r>
        <w:t xml:space="preserve">6.9　利益調整の決定要因</w:t>
      </w:r>
    </w:p>
    <w:p>
      <w:pPr>
        <w:spacing w:after="140" w:line="320"/>
        <w:jc w:val="left"/>
      </w:pPr>
      <w:r>
        <w:rPr>
          <w:rFonts w:ascii="Yu Mincho" w:cs="Yu Mincho" w:eastAsia="Yu Mincho" w:hAnsi="Yu Mincho"/>
          <w:sz w:val="21"/>
          <w:szCs w:val="21"/>
        </w:rPr>
        <w:t xml:space="preserve">エンロン事件等の会計不正の発生により、利益調整を抑制または促進する要因の解明が会計学研究に期待されるようになった。以下の5つの視点から整理する：（1）取締役会の構成、（2）監査、（3）株式所有構造、（4）公開企業と非公開企業、（5）SOX法。</w:t>
      </w:r>
    </w:p>
    <w:p>
      <w:pPr>
        <w:pStyle w:val="Heading3"/>
        <w:spacing w:after="120" w:before="240"/>
      </w:pPr>
      <w:r>
        <w:t xml:space="preserve">(1) 取締役会の構成</w:t>
      </w:r>
    </w:p>
    <w:p>
      <w:pPr>
        <w:spacing w:after="140" w:line="320"/>
        <w:jc w:val="left"/>
      </w:pPr>
      <w:r>
        <w:rPr>
          <w:rFonts w:ascii="Yu Mincho" w:cs="Yu Mincho" w:eastAsia="Yu Mincho" w:hAnsi="Yu Mincho"/>
          <w:sz w:val="21"/>
          <w:szCs w:val="21"/>
        </w:rPr>
        <w:t xml:space="preserve">近年の会計研究で注目される取締役の属性は①独立性と②専門性である。取締役の独立性：一般に、（1）親会社出身、（2）その他関係会社出身、（3）自社の大株主、（4）自社等の業務執行者の配偶者・三親等以内の親族、（5）親会社等から役員報酬を受けている、といった関係を持たない社外監査役（社外取締役）が独立性の高い取締役とされる（従来のいわゆる社外取締役とは異なる）。東京証券取引所は2008年より独立取締役を少なくとも一人以上採用することを規定した。取締役の専門性は過去の職歴等（会計、財務、企業経営、法律の専門）により判断される。これらの情報はコーポレート・ガバナンス報告書から把握可能である。</w:t>
      </w:r>
    </w:p>
    <w:p>
      <w:pPr>
        <w:pStyle w:val="ListParagraph"/>
        <w:numPr>
          <w:ilvl w:val="0"/>
          <w:numId w:val="2"/>
        </w:numPr>
        <w:spacing w:after="80" w:line="300"/>
      </w:pPr>
      <w:r>
        <w:rPr>
          <w:rFonts w:ascii="Yu Mincho" w:cs="Yu Mincho" w:eastAsia="Yu Mincho" w:hAnsi="Yu Mincho"/>
          <w:sz w:val="21"/>
          <w:szCs w:val="21"/>
        </w:rPr>
        <w:t xml:space="preserve">Klein (2002)：外部取締役の資本関係・株主構成等を精査して真に独立性の高い取締役を識別し、取締役会・監査委員会の独立性が相対的に高い企業ほど利益調整が抑制されることを明らかにした。</w:t>
      </w:r>
    </w:p>
    <w:p>
      <w:pPr>
        <w:pStyle w:val="ListParagraph"/>
        <w:numPr>
          <w:ilvl w:val="0"/>
          <w:numId w:val="2"/>
        </w:numPr>
        <w:spacing w:after="80" w:line="300"/>
      </w:pPr>
      <w:r>
        <w:rPr>
          <w:rFonts w:ascii="Yu Mincho" w:cs="Yu Mincho" w:eastAsia="Yu Mincho" w:hAnsi="Yu Mincho"/>
          <w:sz w:val="21"/>
          <w:szCs w:val="21"/>
        </w:rPr>
        <w:t xml:space="preserve">Xie et al. (2003)：企業経営・会計財務の専門能力が高い取締役の構成割合が高い企業ほど裁量的発生高が相対的に小さくなる。</w:t>
      </w:r>
    </w:p>
    <w:p>
      <w:pPr>
        <w:pStyle w:val="ListParagraph"/>
        <w:numPr>
          <w:ilvl w:val="0"/>
          <w:numId w:val="2"/>
        </w:numPr>
        <w:spacing w:after="80" w:line="300"/>
      </w:pPr>
      <w:r>
        <w:rPr>
          <w:rFonts w:ascii="Yu Mincho" w:cs="Yu Mincho" w:eastAsia="Yu Mincho" w:hAnsi="Yu Mincho"/>
          <w:sz w:val="21"/>
          <w:szCs w:val="21"/>
        </w:rPr>
        <w:t xml:space="preserve">Krishnan et al. (2011)：法律関係の専門家が監査委員会にいる企業ほど利益の質が高く、その効果はSOX法適用後により高まっている。</w:t>
      </w:r>
    </w:p>
    <w:p>
      <w:pPr>
        <w:pStyle w:val="Heading3"/>
        <w:spacing w:after="120" w:before="240"/>
      </w:pPr>
      <w:r>
        <w:t xml:space="preserve">(2) 監査</w:t>
      </w:r>
    </w:p>
    <w:p>
      <w:pPr>
        <w:spacing w:after="140" w:line="320"/>
        <w:jc w:val="left"/>
      </w:pPr>
      <w:r>
        <w:rPr>
          <w:rFonts w:ascii="Yu Mincho" w:cs="Yu Mincho" w:eastAsia="Yu Mincho" w:hAnsi="Yu Mincho"/>
          <w:sz w:val="21"/>
          <w:szCs w:val="21"/>
        </w:rPr>
        <w:t xml:space="preserve">外部監査は財務諸表の誤謬・不正を軽減することが期待されるため、監査の質も利益調整行動に影響を与える。監査人の努力水準・品質の測定は困難であるため、先行研究では複数の代理変数（①監査に従事する時間、②業種の専門的知識［industry expertise］、③監査法人の規模、④監査報酬・非監査業務報酬の大きさ、⑤監査期間［auditor tenure］）が用いられてきた。①〜③は利益調整の程度と負の関連性を有する（Caramanis and Lennox, 2008；Krishnan, 2003；Francis and Yu, 2009）。④⑤については先行研究間で結果が一貫していない（Johnson et al., 2002；Chen et al., 2008；Frankel et al., 2002；Ashbaugh et al., 2003；Gul et al., 2003；Ferguson et al., 2004；Larcker and Richardson, 2004）。Burnett et al. (2012)：業種の専門的知識を監査の質の代理変数として用い、質の高い監査を受けている企業ほど、アナリスト予想値達成のために会計的裁量行動ではなく実体的裁量行動を利用していることを発見。</w:t>
      </w:r>
    </w:p>
    <w:p>
      <w:pPr>
        <w:pStyle w:val="Heading3"/>
        <w:spacing w:after="120" w:before="240"/>
      </w:pPr>
      <w:r>
        <w:t xml:space="preserve">(3) 株式所有構造</w:t>
      </w:r>
    </w:p>
    <w:p>
      <w:pPr>
        <w:pStyle w:val="ListParagraph"/>
        <w:numPr>
          <w:ilvl w:val="0"/>
          <w:numId w:val="2"/>
        </w:numPr>
        <w:spacing w:after="80" w:line="300"/>
      </w:pPr>
      <w:r>
        <w:rPr>
          <w:rFonts w:ascii="Yu Mincho" w:cs="Yu Mincho" w:eastAsia="Yu Mincho" w:hAnsi="Yu Mincho"/>
          <w:sz w:val="21"/>
          <w:szCs w:val="21"/>
        </w:rPr>
        <w:t xml:space="preserve">経営者による株式所有：経営者の株式保有は経営努力へのインセンティブを高め利益調整を抑制するが（Warfield et al., 1995）、過度の保有はむしろ利益調整を助長する可能性がある（Teshima and Shuto, 2008）。</w:t>
      </w:r>
    </w:p>
    <w:p>
      <w:pPr>
        <w:pStyle w:val="ListParagraph"/>
        <w:numPr>
          <w:ilvl w:val="0"/>
          <w:numId w:val="2"/>
        </w:numPr>
        <w:spacing w:after="80" w:line="300"/>
      </w:pPr>
      <w:r>
        <w:rPr>
          <w:rFonts w:ascii="Yu Mincho" w:cs="Yu Mincho" w:eastAsia="Yu Mincho" w:hAnsi="Yu Mincho"/>
          <w:sz w:val="21"/>
          <w:szCs w:val="21"/>
        </w:rPr>
        <w:t xml:space="preserve">機関投資家による株式保有：モニタリング能力の高い機関投資家による保有は利益調整を抑制する（Chung et al., 2002）が、短期売買を主体とする機関投資家の保有は短期の利益追求を促すため利益調整を助長する（Bushee, 1998；Ayers et al., 2011）。</w:t>
      </w:r>
    </w:p>
    <w:p>
      <w:pPr>
        <w:pStyle w:val="ListParagraph"/>
        <w:numPr>
          <w:ilvl w:val="0"/>
          <w:numId w:val="2"/>
        </w:numPr>
        <w:spacing w:after="80" w:line="300"/>
      </w:pPr>
      <w:r>
        <w:rPr>
          <w:rFonts w:ascii="Yu Mincho" w:cs="Yu Mincho" w:eastAsia="Yu Mincho" w:hAnsi="Yu Mincho"/>
          <w:sz w:val="21"/>
          <w:szCs w:val="21"/>
        </w:rPr>
        <w:t xml:space="preserve">支配株主・創業者一族：これらが存在する企業は機会主義的な行動が顕著になる傾向があり、利益調整を通じた利益の質が悪化する（Haw et al., 2004；Kim and Yi, 2006）。</w:t>
      </w:r>
    </w:p>
    <w:p>
      <w:pPr>
        <w:pStyle w:val="Heading3"/>
        <w:spacing w:after="120" w:before="240"/>
      </w:pPr>
      <w:r>
        <w:t xml:space="preserve">(4) 公開企業と非公開企業</w:t>
      </w:r>
    </w:p>
    <w:p>
      <w:pPr>
        <w:spacing w:after="140" w:line="320"/>
        <w:jc w:val="left"/>
      </w:pPr>
      <w:r>
        <w:rPr>
          <w:rFonts w:ascii="Yu Mincho" w:cs="Yu Mincho" w:eastAsia="Yu Mincho" w:hAnsi="Yu Mincho"/>
          <w:sz w:val="21"/>
          <w:szCs w:val="21"/>
        </w:rPr>
        <w:t xml:space="preserve">利益調整に与える影響については2つの相反する予測がある：（1）公開企業は株主・債権者から高い利益の質を要求されるため利益調整が抑制される、（2）公開企業は株式市場を中心とした様々な利益調整インセンティブが高まるため利益調整が活発になる。Burgstahler et al. (2006)：EU13ヵ国をサンプルに（1）を支持する結果——非公開会社の方が利益調整水準が高いことを示した（ただし各国の法制度は公開・非公開を問わず利益調整を抑制する）。Givoly et al. (2010)：利益の質を多角的に分析し（2）を支持する結果——公開企業は利益調整に積極的で非公開企業の利益の質の方が相対的に高い。Beatty et al. (2002)（銀行対象）とBeaver et al. (2003)（損害保険会社対象）も（2）を支持し、非公開企業よりも公開企業の利益調整が顕著となる結果を提示している。</w:t>
      </w:r>
    </w:p>
    <w:p>
      <w:pPr>
        <w:pStyle w:val="Heading3"/>
        <w:spacing w:after="120" w:before="240"/>
      </w:pPr>
      <w:r>
        <w:t xml:space="preserve">(5) SOX法（サーベンス・オクスリー法）</w:t>
      </w:r>
    </w:p>
    <w:p>
      <w:pPr>
        <w:spacing w:after="140" w:line="320"/>
        <w:jc w:val="left"/>
      </w:pPr>
      <w:r>
        <w:rPr>
          <w:rFonts w:ascii="Yu Mincho" w:cs="Yu Mincho" w:eastAsia="Yu Mincho" w:hAnsi="Yu Mincho"/>
          <w:sz w:val="21"/>
          <w:szCs w:val="21"/>
        </w:rPr>
        <w:t xml:space="preserve">米国では、エンロン事件やワールド・コム事件などの一連の不正会計問題に対処するため、2002年にSOX法（Sarbanes-Oxley Act）が制定された。全11章（69条文）から構成され、監査人の独立性、会社の責任、財務ディスクロージャーの強化、ホワイトカラー犯罪に対する罰則強化などを規定する。会計上論点となる主要項目は、内部統制（第404条：内部統制に対する経営者の評価とその評価に対する監査人の監査を要求）と監査人の独立性（第2章・第407条：監査委員会の独立性・専門性を要求）である。SOX法により公開会社会計監視委員会（PCAOB）が設置された。</w:t>
      </w:r>
    </w:p>
    <w:p>
      <w:pPr>
        <w:spacing w:after="140" w:line="320"/>
        <w:jc w:val="left"/>
      </w:pPr>
      <w:r>
        <w:rPr>
          <w:rFonts w:ascii="Yu Mincho" w:cs="Yu Mincho" w:eastAsia="Yu Mincho" w:hAnsi="Yu Mincho"/>
          <w:sz w:val="21"/>
          <w:szCs w:val="21"/>
        </w:rPr>
        <w:t xml:space="preserve">SOX法制定後は利益調整、とりわけ会計的裁量行動は容易に実施できなくなったことが予想される。Cohen et al. (2008)：SOX法施行前後で会計的裁量行動が減少し実体的裁量行動が増加していることを示した。Koh et al. (2008)：エンロン事件前後のアナリスト予想値達成のための裁量行動に注目し、アナリスト予想値達成のための裁量的発生高を利用した利益調整は減少する一方、予想利益を下げる期待マネジメントが増加していることを示した。⇒SOX法の影響で利益調整の手段が会計的裁量行動から他の手段へ移行していることが示唆される。</w:t>
      </w:r>
    </w:p>
    <w:p>
      <w:pPr>
        <w:spacing w:after="140" w:line="320"/>
        <w:jc w:val="left"/>
      </w:pPr>
      <w:r>
        <w:rPr>
          <w:rFonts w:ascii="Yu Mincho" w:cs="Yu Mincho" w:eastAsia="Yu Mincho" w:hAnsi="Yu Mincho"/>
          <w:sz w:val="21"/>
          <w:szCs w:val="21"/>
        </w:rPr>
        <w:t xml:space="preserve">内部統制の欠陥（weakness）・不備（deficiency）に関する研究：Ashbaugh-Skaife et al. (2007) は内部統制強制適用前の失敗（failure）の決定要因を調査し、複雑な事業内容・組織再編・会計リスク・監査人の交代・内部統制への資源配分不足が要因であることを示した。Doyle et al. (2007a) は内部統制の欠陥を開示した企業に、小規模・設立年数の若さ・財務困窮・複雑な事業形態・急成長または事業再構築の実施といった傾向を確認した。Ashbaugh-Skaife et al. (2008) は内部統制の不備を開示した企業は会計発生高の質が悪いこと、監査人の意見が変更（改善）された場合は会計発生高の質も改善することを示した。</w:t>
      </w:r>
    </w:p>
    <w:p>
      <w:pPr>
        <w:pStyle w:val="Heading2"/>
        <w:spacing w:after="160" w:before="360"/>
      </w:pPr>
      <w:r>
        <w:t xml:space="preserve">6.10　利益調整の経済的帰結①：会計発生高の情報内容</w:t>
      </w:r>
    </w:p>
    <w:p>
      <w:pPr>
        <w:spacing w:after="140" w:line="320"/>
        <w:jc w:val="left"/>
      </w:pPr>
      <w:r>
        <w:rPr>
          <w:rFonts w:ascii="Yu Mincho" w:cs="Yu Mincho" w:eastAsia="Yu Mincho" w:hAnsi="Yu Mincho"/>
          <w:sz w:val="21"/>
          <w:szCs w:val="21"/>
        </w:rPr>
        <w:t xml:space="preserve">利益調整は、株価形成、訴訟確率、投資行動、資本コスト等の経済的帰結を生むことが検証されている。本節では株価形成に焦点を絞る。第4章で会計利益と株価の間には相関関係があることを確認したが、会計利益の構成要素である会計発生高（裁量的発生高）は投資家にどのように評価されているのだろうか——有用な情報か、それともノイズか。</w:t>
      </w:r>
    </w:p>
    <w:p>
      <w:pPr>
        <w:pStyle w:val="Heading3"/>
        <w:spacing w:after="120" w:before="240"/>
      </w:pPr>
      <w:r>
        <w:t xml:space="preserve">Dechow (1994)</w:t>
      </w:r>
    </w:p>
    <w:p>
      <w:pPr>
        <w:spacing w:after="140" w:line="320"/>
        <w:jc w:val="left"/>
      </w:pPr>
      <w:r>
        <w:rPr>
          <w:rFonts w:ascii="Yu Mincho" w:cs="Yu Mincho" w:eastAsia="Yu Mincho" w:hAnsi="Yu Mincho"/>
          <w:sz w:val="21"/>
          <w:szCs w:val="21"/>
        </w:rPr>
        <w:t xml:space="preserve">会計利益とキャッシュフローの株式リターンに対する説明力を比較検証。会計利益の説明力がキャッシュフローを上回っていれば会計発生高に情報内容があることを示唆する。分析モデル：超過リターン＝α＋β一株当たり利益＋ε／超過リターン＝α＋β一株当たり営業キャッシュ・フロー＋ε。サンプル：1980〜1989年のNYSEおよびASE上場企業（観測値数5,175〜19,733件）。主要な結果：（1）会計利益の株式リターンに対する説明力は調査期間の長短にかかわらず営業キャッシュ・フローより有意に大きい、（2）会計利益に占める会計発生高の割合が大きくなるほど会計利益のリターン説明力はキャッシュ・フローを大きく上回る。解釈：発生主義会計で計算される会計利益は、キャッシュフロー会計で生じるマッチング問題（収益と費用の期間対応が不適切）とタイミング問題（収益と費用の認識時点が不適切）を緩和しており、会計発生高がその役割を果たしている。</w:t>
      </w:r>
    </w:p>
    <w:p>
      <w:pPr>
        <w:pStyle w:val="Heading3"/>
        <w:spacing w:after="120" w:before="240"/>
      </w:pPr>
      <w:r>
        <w:t xml:space="preserve">Subramanyam (1996)</w:t>
      </w:r>
    </w:p>
    <w:p>
      <w:pPr>
        <w:spacing w:after="140" w:line="320"/>
        <w:jc w:val="left"/>
      </w:pPr>
      <w:r>
        <w:rPr>
          <w:rFonts w:ascii="Yu Mincho" w:cs="Yu Mincho" w:eastAsia="Yu Mincho" w:hAnsi="Yu Mincho"/>
          <w:sz w:val="21"/>
          <w:szCs w:val="21"/>
        </w:rPr>
        <w:t xml:space="preserve">裁量的発生高と株式リターンの関係を調査。当期純利益を①営業キャッシュ・フロー、②会計発生高、③非裁量的利益、④裁量的発生高、⑤非裁量的発生高の5要素に分解し、年次リターンとの関係を分析。サンプル：1973〜1993年の金融機関以外の企業2,808社（延べ21,135件）。主要な結果：（1）当期純利益のリターン説明力が営業キャッシュフローと非裁量的利益よりも有意に大きい、（2）非裁量的利益を所与としても裁量的発生高に追加的なリターン説明力がある、（3）営業キャッシュ・フローと非裁量的発生高を所与としても裁量的発生高に追加的なリターン説明力がある。⇒裁量的発生高には追加的な情報内容があり、会計利益の株式リターン説明力を改善している。解釈：裁量的発生高には将来利益・将来配当の予測能力が備わっている。</w:t>
      </w:r>
    </w:p>
    <w:p>
      <w:pPr>
        <w:pStyle w:val="Heading2"/>
        <w:spacing w:after="160" w:before="360"/>
      </w:pPr>
      <w:r>
        <w:t xml:space="preserve">6.11　利益調整の経済的帰結②：会計発生高アノマリー</w:t>
      </w:r>
    </w:p>
    <w:p>
      <w:pPr>
        <w:spacing w:after="140" w:line="320"/>
        <w:jc w:val="left"/>
      </w:pPr>
      <w:r>
        <w:rPr>
          <w:rFonts w:ascii="Yu Mincho" w:cs="Yu Mincho" w:eastAsia="Yu Mincho" w:hAnsi="Yu Mincho"/>
          <w:sz w:val="21"/>
          <w:szCs w:val="21"/>
        </w:rPr>
        <w:t xml:space="preserve">Question：投資家が裁量的発生高の影響を把握しておらず、利益の質を誤って評価しているのではないか（ミスプライスされた証券の存在）？——この視点から、会計発生高を活用した証券投資戦略の有効性を実証した研究が始ま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会計発生高アノマリー</w:t>
            </w:r>
          </w:p>
          <w:p>
            <w:pPr>
              <w:spacing w:line="300"/>
            </w:pPr>
            <w:r>
              <w:rPr>
                <w:rFonts w:ascii="Yu Mincho" w:cs="Yu Mincho" w:eastAsia="Yu Mincho" w:hAnsi="Yu Mincho"/>
                <w:sz w:val="20"/>
                <w:szCs w:val="20"/>
              </w:rPr>
              <w:t xml:space="preserve">Sloan (1996) は、会計発生高が利益の持続性に与える影響を考慮し、会計発生高にもとづく投資戦略の有効性を例証した。株式市場は会計発生高という一般に利用可能な情報を完全に反映しておらず、将来にわたって異常リターンの獲得が可能であるという点で、効率的市場仮説の考え方と一致しない。</w:t>
            </w:r>
          </w:p>
        </w:tc>
      </w:tr>
    </w:tbl>
    <w:p>
      <w:pPr>
        <w:pStyle w:val="Heading3"/>
        <w:spacing w:after="120" w:before="240"/>
      </w:pPr>
      <w:r>
        <w:t xml:space="preserve">Sloan (1996)</w:t>
      </w:r>
    </w:p>
    <w:p>
      <w:pPr>
        <w:spacing w:after="140" w:line="320"/>
        <w:jc w:val="left"/>
      </w:pPr>
      <w:r>
        <w:rPr>
          <w:rFonts w:ascii="Yu Mincho" w:cs="Yu Mincho" w:eastAsia="Yu Mincho" w:hAnsi="Yu Mincho"/>
          <w:sz w:val="21"/>
          <w:szCs w:val="21"/>
        </w:rPr>
        <w:t xml:space="preserve">利益の持続性と会計発生高の関係を分析し、会計発生高を利用した証券投資戦略の有効性を実証した。分析視点：（1）当期の利益業績の持続性は、利益の中で会計発生高の占める割合が大きくなると低下し、キャッシュフローの占める割合が大きくなると向上する。（2）相対的に少ない会計発生高を報告している企業の株式を購入し、相対的に大きい発生高を報告している企業の株式を空売りする投資戦略は正の超過リターンをもたらす。サンプル：1962〜1991年、40,769観測値。</w:t>
      </w:r>
    </w:p>
    <w:p>
      <w:pPr>
        <w:spacing w:after="140" w:line="320"/>
        <w:jc w:val="left"/>
      </w:pPr>
      <w:r>
        <w:rPr>
          <w:rFonts w:ascii="Yu Mincho" w:cs="Yu Mincho" w:eastAsia="Yu Mincho" w:hAnsi="Yu Mincho"/>
          <w:sz w:val="21"/>
          <w:szCs w:val="21"/>
        </w:rPr>
        <w:t xml:space="preserve">分析方法（視点2）：（1）t期の会計発生高（TA）の大きさで十分位数の株式ポートフォリオを作成（第1十分位＝TA最小、第10十分位＝TA最大）。（2）決算日から4ヵ月後に第1十分位ポートフォリオを購入し第10十分位ポートフォリオを空売りするロング・ショート・ポートフォリオ戦略を実施。（3）1年間保有と仮定し、規模調整済みの超過リターンを計算。</w:t>
      </w:r>
    </w:p>
    <w:p>
      <w:pPr>
        <w:spacing w:after="140" w:line="320"/>
        <w:jc w:val="left"/>
      </w:pPr>
      <w:r>
        <w:rPr>
          <w:rFonts w:ascii="Yu Mincho" w:cs="Yu Mincho" w:eastAsia="Yu Mincho" w:hAnsi="Yu Mincho"/>
          <w:sz w:val="21"/>
          <w:szCs w:val="21"/>
        </w:rPr>
        <w:t xml:space="preserve">主要な調査結果：視点1（利益の持続性）を支持する結果が得られた（t+1期の利益をt期の会計発生高で回帰するモデルで検証）。視点2（投資戦略）では、調査対象期間の平均超過リターンは10.4％。解釈：戦略時点で会計発生高が多く利益の持続性が小さい企業の株式を投資家は過大評価し、会計発生高が少なく利益の持続性が大きい企業の株式を過小評価している。次期利益公表前後で価格修正が行われ、第1十分位ポートフォリオの価格は上昇し第10十分位ポートフォリオの価格は下落した。⇒投資家が利益の持続性（利益の質）を分析せず、表面的な利益の額だけで企業を評価した結果（Sloan, 1996, p.290）。</w:t>
      </w:r>
    </w:p>
    <w:p>
      <w:pPr>
        <w:pStyle w:val="Heading3"/>
        <w:spacing w:after="120" w:before="240"/>
      </w:pPr>
      <w:r>
        <w:t xml:space="preserve">後続研究</w:t>
      </w:r>
    </w:p>
    <w:p>
      <w:pPr>
        <w:pStyle w:val="ListParagraph"/>
        <w:numPr>
          <w:ilvl w:val="0"/>
          <w:numId w:val="2"/>
        </w:numPr>
        <w:spacing w:after="80" w:line="300"/>
      </w:pPr>
      <w:r>
        <w:rPr>
          <w:rFonts w:ascii="Yu Mincho" w:cs="Yu Mincho" w:eastAsia="Yu Mincho" w:hAnsi="Yu Mincho"/>
          <w:sz w:val="21"/>
          <w:szCs w:val="21"/>
        </w:rPr>
        <w:t xml:space="preserve">Xie (2001)：Sloan (1996) を展開し、会計発生高ではなく裁量的発生高（クロスセクション型ジョーンズ・モデルで推定）にもとづく投資戦略を検証。サンプル：1971〜1992年、7,506社56,692観測値。1年間バイ・アンド・ホールドで11％、2年間で7.4％の超過リターンが観察された（非裁量的発生高のポートフォリオでは統計的に有意な超過リターンは得られなかった）。→裁量的発生高が大きい企業を投資家は過大評価し、小さい企業を過小評価している。</w:t>
      </w:r>
    </w:p>
    <w:p>
      <w:pPr>
        <w:pStyle w:val="ListParagraph"/>
        <w:numPr>
          <w:ilvl w:val="0"/>
          <w:numId w:val="2"/>
        </w:numPr>
        <w:spacing w:after="80" w:line="300"/>
      </w:pPr>
      <w:r>
        <w:rPr>
          <w:rFonts w:ascii="Yu Mincho" w:cs="Yu Mincho" w:eastAsia="Yu Mincho" w:hAnsi="Yu Mincho"/>
          <w:sz w:val="21"/>
          <w:szCs w:val="21"/>
        </w:rPr>
        <w:t xml:space="preserve">Chan et al. (2006)：会計発生高の構成要素（①仕入債務、②棚卸資産、③他の流動資産、④売上債権、⑤他の流動負債）に注目し将来リターンとの関係を分析。サンプル：1971〜1995年。1年間ロング・ショート戦略の超過リターンは、会計発生高全体で7.4％、棚卸資産発生高で7.2％と特に高く、棚卸資産発生高の裁量部分に絞ると超過リターンは9.1％に達し、裁量的発生高全体（7.4％）を上回った。⇒将来リターンを予測する上で棚卸資産が果たす役割は極めて大きい。</w:t>
      </w:r>
    </w:p>
    <w:p>
      <w:pPr>
        <w:pStyle w:val="ListParagraph"/>
        <w:numPr>
          <w:ilvl w:val="0"/>
          <w:numId w:val="2"/>
        </w:numPr>
        <w:spacing w:after="80" w:line="300"/>
      </w:pPr>
      <w:r>
        <w:rPr>
          <w:rFonts w:ascii="Yu Mincho" w:cs="Yu Mincho" w:eastAsia="Yu Mincho" w:hAnsi="Yu Mincho"/>
          <w:sz w:val="21"/>
          <w:szCs w:val="21"/>
        </w:rPr>
        <w:t xml:space="preserve">Richardson et al. (2005)：会計発生高をΔWC（非現金運転資本の変化）、ΔNCO（純非流動営業資産の変化）、ΔFIN（純金融資産の変化）に分解し、信頼性にもとづく分類を提示。検証結果：（1）信頼性の低い会計発生高は利益の持続性が低い、（2）株式市場は会計発生高の信頼性を理解せず投資しており、特に信頼性の低い会計発生高へのミスプライシングが顕著。</w:t>
      </w:r>
    </w:p>
    <w:p>
      <w:pPr>
        <w:pStyle w:val="ListParagraph"/>
        <w:numPr>
          <w:ilvl w:val="0"/>
          <w:numId w:val="2"/>
        </w:numPr>
        <w:spacing w:after="80" w:line="300"/>
      </w:pPr>
      <w:r>
        <w:rPr>
          <w:rFonts w:ascii="Yu Mincho" w:cs="Yu Mincho" w:eastAsia="Yu Mincho" w:hAnsi="Yu Mincho"/>
          <w:sz w:val="21"/>
          <w:szCs w:val="21"/>
        </w:rPr>
        <w:t xml:space="preserve">会計アノマリーの代替的な解釈として、企業の成長性・事業投資の水準に帰する説明も提示されている（Fairfield et al., 2003；Hirshleifer et al., 2004；Zhang, 2007；Dechow et al., 2008；Wu et al., 2010）。また近年の米国の研究によれば、2000年代後半に会計発生高アノマリーが消滅しており、その理由の探求も進められている。</w:t>
      </w:r>
    </w:p>
    <w:p>
      <w:pPr>
        <w:pStyle w:val="Heading3"/>
        <w:spacing w:after="120" w:before="240"/>
      </w:pPr>
      <w:r>
        <w:t xml:space="preserve">日本企業を対象とした研究</w:t>
      </w:r>
    </w:p>
    <w:p>
      <w:pPr>
        <w:pStyle w:val="ListParagraph"/>
        <w:numPr>
          <w:ilvl w:val="0"/>
          <w:numId w:val="2"/>
        </w:numPr>
        <w:spacing w:after="80" w:line="300"/>
      </w:pPr>
      <w:r>
        <w:rPr>
          <w:rFonts w:ascii="Yu Mincho" w:cs="Yu Mincho" w:eastAsia="Yu Mincho" w:hAnsi="Yu Mincho"/>
          <w:sz w:val="21"/>
          <w:szCs w:val="21"/>
        </w:rPr>
        <w:t xml:space="preserve">浅野（2001）：Subramanyam (1996) の研究を日本企業に適用し、米国同様に裁量的発生高に追加的な情報内容があることを示した。</w:t>
      </w:r>
    </w:p>
    <w:p>
      <w:pPr>
        <w:pStyle w:val="ListParagraph"/>
        <w:numPr>
          <w:ilvl w:val="0"/>
          <w:numId w:val="2"/>
        </w:numPr>
        <w:spacing w:after="80" w:line="300"/>
      </w:pPr>
      <w:r>
        <w:rPr>
          <w:rFonts w:ascii="Yu Mincho" w:cs="Yu Mincho" w:eastAsia="Yu Mincho" w:hAnsi="Yu Mincho"/>
          <w:sz w:val="21"/>
          <w:szCs w:val="21"/>
        </w:rPr>
        <w:t xml:space="preserve">浅野（2002）：Sloan (1996) に従った調査で、会計発生高のロング・ショート・ポートフォリオにより1年間に6％の超過リターンを獲得できることを示した。</w:t>
      </w:r>
    </w:p>
    <w:p>
      <w:pPr>
        <w:pStyle w:val="ListParagraph"/>
        <w:numPr>
          <w:ilvl w:val="0"/>
          <w:numId w:val="2"/>
        </w:numPr>
        <w:spacing w:after="80" w:line="300"/>
      </w:pPr>
      <w:r>
        <w:rPr>
          <w:rFonts w:ascii="Yu Mincho" w:cs="Yu Mincho" w:eastAsia="Yu Mincho" w:hAnsi="Yu Mincho"/>
          <w:sz w:val="21"/>
          <w:szCs w:val="21"/>
        </w:rPr>
        <w:t xml:space="preserve">榎本（2003）：会計発生高を分割し、裁量的運転資本発生高と将来リターンに有意な負の関連性があることを示した。</w:t>
      </w:r>
    </w:p>
    <w:p>
      <w:pPr>
        <w:pStyle w:val="ListParagraph"/>
        <w:numPr>
          <w:ilvl w:val="0"/>
          <w:numId w:val="2"/>
        </w:numPr>
        <w:spacing w:after="80" w:line="300"/>
      </w:pPr>
      <w:r>
        <w:rPr>
          <w:rFonts w:ascii="Yu Mincho" w:cs="Yu Mincho" w:eastAsia="Yu Mincho" w:hAnsi="Yu Mincho"/>
          <w:sz w:val="21"/>
          <w:szCs w:val="21"/>
        </w:rPr>
        <w:t xml:space="preserve">Kubota, Suda and Takehara (2006)：Xie (2001) 等にもとづき日本企業（1980〜2002年、金融業を除く東証1部上場企業、延べ16,181観測値）を分析。会計発生高（平均月次超過リターン0.23％、年間2.8％）、流動資産項目発生高（同0.35％、年間4.2％）、裁量的発生高（同0.28％、年間3.3％）のいずれも超過リターンを獲得できることを確認（ただし発行済株式時価総額［LnMV］と純資産株価倍率［BPR］のロング・ショート・ポートフォリオはさらに大きな超過リターンを獲得しており、これらの投資スタイルを考慮しても会計発生高由来の超過リターンは獲得可能）。</w:t>
      </w:r>
    </w:p>
    <w:p>
      <w:pPr>
        <w:pStyle w:val="Heading2"/>
        <w:spacing w:after="160" w:before="360"/>
      </w:pPr>
      <w:r>
        <w:t xml:space="preserve">6.12　付論：不正会計検出モデルへの実務応用</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Dechow et al. (2011)：Fスコア</w:t>
            </w:r>
          </w:p>
          <w:p>
            <w:pPr>
              <w:spacing w:line="300"/>
            </w:pPr>
            <w:r>
              <w:rPr>
                <w:rFonts w:ascii="Yu Mincho" w:cs="Yu Mincho" w:eastAsia="Yu Mincho" w:hAnsi="Yu Mincho"/>
                <w:sz w:val="20"/>
                <w:szCs w:val="20"/>
              </w:rPr>
              <w:t xml:space="preserve">P(不正会計) ＝ f（会計発生高の質、業績変数、非財務指標、オフバランスシート項目、市場関連変数）。この回帰式をベースとする予想モデルからFスコアと呼ばれる指標を算定し、1を超えるほど不正会計の可能性が高くなるモデルを設定した。Fスコアで区分した第5分位ポートフォリオに含まれる不正会計企業の割合は51.01％であり、期待値（20％）を大きく上回っている。</w:t>
            </w:r>
          </w:p>
        </w:tc>
      </w:tr>
    </w:tbl>
    <w:p>
      <w:pPr>
        <w:spacing w:after="100"/>
      </w:pPr>
    </w:p>
    <w:p>
      <w:pPr>
        <w:spacing w:after="140" w:line="320"/>
        <w:jc w:val="left"/>
      </w:pPr>
      <w:r>
        <w:rPr>
          <w:rFonts w:ascii="Yu Mincho" w:cs="Yu Mincho" w:eastAsia="Yu Mincho" w:hAnsi="Yu Mincho"/>
          <w:sz w:val="21"/>
          <w:szCs w:val="21"/>
        </w:rPr>
        <w:t xml:space="preserve">このように、利益調整研究で蓄積された会計発生高・裁量的発生高の測定手法は、そのまま不正会計の検出という実務的応用にもつながっている。</w:t>
      </w:r>
    </w:p>
    <w:p>
      <w:pPr>
        <w:pStyle w:val="Heading2"/>
        <w:spacing w:after="160" w:before="360"/>
      </w:pPr>
      <w:r>
        <w:t xml:space="preserve">6.13　本章のまとめ</w:t>
      </w:r>
    </w:p>
    <w:p>
      <w:pPr>
        <w:pStyle w:val="ListParagraph"/>
        <w:numPr>
          <w:ilvl w:val="0"/>
          <w:numId w:val="2"/>
        </w:numPr>
        <w:spacing w:after="80" w:line="300"/>
      </w:pPr>
      <w:r>
        <w:rPr>
          <w:rFonts w:ascii="Yu Mincho" w:cs="Yu Mincho" w:eastAsia="Yu Mincho" w:hAnsi="Yu Mincho"/>
          <w:sz w:val="21"/>
          <w:szCs w:val="21"/>
        </w:rPr>
        <w:t xml:space="preserve">利益調整の定義と特性（GAAPの範囲内であること、会計手続き選択・見積もり調整の双方を含むこと、会計的／実体的裁量行動の区別、会計発生高が反転する特性を持つこと）を確認した。</w:t>
      </w:r>
    </w:p>
    <w:p>
      <w:pPr>
        <w:pStyle w:val="ListParagraph"/>
        <w:numPr>
          <w:ilvl w:val="0"/>
          <w:numId w:val="2"/>
        </w:numPr>
        <w:spacing w:after="80" w:line="300"/>
      </w:pPr>
      <w:r>
        <w:rPr>
          <w:rFonts w:ascii="Yu Mincho" w:cs="Yu Mincho" w:eastAsia="Yu Mincho" w:hAnsi="Yu Mincho"/>
          <w:sz w:val="21"/>
          <w:szCs w:val="21"/>
        </w:rPr>
        <w:t xml:space="preserve">検出方法は、会計手続き選択（ポートフォリオ）に注目する方法から、回帰モデルを利用して裁量的発生高を推計する方法（DeAngelo→Jones→修正Jones→CFO修正Jones）まで発展してきた。現在ではジョーンズ・モデル系の手法にもとづく利益調整の把握が最も一般的だが、測定誤差の問題があるためモデルの精緻化が必要である。利益分布アプローチも、ゼロ付近の分布の不規則性という別の角度から利益調整の存在を示す。</w:t>
      </w:r>
    </w:p>
    <w:p>
      <w:pPr>
        <w:pStyle w:val="ListParagraph"/>
        <w:numPr>
          <w:ilvl w:val="0"/>
          <w:numId w:val="2"/>
        </w:numPr>
        <w:spacing w:after="80" w:line="300"/>
      </w:pPr>
      <w:r>
        <w:rPr>
          <w:rFonts w:ascii="Yu Mincho" w:cs="Yu Mincho" w:eastAsia="Yu Mincho" w:hAnsi="Yu Mincho"/>
          <w:sz w:val="21"/>
          <w:szCs w:val="21"/>
        </w:rPr>
        <w:t xml:space="preserve">契約に基づく動機（報酬契約、債務契約、政治費用、税コスト、経営者交代）と、株式市場に基づく動機（IPO、SEO、エクイティ・インセンティブ、MBO、M&amp;A、利益ベンチマーク）の両面から利益調整のインセンティブが説明される。</w:t>
      </w:r>
    </w:p>
    <w:p>
      <w:pPr>
        <w:pStyle w:val="ListParagraph"/>
        <w:numPr>
          <w:ilvl w:val="0"/>
          <w:numId w:val="2"/>
        </w:numPr>
        <w:spacing w:after="80" w:line="300"/>
      </w:pPr>
      <w:r>
        <w:rPr>
          <w:rFonts w:ascii="Yu Mincho" w:cs="Yu Mincho" w:eastAsia="Yu Mincho" w:hAnsi="Yu Mincho"/>
          <w:sz w:val="21"/>
          <w:szCs w:val="21"/>
        </w:rPr>
        <w:t xml:space="preserve">利益調整を抑制する要因として、監査の質、株式所有構造（機関投資家・支配株主の性質による違い）、取締役会の独立性・専門性、SOX法の施行が挙げられる。</w:t>
      </w:r>
    </w:p>
    <w:p>
      <w:pPr>
        <w:pStyle w:val="ListParagraph"/>
        <w:numPr>
          <w:ilvl w:val="0"/>
          <w:numId w:val="2"/>
        </w:numPr>
        <w:spacing w:after="80" w:line="300"/>
      </w:pPr>
      <w:r>
        <w:rPr>
          <w:rFonts w:ascii="Yu Mincho" w:cs="Yu Mincho" w:eastAsia="Yu Mincho" w:hAnsi="Yu Mincho"/>
          <w:sz w:val="21"/>
          <w:szCs w:val="21"/>
        </w:rPr>
        <w:t xml:space="preserve">会計発生高（裁量的発生高）には追加的な情報内容があるが、投資家はその質を十分に評価しきれておらず、会計発生高アノマリーという形でミスプライシングが生じている。これは会計情報の「実際的有用性」（第4章）を示す証拠でもある。</w:t>
      </w:r>
    </w:p>
    <w:p>
      <w:pPr>
        <w:pStyle w:val="Heading1"/>
        <w:pageBreakBefore/>
        <w:spacing w:after="240" w:before="480"/>
      </w:pPr>
      <w:r>
        <w:t xml:space="preserve">付録A　参考文献一覧（統合版）</w:t>
      </w:r>
    </w:p>
    <w:p>
      <w:pPr>
        <w:spacing w:after="140" w:line="320"/>
        <w:jc w:val="left"/>
      </w:pPr>
      <w:r>
        <w:rPr>
          <w:rFonts w:ascii="Yu Mincho" w:cs="Yu Mincho" w:eastAsia="Yu Mincho" w:hAnsi="Yu Mincho"/>
          <w:sz w:val="21"/>
          <w:szCs w:val="21"/>
        </w:rPr>
        <w:t xml:space="preserve">各回のスライドで繰り返し引用されていた文献を統合し、著者名のアルファベット順（英語文献）・五十音順（日本語文献）に整理した。本文中では著者名・発行年のみを表示しているため、詳細を確認する際に参照されたい。</w:t>
      </w:r>
    </w:p>
    <w:p>
      <w:pPr>
        <w:pStyle w:val="Heading2"/>
        <w:spacing w:after="160" w:before="360"/>
      </w:pPr>
      <w:r>
        <w:t xml:space="preserve">A.1　欧文文献</w:t>
      </w:r>
    </w:p>
    <w:p>
      <w:pPr>
        <w:pStyle w:val="ListParagraph"/>
        <w:numPr>
          <w:ilvl w:val="0"/>
          <w:numId w:val="2"/>
        </w:numPr>
        <w:spacing w:after="80" w:line="300"/>
      </w:pPr>
      <w:r>
        <w:rPr>
          <w:rFonts w:ascii="Yu Mincho" w:cs="Yu Mincho" w:eastAsia="Yu Mincho" w:hAnsi="Yu Mincho"/>
          <w:sz w:val="21"/>
          <w:szCs w:val="21"/>
        </w:rPr>
        <w:t xml:space="preserve">Abarbanell, J.S., and B.J. Bushee. 1998. Abnormal Returns to a Fundamental Analysis Strategy. The Accounting Review 73: 19–45.</w:t>
      </w:r>
    </w:p>
    <w:p>
      <w:pPr>
        <w:pStyle w:val="ListParagraph"/>
        <w:numPr>
          <w:ilvl w:val="0"/>
          <w:numId w:val="2"/>
        </w:numPr>
        <w:spacing w:after="80" w:line="300"/>
      </w:pPr>
      <w:r>
        <w:rPr>
          <w:rFonts w:ascii="Yu Mincho" w:cs="Yu Mincho" w:eastAsia="Yu Mincho" w:hAnsi="Yu Mincho"/>
          <w:sz w:val="21"/>
          <w:szCs w:val="21"/>
        </w:rPr>
        <w:t xml:space="preserve">Abowd, J. M. 1990. Does performance-based managerial compensation affect corporate performance? Industrial and Labor Relations Review 43: 52-73.</w:t>
      </w:r>
    </w:p>
    <w:p>
      <w:pPr>
        <w:pStyle w:val="ListParagraph"/>
        <w:numPr>
          <w:ilvl w:val="0"/>
          <w:numId w:val="2"/>
        </w:numPr>
        <w:spacing w:after="80" w:line="300"/>
      </w:pPr>
      <w:r>
        <w:rPr>
          <w:rFonts w:ascii="Yu Mincho" w:cs="Yu Mincho" w:eastAsia="Yu Mincho" w:hAnsi="Yu Mincho"/>
          <w:sz w:val="21"/>
          <w:szCs w:val="21"/>
        </w:rPr>
        <w:t xml:space="preserve">Ahmed, A., B. Billing, R. Morton, and M. Stanford-Harris. 2002. The role of accounting conservatism in mitigating bondholder-shareholder conflicts over dividend policy and in reducing cost of debts. The Accounting Review 77: 867–890.</w:t>
      </w:r>
    </w:p>
    <w:p>
      <w:pPr>
        <w:pStyle w:val="ListParagraph"/>
        <w:numPr>
          <w:ilvl w:val="0"/>
          <w:numId w:val="2"/>
        </w:numPr>
        <w:spacing w:after="80" w:line="300"/>
      </w:pPr>
      <w:r>
        <w:rPr>
          <w:rFonts w:ascii="Yu Mincho" w:cs="Yu Mincho" w:eastAsia="Yu Mincho" w:hAnsi="Yu Mincho"/>
          <w:sz w:val="21"/>
          <w:szCs w:val="21"/>
        </w:rPr>
        <w:t xml:space="preserve">Akerlof, G. A. 1970. The market for lemons: Quality uncertainty and the market mechanism. Quarterly Journal of Economics 84: 488-500.</w:t>
      </w:r>
    </w:p>
    <w:p>
      <w:pPr>
        <w:pStyle w:val="ListParagraph"/>
        <w:numPr>
          <w:ilvl w:val="0"/>
          <w:numId w:val="2"/>
        </w:numPr>
        <w:spacing w:after="80" w:line="300"/>
      </w:pPr>
      <w:r>
        <w:rPr>
          <w:rFonts w:ascii="Yu Mincho" w:cs="Yu Mincho" w:eastAsia="Yu Mincho" w:hAnsi="Yu Mincho"/>
          <w:sz w:val="21"/>
          <w:szCs w:val="21"/>
        </w:rPr>
        <w:t xml:space="preserve">Alissa, W., S. B. Bonsall, K. Koharki, and M. W. Penn. 2013. Firms' use of accounting discretion to influence their credit ratings. Journal of Accounting and Economics forthcoming.</w:t>
      </w:r>
    </w:p>
    <w:p>
      <w:pPr>
        <w:pStyle w:val="ListParagraph"/>
        <w:numPr>
          <w:ilvl w:val="0"/>
          <w:numId w:val="2"/>
        </w:numPr>
        <w:spacing w:after="80" w:line="300"/>
      </w:pPr>
      <w:r>
        <w:rPr>
          <w:rFonts w:ascii="Yu Mincho" w:cs="Yu Mincho" w:eastAsia="Yu Mincho" w:hAnsi="Yu Mincho"/>
          <w:sz w:val="21"/>
          <w:szCs w:val="21"/>
        </w:rPr>
        <w:t xml:space="preserve">Altman, E. I. 1968. Financial ratios, discriminant analysis and the prediction of corporate bankruptcy. Journal of Finance 23(4): 589–609.</w:t>
      </w:r>
    </w:p>
    <w:p>
      <w:pPr>
        <w:pStyle w:val="ListParagraph"/>
        <w:numPr>
          <w:ilvl w:val="0"/>
          <w:numId w:val="2"/>
        </w:numPr>
        <w:spacing w:after="80" w:line="300"/>
      </w:pPr>
      <w:r>
        <w:rPr>
          <w:rFonts w:ascii="Yu Mincho" w:cs="Yu Mincho" w:eastAsia="Yu Mincho" w:hAnsi="Yu Mincho"/>
          <w:sz w:val="21"/>
          <w:szCs w:val="21"/>
        </w:rPr>
        <w:t xml:space="preserve">Antle, R., and A. Smith. 1986. An empirical investigation of the relative performance evaluation of corporate executives. Journal of Accounting Research 24: 1-39.</w:t>
      </w:r>
    </w:p>
    <w:p>
      <w:pPr>
        <w:pStyle w:val="ListParagraph"/>
        <w:numPr>
          <w:ilvl w:val="0"/>
          <w:numId w:val="2"/>
        </w:numPr>
        <w:spacing w:after="80" w:line="300"/>
      </w:pPr>
      <w:r>
        <w:rPr>
          <w:rFonts w:ascii="Yu Mincho" w:cs="Yu Mincho" w:eastAsia="Yu Mincho" w:hAnsi="Yu Mincho"/>
          <w:sz w:val="21"/>
          <w:szCs w:val="21"/>
        </w:rPr>
        <w:t xml:space="preserve">Ashbaugh, H., R. LaFond, and B. Mayhew. 2003. Do nonaudit services compromise auditor independence? Further evidence. The Accounting Review 78(3): 611–639.</w:t>
      </w:r>
    </w:p>
    <w:p>
      <w:pPr>
        <w:pStyle w:val="ListParagraph"/>
        <w:numPr>
          <w:ilvl w:val="0"/>
          <w:numId w:val="2"/>
        </w:numPr>
        <w:spacing w:after="80" w:line="300"/>
      </w:pPr>
      <w:r>
        <w:rPr>
          <w:rFonts w:ascii="Yu Mincho" w:cs="Yu Mincho" w:eastAsia="Yu Mincho" w:hAnsi="Yu Mincho"/>
          <w:sz w:val="21"/>
          <w:szCs w:val="21"/>
        </w:rPr>
        <w:t xml:space="preserve">Ashbaugh-Skaife, H., D. Collins, and W. Kinney. 2007. The discovery and reporting of internal control deficiencies prior to SOX-mandated audits. Journal of Accounting &amp; Economics 44: 166–92.</w:t>
      </w:r>
    </w:p>
    <w:p>
      <w:pPr>
        <w:pStyle w:val="ListParagraph"/>
        <w:numPr>
          <w:ilvl w:val="0"/>
          <w:numId w:val="2"/>
        </w:numPr>
        <w:spacing w:after="80" w:line="300"/>
      </w:pPr>
      <w:r>
        <w:rPr>
          <w:rFonts w:ascii="Yu Mincho" w:cs="Yu Mincho" w:eastAsia="Yu Mincho" w:hAnsi="Yu Mincho"/>
          <w:sz w:val="21"/>
          <w:szCs w:val="21"/>
        </w:rPr>
        <w:t xml:space="preserve">Ashbaugh-Skaife, H., D. Collins, W. Kinney, and R. LaFond. 2008. The effect of SOX internal control deficiencies and their remediation on accrual quality. The Accounting Review 83: 217–50.</w:t>
      </w:r>
    </w:p>
    <w:p>
      <w:pPr>
        <w:pStyle w:val="ListParagraph"/>
        <w:numPr>
          <w:ilvl w:val="0"/>
          <w:numId w:val="2"/>
        </w:numPr>
        <w:spacing w:after="80" w:line="300"/>
      </w:pPr>
      <w:r>
        <w:rPr>
          <w:rFonts w:ascii="Yu Mincho" w:cs="Yu Mincho" w:eastAsia="Yu Mincho" w:hAnsi="Yu Mincho"/>
          <w:sz w:val="21"/>
          <w:szCs w:val="21"/>
        </w:rPr>
        <w:t xml:space="preserve">Ayers, B. C., S. Ramalingegowda, and P. E. Yeung. 2011. Hometown advantage: The effects of monitoring institution location on financial reporting discretion. Journal of Accounting and Economics 52(1): 41–61.</w:t>
      </w:r>
    </w:p>
    <w:p>
      <w:pPr>
        <w:pStyle w:val="ListParagraph"/>
        <w:numPr>
          <w:ilvl w:val="0"/>
          <w:numId w:val="2"/>
        </w:numPr>
        <w:spacing w:after="80" w:line="300"/>
      </w:pPr>
      <w:r>
        <w:rPr>
          <w:rFonts w:ascii="Yu Mincho" w:cs="Yu Mincho" w:eastAsia="Yu Mincho" w:hAnsi="Yu Mincho"/>
          <w:sz w:val="21"/>
          <w:szCs w:val="21"/>
        </w:rPr>
        <w:t xml:space="preserve">Ball, R., and P. Brown. 1968. An empirical evaluation of accounting income numbers. Journal of Accounting Research 6: 159-178.</w:t>
      </w:r>
    </w:p>
    <w:p>
      <w:pPr>
        <w:pStyle w:val="ListParagraph"/>
        <w:numPr>
          <w:ilvl w:val="0"/>
          <w:numId w:val="2"/>
        </w:numPr>
        <w:spacing w:after="80" w:line="300"/>
      </w:pPr>
      <w:r>
        <w:rPr>
          <w:rFonts w:ascii="Yu Mincho" w:cs="Yu Mincho" w:eastAsia="Yu Mincho" w:hAnsi="Yu Mincho"/>
          <w:sz w:val="21"/>
          <w:szCs w:val="21"/>
        </w:rPr>
        <w:t xml:space="preserve">Bathke, A. W., and K.S. Lorek. 1984. The relationship between time-series models and the security market's expectation of quarterly earnings. The Accounting Review 59: 163-176.</w:t>
      </w:r>
    </w:p>
    <w:p>
      <w:pPr>
        <w:pStyle w:val="ListParagraph"/>
        <w:numPr>
          <w:ilvl w:val="0"/>
          <w:numId w:val="2"/>
        </w:numPr>
        <w:spacing w:after="80" w:line="300"/>
      </w:pPr>
      <w:r>
        <w:rPr>
          <w:rFonts w:ascii="Yu Mincho" w:cs="Yu Mincho" w:eastAsia="Yu Mincho" w:hAnsi="Yu Mincho"/>
          <w:sz w:val="21"/>
          <w:szCs w:val="21"/>
        </w:rPr>
        <w:t xml:space="preserve">Beatty, A., B. Ke, and K. Petroni. 2002. Earnings management to avoid earnings declines across publicly and privately held banks. The Accounting Review 77(3): 547–570.</w:t>
      </w:r>
    </w:p>
    <w:p>
      <w:pPr>
        <w:pStyle w:val="ListParagraph"/>
        <w:numPr>
          <w:ilvl w:val="0"/>
          <w:numId w:val="2"/>
        </w:numPr>
        <w:spacing w:after="80" w:line="300"/>
      </w:pPr>
      <w:r>
        <w:rPr>
          <w:rFonts w:ascii="Yu Mincho" w:cs="Yu Mincho" w:eastAsia="Yu Mincho" w:hAnsi="Yu Mincho"/>
          <w:sz w:val="21"/>
          <w:szCs w:val="21"/>
        </w:rPr>
        <w:t xml:space="preserve">Beaver, W. H. 1968. The information content of annual earnings announcements. Journal of Accounting Research 6: 67-92.</w:t>
      </w:r>
    </w:p>
    <w:p>
      <w:pPr>
        <w:pStyle w:val="ListParagraph"/>
        <w:numPr>
          <w:ilvl w:val="0"/>
          <w:numId w:val="2"/>
        </w:numPr>
        <w:spacing w:after="80" w:line="300"/>
      </w:pPr>
      <w:r>
        <w:rPr>
          <w:rFonts w:ascii="Yu Mincho" w:cs="Yu Mincho" w:eastAsia="Yu Mincho" w:hAnsi="Yu Mincho"/>
          <w:sz w:val="21"/>
          <w:szCs w:val="21"/>
        </w:rPr>
        <w:t xml:space="preserve">Beaver, W. H. 1981/1998. Financial Reporting: An Accounting Revolution. Prentice-Hall.</w:t>
      </w:r>
    </w:p>
    <w:p>
      <w:pPr>
        <w:pStyle w:val="ListParagraph"/>
        <w:numPr>
          <w:ilvl w:val="0"/>
          <w:numId w:val="2"/>
        </w:numPr>
        <w:spacing w:after="80" w:line="300"/>
      </w:pPr>
      <w:r>
        <w:rPr>
          <w:rFonts w:ascii="Yu Mincho" w:cs="Yu Mincho" w:eastAsia="Yu Mincho" w:hAnsi="Yu Mincho"/>
          <w:sz w:val="21"/>
          <w:szCs w:val="21"/>
        </w:rPr>
        <w:t xml:space="preserve">Beaver, W. H., R. Clarke, and W.F. Wright. 1979. The association between unsystematic security returns and the magnitude of earnings forecast errors. Journal of Accounting Research 17: 316-340.</w:t>
      </w:r>
    </w:p>
    <w:p>
      <w:pPr>
        <w:pStyle w:val="ListParagraph"/>
        <w:numPr>
          <w:ilvl w:val="0"/>
          <w:numId w:val="2"/>
        </w:numPr>
        <w:spacing w:after="80" w:line="300"/>
      </w:pPr>
      <w:r>
        <w:rPr>
          <w:rFonts w:ascii="Yu Mincho" w:cs="Yu Mincho" w:eastAsia="Yu Mincho" w:hAnsi="Yu Mincho"/>
          <w:sz w:val="21"/>
          <w:szCs w:val="21"/>
        </w:rPr>
        <w:t xml:space="preserve">Beaver, W. H., M. F. McNichols, and K. K. Nelson. 2003. Management of the loss reserve accrual and the distribution of earnings in the property-casualty insurance industry. Journal of Accounting and Economics 35(3): 347-376.</w:t>
      </w:r>
    </w:p>
    <w:p>
      <w:pPr>
        <w:pStyle w:val="ListParagraph"/>
        <w:numPr>
          <w:ilvl w:val="0"/>
          <w:numId w:val="2"/>
        </w:numPr>
        <w:spacing w:after="80" w:line="300"/>
      </w:pPr>
      <w:r>
        <w:rPr>
          <w:rFonts w:ascii="Yu Mincho" w:cs="Yu Mincho" w:eastAsia="Yu Mincho" w:hAnsi="Yu Mincho"/>
          <w:sz w:val="21"/>
          <w:szCs w:val="21"/>
        </w:rPr>
        <w:t xml:space="preserve">Beneish, M. D., E. Press, and M. E. Vargus. 2012. Insider trading and earnings management in distressed firms. Contemporary Accounting Research 29(1): 191–220.</w:t>
      </w:r>
    </w:p>
    <w:p>
      <w:pPr>
        <w:pStyle w:val="ListParagraph"/>
        <w:numPr>
          <w:ilvl w:val="0"/>
          <w:numId w:val="2"/>
        </w:numPr>
        <w:spacing w:after="80" w:line="300"/>
      </w:pPr>
      <w:r>
        <w:rPr>
          <w:rFonts w:ascii="Yu Mincho" w:cs="Yu Mincho" w:eastAsia="Yu Mincho" w:hAnsi="Yu Mincho"/>
          <w:sz w:val="21"/>
          <w:szCs w:val="21"/>
        </w:rPr>
        <w:t xml:space="preserve">Bergstresser, D., and T. Philippon. 2006. CEO incentives and earnings management. Journal of Financial Economics 80(3): 511–529.</w:t>
      </w:r>
    </w:p>
    <w:p>
      <w:pPr>
        <w:pStyle w:val="ListParagraph"/>
        <w:numPr>
          <w:ilvl w:val="0"/>
          <w:numId w:val="2"/>
        </w:numPr>
        <w:spacing w:after="80" w:line="300"/>
      </w:pPr>
      <w:r>
        <w:rPr>
          <w:rFonts w:ascii="Yu Mincho" w:cs="Yu Mincho" w:eastAsia="Yu Mincho" w:hAnsi="Yu Mincho"/>
          <w:sz w:val="21"/>
          <w:szCs w:val="21"/>
        </w:rPr>
        <w:t xml:space="preserve">Bernard, V.L. 1995. The Feltham-Ohlson framework: Implications for empiricists. Contemporary Accounting Research 11: 733-747.</w:t>
      </w:r>
    </w:p>
    <w:p>
      <w:pPr>
        <w:pStyle w:val="ListParagraph"/>
        <w:numPr>
          <w:ilvl w:val="0"/>
          <w:numId w:val="2"/>
        </w:numPr>
        <w:spacing w:after="80" w:line="300"/>
      </w:pPr>
      <w:r>
        <w:rPr>
          <w:rFonts w:ascii="Yu Mincho" w:cs="Yu Mincho" w:eastAsia="Yu Mincho" w:hAnsi="Yu Mincho"/>
          <w:sz w:val="21"/>
          <w:szCs w:val="21"/>
        </w:rPr>
        <w:t xml:space="preserve">Blacconiere, W.G., and D.M. Patten. 1994. Environmental disclosure, regulatory costs, and changes in firm value. Journal of Accounting and Economics 18: 357-377.</w:t>
      </w:r>
    </w:p>
    <w:p>
      <w:pPr>
        <w:pStyle w:val="ListParagraph"/>
        <w:numPr>
          <w:ilvl w:val="0"/>
          <w:numId w:val="2"/>
        </w:numPr>
        <w:spacing w:after="80" w:line="300"/>
      </w:pPr>
      <w:r>
        <w:rPr>
          <w:rFonts w:ascii="Yu Mincho" w:cs="Yu Mincho" w:eastAsia="Yu Mincho" w:hAnsi="Yu Mincho"/>
          <w:sz w:val="21"/>
          <w:szCs w:val="21"/>
        </w:rPr>
        <w:t xml:space="preserve">Blacconiere, W.G., and W.D. Northcut. 1997. Environmental information and market reaction. Journal of Accounting, Auditing and Finance 12: 149-178.</w:t>
      </w:r>
    </w:p>
    <w:p>
      <w:pPr>
        <w:pStyle w:val="ListParagraph"/>
        <w:numPr>
          <w:ilvl w:val="0"/>
          <w:numId w:val="2"/>
        </w:numPr>
        <w:spacing w:after="80" w:line="300"/>
      </w:pPr>
      <w:r>
        <w:rPr>
          <w:rFonts w:ascii="Yu Mincho" w:cs="Yu Mincho" w:eastAsia="Yu Mincho" w:hAnsi="Yu Mincho"/>
          <w:sz w:val="21"/>
          <w:szCs w:val="21"/>
        </w:rPr>
        <w:t xml:space="preserve">Botosan, C. A. 1997. Disclosure level and the cost of equity capital. The Accounting Review 72(3): 323-349.</w:t>
      </w:r>
    </w:p>
    <w:p>
      <w:pPr>
        <w:pStyle w:val="ListParagraph"/>
        <w:numPr>
          <w:ilvl w:val="0"/>
          <w:numId w:val="2"/>
        </w:numPr>
        <w:spacing w:after="80" w:line="300"/>
      </w:pPr>
      <w:r>
        <w:rPr>
          <w:rFonts w:ascii="Yu Mincho" w:cs="Yu Mincho" w:eastAsia="Yu Mincho" w:hAnsi="Yu Mincho"/>
          <w:sz w:val="21"/>
          <w:szCs w:val="21"/>
        </w:rPr>
        <w:t xml:space="preserve">Botosan, C. A., and M. A. Plumlee. 2002. A re-examination of disclosure level and the expected cost of equity capital. Journal of Accounting Research 40(1): 21-40.</w:t>
      </w:r>
    </w:p>
    <w:p>
      <w:pPr>
        <w:pStyle w:val="ListParagraph"/>
        <w:numPr>
          <w:ilvl w:val="0"/>
          <w:numId w:val="2"/>
        </w:numPr>
        <w:spacing w:after="80" w:line="300"/>
      </w:pPr>
      <w:r>
        <w:rPr>
          <w:rFonts w:ascii="Yu Mincho" w:cs="Yu Mincho" w:eastAsia="Yu Mincho" w:hAnsi="Yu Mincho"/>
          <w:sz w:val="21"/>
          <w:szCs w:val="21"/>
        </w:rPr>
        <w:t xml:space="preserve">Burgstahler, D. C., and I. D. Dichev. 1997. Earnings management to avoid earnings decreases and losses. Journal of Accounting and Economics 24(1): 99-126.</w:t>
      </w:r>
    </w:p>
    <w:p>
      <w:pPr>
        <w:pStyle w:val="ListParagraph"/>
        <w:numPr>
          <w:ilvl w:val="0"/>
          <w:numId w:val="2"/>
        </w:numPr>
        <w:spacing w:after="80" w:line="300"/>
      </w:pPr>
      <w:r>
        <w:rPr>
          <w:rFonts w:ascii="Yu Mincho" w:cs="Yu Mincho" w:eastAsia="Yu Mincho" w:hAnsi="Yu Mincho"/>
          <w:sz w:val="21"/>
          <w:szCs w:val="21"/>
        </w:rPr>
        <w:t xml:space="preserve">Burgstahler, D. C., L. Hail, and C. Leuz. 2006. The importance of reporting incentives: Earnings management in European private and public firms. The Accounting Review 81(5): 983–1016.</w:t>
      </w:r>
    </w:p>
    <w:p>
      <w:pPr>
        <w:pStyle w:val="ListParagraph"/>
        <w:numPr>
          <w:ilvl w:val="0"/>
          <w:numId w:val="2"/>
        </w:numPr>
        <w:spacing w:after="80" w:line="300"/>
      </w:pPr>
      <w:r>
        <w:rPr>
          <w:rFonts w:ascii="Yu Mincho" w:cs="Yu Mincho" w:eastAsia="Yu Mincho" w:hAnsi="Yu Mincho"/>
          <w:sz w:val="21"/>
          <w:szCs w:val="21"/>
        </w:rPr>
        <w:t xml:space="preserve">Burnett, B. M., B. M. Cripe, G. W. Martin, and B. P. McAllister. 2012. Audit quality and the trade-off between accretive stock repurchases and accrual-based earnings management. The Accounting Review 87(6): 1861–1884.</w:t>
      </w:r>
    </w:p>
    <w:p>
      <w:pPr>
        <w:pStyle w:val="ListParagraph"/>
        <w:numPr>
          <w:ilvl w:val="0"/>
          <w:numId w:val="2"/>
        </w:numPr>
        <w:spacing w:after="80" w:line="300"/>
      </w:pPr>
      <w:r>
        <w:rPr>
          <w:rFonts w:ascii="Yu Mincho" w:cs="Yu Mincho" w:eastAsia="Yu Mincho" w:hAnsi="Yu Mincho"/>
          <w:sz w:val="21"/>
          <w:szCs w:val="21"/>
        </w:rPr>
        <w:t xml:space="preserve">Bushee, B. J. 1998. The influence of institutional investors on myopic R&amp;D investment behavior. The Accounting Review 73(3): 305-333.</w:t>
      </w:r>
    </w:p>
    <w:p>
      <w:pPr>
        <w:pStyle w:val="ListParagraph"/>
        <w:numPr>
          <w:ilvl w:val="0"/>
          <w:numId w:val="2"/>
        </w:numPr>
        <w:spacing w:after="80" w:line="300"/>
      </w:pPr>
      <w:r>
        <w:rPr>
          <w:rFonts w:ascii="Yu Mincho" w:cs="Yu Mincho" w:eastAsia="Yu Mincho" w:hAnsi="Yu Mincho"/>
          <w:sz w:val="21"/>
          <w:szCs w:val="21"/>
        </w:rPr>
        <w:t xml:space="preserve">Cahan, S.T. 1992. The effect of antitrust investigation on discretionary accruals: A refined test of political-cost hypothesis. The Accounting Review 67: 77-95.</w:t>
      </w:r>
    </w:p>
    <w:p>
      <w:pPr>
        <w:pStyle w:val="ListParagraph"/>
        <w:numPr>
          <w:ilvl w:val="0"/>
          <w:numId w:val="2"/>
        </w:numPr>
        <w:spacing w:after="80" w:line="300"/>
      </w:pPr>
      <w:r>
        <w:rPr>
          <w:rFonts w:ascii="Yu Mincho" w:cs="Yu Mincho" w:eastAsia="Yu Mincho" w:hAnsi="Yu Mincho"/>
          <w:sz w:val="21"/>
          <w:szCs w:val="21"/>
        </w:rPr>
        <w:t xml:space="preserve">Caramanis, C., and C. Lennox. 2008. Audit effort and earnings management. Journal of Accounting and Economics 45(1): 116–138.</w:t>
      </w:r>
    </w:p>
    <w:p>
      <w:pPr>
        <w:pStyle w:val="ListParagraph"/>
        <w:numPr>
          <w:ilvl w:val="0"/>
          <w:numId w:val="2"/>
        </w:numPr>
        <w:spacing w:after="80" w:line="300"/>
      </w:pPr>
      <w:r>
        <w:rPr>
          <w:rFonts w:ascii="Yu Mincho" w:cs="Yu Mincho" w:eastAsia="Yu Mincho" w:hAnsi="Yu Mincho"/>
          <w:sz w:val="21"/>
          <w:szCs w:val="21"/>
        </w:rPr>
        <w:t xml:space="preserve">Chan, K., L. K. C. Chan, N. Jegadeesh, and J. Lakonishok. 2006. Earnings quality and stock returns. Journal of Business 79: 1041-1082.</w:t>
      </w:r>
    </w:p>
    <w:p>
      <w:pPr>
        <w:pStyle w:val="ListParagraph"/>
        <w:numPr>
          <w:ilvl w:val="0"/>
          <w:numId w:val="2"/>
        </w:numPr>
        <w:spacing w:after="80" w:line="300"/>
      </w:pPr>
      <w:r>
        <w:rPr>
          <w:rFonts w:ascii="Yu Mincho" w:cs="Yu Mincho" w:eastAsia="Yu Mincho" w:hAnsi="Yu Mincho"/>
          <w:sz w:val="21"/>
          <w:szCs w:val="21"/>
        </w:rPr>
        <w:t xml:space="preserve">Chen, C., C. Lin, and Y. Lin. 2008. Audit partner tenure, audit firm tenure, and discretionary accruals: does long auditor tenure impair earnings quality? Contemporary Accounting Research 25(2): 447–471.</w:t>
      </w:r>
    </w:p>
    <w:p>
      <w:pPr>
        <w:pStyle w:val="ListParagraph"/>
        <w:numPr>
          <w:ilvl w:val="0"/>
          <w:numId w:val="2"/>
        </w:numPr>
        <w:spacing w:after="80" w:line="300"/>
      </w:pPr>
      <w:r>
        <w:rPr>
          <w:rFonts w:ascii="Yu Mincho" w:cs="Yu Mincho" w:eastAsia="Yu Mincho" w:hAnsi="Yu Mincho"/>
          <w:sz w:val="21"/>
          <w:szCs w:val="21"/>
        </w:rPr>
        <w:t xml:space="preserve">Cheng, Q., and T. Warfield. 2005. Equity incentives and earnings management. The Accounting Review 80: 441-476.</w:t>
      </w:r>
    </w:p>
    <w:p>
      <w:pPr>
        <w:pStyle w:val="ListParagraph"/>
        <w:numPr>
          <w:ilvl w:val="0"/>
          <w:numId w:val="2"/>
        </w:numPr>
        <w:spacing w:after="80" w:line="300"/>
      </w:pPr>
      <w:r>
        <w:rPr>
          <w:rFonts w:ascii="Yu Mincho" w:cs="Yu Mincho" w:eastAsia="Yu Mincho" w:hAnsi="Yu Mincho"/>
          <w:sz w:val="21"/>
          <w:szCs w:val="21"/>
        </w:rPr>
        <w:t xml:space="preserve">Chung, R., M. Firth, and J.-B. Kim. 2002. Institutional monitoring and opportunistic earnings management. Journal of Corporate Finance 8(1): 29-48.</w:t>
      </w:r>
    </w:p>
    <w:p>
      <w:pPr>
        <w:pStyle w:val="ListParagraph"/>
        <w:numPr>
          <w:ilvl w:val="0"/>
          <w:numId w:val="2"/>
        </w:numPr>
        <w:spacing w:after="80" w:line="300"/>
      </w:pPr>
      <w:r>
        <w:rPr>
          <w:rFonts w:ascii="Yu Mincho" w:cs="Yu Mincho" w:eastAsia="Yu Mincho" w:hAnsi="Yu Mincho"/>
          <w:sz w:val="21"/>
          <w:szCs w:val="21"/>
        </w:rPr>
        <w:t xml:space="preserve">Cohen, D. A., A. Dey, and T. Z. Lys. 2008. Real and accrual-based earnings management in the pre- and post-Sarbanes-Oxley periods. The Accounting Review 83(3): 757-787.</w:t>
      </w:r>
    </w:p>
    <w:p>
      <w:pPr>
        <w:pStyle w:val="ListParagraph"/>
        <w:numPr>
          <w:ilvl w:val="0"/>
          <w:numId w:val="2"/>
        </w:numPr>
        <w:spacing w:after="80" w:line="300"/>
      </w:pPr>
      <w:r>
        <w:rPr>
          <w:rFonts w:ascii="Yu Mincho" w:cs="Yu Mincho" w:eastAsia="Yu Mincho" w:hAnsi="Yu Mincho"/>
          <w:sz w:val="21"/>
          <w:szCs w:val="21"/>
        </w:rPr>
        <w:t xml:space="preserve">Cohen, D. A., and P. Zarowin. 2010. Accrual-based and real earnings management activities around seasoned equity offerings. Journal of Accounting and Economics 50(1): 2-19.</w:t>
      </w:r>
    </w:p>
    <w:p>
      <w:pPr>
        <w:pStyle w:val="ListParagraph"/>
        <w:numPr>
          <w:ilvl w:val="0"/>
          <w:numId w:val="2"/>
        </w:numPr>
        <w:spacing w:after="80" w:line="300"/>
      </w:pPr>
      <w:r>
        <w:rPr>
          <w:rFonts w:ascii="Yu Mincho" w:cs="Yu Mincho" w:eastAsia="Yu Mincho" w:hAnsi="Yu Mincho"/>
          <w:sz w:val="21"/>
          <w:szCs w:val="21"/>
        </w:rPr>
        <w:t xml:space="preserve">Datta, S., and U. Dhillon. 1993. Bond and stock market response to unexpected earnings announcements. Journal of Financial and Quantitative Analysis 28: 565-577.</w:t>
      </w:r>
    </w:p>
    <w:p>
      <w:pPr>
        <w:pStyle w:val="ListParagraph"/>
        <w:numPr>
          <w:ilvl w:val="0"/>
          <w:numId w:val="2"/>
        </w:numPr>
        <w:spacing w:after="80" w:line="300"/>
      </w:pPr>
      <w:r>
        <w:rPr>
          <w:rFonts w:ascii="Yu Mincho" w:cs="Yu Mincho" w:eastAsia="Yu Mincho" w:hAnsi="Yu Mincho"/>
          <w:sz w:val="21"/>
          <w:szCs w:val="21"/>
        </w:rPr>
        <w:t xml:space="preserve">DeAngelo, L. 1986. Managerial competition, information costs and corporate governance: the use of accounting performance measures in proxy contests. Journal of Accounting and Economics 10: 3-36.</w:t>
      </w:r>
    </w:p>
    <w:p>
      <w:pPr>
        <w:pStyle w:val="ListParagraph"/>
        <w:numPr>
          <w:ilvl w:val="0"/>
          <w:numId w:val="2"/>
        </w:numPr>
        <w:spacing w:after="80" w:line="300"/>
      </w:pPr>
      <w:r>
        <w:rPr>
          <w:rFonts w:ascii="Yu Mincho" w:cs="Yu Mincho" w:eastAsia="Yu Mincho" w:hAnsi="Yu Mincho"/>
          <w:sz w:val="21"/>
          <w:szCs w:val="21"/>
        </w:rPr>
        <w:t xml:space="preserve">Dechow, P. M. 1994. Accounting earnings and cash flows as measures of firm performance: The role of accounting accruals. Journal of Accounting and Economics 18: 3-42.</w:t>
      </w:r>
    </w:p>
    <w:p>
      <w:pPr>
        <w:pStyle w:val="ListParagraph"/>
        <w:numPr>
          <w:ilvl w:val="0"/>
          <w:numId w:val="2"/>
        </w:numPr>
        <w:spacing w:after="80" w:line="300"/>
      </w:pPr>
      <w:r>
        <w:rPr>
          <w:rFonts w:ascii="Yu Mincho" w:cs="Yu Mincho" w:eastAsia="Yu Mincho" w:hAnsi="Yu Mincho"/>
          <w:sz w:val="21"/>
          <w:szCs w:val="21"/>
        </w:rPr>
        <w:t xml:space="preserve">Dechow, P. M., and R. G. Sloan. 1991. Executive incentives and the horizon problem: An empirical investigation. Journal of Accounting and Economics 14: 51-89.</w:t>
      </w:r>
    </w:p>
    <w:p>
      <w:pPr>
        <w:pStyle w:val="ListParagraph"/>
        <w:numPr>
          <w:ilvl w:val="0"/>
          <w:numId w:val="2"/>
        </w:numPr>
        <w:spacing w:after="80" w:line="300"/>
      </w:pPr>
      <w:r>
        <w:rPr>
          <w:rFonts w:ascii="Yu Mincho" w:cs="Yu Mincho" w:eastAsia="Yu Mincho" w:hAnsi="Yu Mincho"/>
          <w:sz w:val="21"/>
          <w:szCs w:val="21"/>
        </w:rPr>
        <w:t xml:space="preserve">Dechow, P. M., R. G. Sloan, and A. P. Sweeney. 1995. Detecting earnings management. The Accounting Review 70: 193-225.</w:t>
      </w:r>
    </w:p>
    <w:p>
      <w:pPr>
        <w:pStyle w:val="ListParagraph"/>
        <w:numPr>
          <w:ilvl w:val="0"/>
          <w:numId w:val="2"/>
        </w:numPr>
        <w:spacing w:after="80" w:line="300"/>
      </w:pPr>
      <w:r>
        <w:rPr>
          <w:rFonts w:ascii="Yu Mincho" w:cs="Yu Mincho" w:eastAsia="Yu Mincho" w:hAnsi="Yu Mincho"/>
          <w:sz w:val="21"/>
          <w:szCs w:val="21"/>
        </w:rPr>
        <w:t xml:space="preserve">Dechow, P. M., R. G. Sloan, and A. P. Sweeney. 1996. Causes and consequences of earnings manipulation. Contemporary Accounting Research 13(1): 1-36.</w:t>
      </w:r>
    </w:p>
    <w:p>
      <w:pPr>
        <w:pStyle w:val="ListParagraph"/>
        <w:numPr>
          <w:ilvl w:val="0"/>
          <w:numId w:val="2"/>
        </w:numPr>
        <w:spacing w:after="80" w:line="300"/>
      </w:pPr>
      <w:r>
        <w:rPr>
          <w:rFonts w:ascii="Yu Mincho" w:cs="Yu Mincho" w:eastAsia="Yu Mincho" w:hAnsi="Yu Mincho"/>
          <w:sz w:val="21"/>
          <w:szCs w:val="21"/>
        </w:rPr>
        <w:t xml:space="preserve">Dechow, P. M., and D. J. Skinner. 2000. Earnings management: Reconciling the views of accounting academics, practitioners, and regulators. Accounting Horizons 14(2): 235-250.</w:t>
      </w:r>
    </w:p>
    <w:p>
      <w:pPr>
        <w:pStyle w:val="ListParagraph"/>
        <w:numPr>
          <w:ilvl w:val="0"/>
          <w:numId w:val="2"/>
        </w:numPr>
        <w:spacing w:after="80" w:line="300"/>
      </w:pPr>
      <w:r>
        <w:rPr>
          <w:rFonts w:ascii="Yu Mincho" w:cs="Yu Mincho" w:eastAsia="Yu Mincho" w:hAnsi="Yu Mincho"/>
          <w:sz w:val="21"/>
          <w:szCs w:val="21"/>
        </w:rPr>
        <w:t xml:space="preserve">Dechow, P., S. Richardson, and I. Tuna. 2003. Why are earnings kinky? An examination of the earnings management explanation. Review of Accounting Studies 8: 355-384.</w:t>
      </w:r>
    </w:p>
    <w:p>
      <w:pPr>
        <w:pStyle w:val="ListParagraph"/>
        <w:numPr>
          <w:ilvl w:val="0"/>
          <w:numId w:val="2"/>
        </w:numPr>
        <w:spacing w:after="80" w:line="300"/>
      </w:pPr>
      <w:r>
        <w:rPr>
          <w:rFonts w:ascii="Yu Mincho" w:cs="Yu Mincho" w:eastAsia="Yu Mincho" w:hAnsi="Yu Mincho"/>
          <w:sz w:val="21"/>
          <w:szCs w:val="21"/>
        </w:rPr>
        <w:t xml:space="preserve">Dechow, P. M., W. Ge, C. R. Larson, and R. G. Sloan. 2011. Predicting material accounting misstatements. Contemporary Accounting Research 28(1): 17-82.</w:t>
      </w:r>
    </w:p>
    <w:p>
      <w:pPr>
        <w:pStyle w:val="ListParagraph"/>
        <w:numPr>
          <w:ilvl w:val="0"/>
          <w:numId w:val="2"/>
        </w:numPr>
        <w:spacing w:after="80" w:line="300"/>
      </w:pPr>
      <w:r>
        <w:rPr>
          <w:rFonts w:ascii="Yu Mincho" w:cs="Yu Mincho" w:eastAsia="Yu Mincho" w:hAnsi="Yu Mincho"/>
          <w:sz w:val="21"/>
          <w:szCs w:val="21"/>
        </w:rPr>
        <w:t xml:space="preserve">DeFond, M. L., and J. Jiambalvo. 1994. Debt covenant violation and manipulation of accruals. Journal of Accounting and Economics 17: 145–176.</w:t>
      </w:r>
    </w:p>
    <w:p>
      <w:pPr>
        <w:pStyle w:val="ListParagraph"/>
        <w:numPr>
          <w:ilvl w:val="0"/>
          <w:numId w:val="2"/>
        </w:numPr>
        <w:spacing w:after="80" w:line="300"/>
      </w:pPr>
      <w:r>
        <w:rPr>
          <w:rFonts w:ascii="Yu Mincho" w:cs="Yu Mincho" w:eastAsia="Yu Mincho" w:hAnsi="Yu Mincho"/>
          <w:sz w:val="21"/>
          <w:szCs w:val="21"/>
        </w:rPr>
        <w:t xml:space="preserve">Demerjian, P. R. 2011. Accounting standards and debt covenants: Has the balance sheet approach led to a decline in the use of balance sheet covenants? Journal of Accounting and Economics 52(2-3): 178-202.</w:t>
      </w:r>
    </w:p>
    <w:p>
      <w:pPr>
        <w:pStyle w:val="ListParagraph"/>
        <w:numPr>
          <w:ilvl w:val="0"/>
          <w:numId w:val="2"/>
        </w:numPr>
        <w:spacing w:after="80" w:line="300"/>
      </w:pPr>
      <w:r>
        <w:rPr>
          <w:rFonts w:ascii="Yu Mincho" w:cs="Yu Mincho" w:eastAsia="Yu Mincho" w:hAnsi="Yu Mincho"/>
          <w:sz w:val="21"/>
          <w:szCs w:val="21"/>
        </w:rPr>
        <w:t xml:space="preserve">Diamond, D. W., and R. E. Verrecchia. 1991. Disclosure, liquidity, and the cost of capital. The Journal of Finance 46(4): 1325-1359.</w:t>
      </w:r>
    </w:p>
    <w:p>
      <w:pPr>
        <w:pStyle w:val="ListParagraph"/>
        <w:numPr>
          <w:ilvl w:val="0"/>
          <w:numId w:val="2"/>
        </w:numPr>
        <w:spacing w:after="80" w:line="300"/>
      </w:pPr>
      <w:r>
        <w:rPr>
          <w:rFonts w:ascii="Yu Mincho" w:cs="Yu Mincho" w:eastAsia="Yu Mincho" w:hAnsi="Yu Mincho"/>
          <w:sz w:val="21"/>
          <w:szCs w:val="21"/>
        </w:rPr>
        <w:t xml:space="preserve">Dichev, I. D., and D. J. Skinner. 2002. Large-sample evidence on the debt covenant hypothesis. Journal of Accounting Research 40: 1091-1123.</w:t>
      </w:r>
    </w:p>
    <w:p>
      <w:pPr>
        <w:pStyle w:val="ListParagraph"/>
        <w:numPr>
          <w:ilvl w:val="0"/>
          <w:numId w:val="2"/>
        </w:numPr>
        <w:spacing w:after="80" w:line="300"/>
      </w:pPr>
      <w:r>
        <w:rPr>
          <w:rFonts w:ascii="Yu Mincho" w:cs="Yu Mincho" w:eastAsia="Yu Mincho" w:hAnsi="Yu Mincho"/>
          <w:sz w:val="21"/>
          <w:szCs w:val="21"/>
        </w:rPr>
        <w:t xml:space="preserve">Dopuch, N., and M. Pincus. 1988. Evidence on the choice of inventory accounting methods: LIFO vs. FIFO. Journal of Accounting Research 26: 28-59.</w:t>
      </w:r>
    </w:p>
    <w:p>
      <w:pPr>
        <w:pStyle w:val="ListParagraph"/>
        <w:numPr>
          <w:ilvl w:val="0"/>
          <w:numId w:val="2"/>
        </w:numPr>
        <w:spacing w:after="80" w:line="300"/>
      </w:pPr>
      <w:r>
        <w:rPr>
          <w:rFonts w:ascii="Yu Mincho" w:cs="Yu Mincho" w:eastAsia="Yu Mincho" w:hAnsi="Yu Mincho"/>
          <w:sz w:val="21"/>
          <w:szCs w:val="21"/>
        </w:rPr>
        <w:t xml:space="preserve">Doyle, J., W. Ge, and S. McVay. 2007. Accruals quality and internal control over financial reporting. The Accounting Review 82: 1141–70.</w:t>
      </w:r>
    </w:p>
    <w:p>
      <w:pPr>
        <w:pStyle w:val="ListParagraph"/>
        <w:numPr>
          <w:ilvl w:val="0"/>
          <w:numId w:val="2"/>
        </w:numPr>
        <w:spacing w:after="80" w:line="300"/>
      </w:pPr>
      <w:r>
        <w:rPr>
          <w:rFonts w:ascii="Yu Mincho" w:cs="Yu Mincho" w:eastAsia="Yu Mincho" w:hAnsi="Yu Mincho"/>
          <w:sz w:val="21"/>
          <w:szCs w:val="21"/>
        </w:rPr>
        <w:t xml:space="preserve">Easley, D., and M. O'Hara. 2004. Information and the cost of capital. The Journal of Finance 59(4): 1553-1583.</w:t>
      </w:r>
    </w:p>
    <w:p>
      <w:pPr>
        <w:pStyle w:val="ListParagraph"/>
        <w:numPr>
          <w:ilvl w:val="0"/>
          <w:numId w:val="2"/>
        </w:numPr>
        <w:spacing w:after="80" w:line="300"/>
      </w:pPr>
      <w:r>
        <w:rPr>
          <w:rFonts w:ascii="Yu Mincho" w:cs="Yu Mincho" w:eastAsia="Yu Mincho" w:hAnsi="Yu Mincho"/>
          <w:sz w:val="21"/>
          <w:szCs w:val="21"/>
        </w:rPr>
        <w:t xml:space="preserve">Easton, P. D., S. J. Monahan, and F. P. Vasvari. 2009. Initial evidence on the role of accounting earnings in the bond market. Journal of Accounting Research 47(3): 721–766.</w:t>
      </w:r>
    </w:p>
    <w:p>
      <w:pPr>
        <w:pStyle w:val="ListParagraph"/>
        <w:numPr>
          <w:ilvl w:val="0"/>
          <w:numId w:val="2"/>
        </w:numPr>
        <w:spacing w:after="80" w:line="300"/>
      </w:pPr>
      <w:r>
        <w:rPr>
          <w:rFonts w:ascii="Yu Mincho" w:cs="Yu Mincho" w:eastAsia="Yu Mincho" w:hAnsi="Yu Mincho"/>
          <w:sz w:val="21"/>
          <w:szCs w:val="21"/>
        </w:rPr>
        <w:t xml:space="preserve">Elliott, J., and W. Shaw. 1988. Write-offs as accounting procedures to manage perceptions. Journal of Accounting Research 26(Suppl): 91-119.</w:t>
      </w:r>
    </w:p>
    <w:p>
      <w:pPr>
        <w:pStyle w:val="ListParagraph"/>
        <w:numPr>
          <w:ilvl w:val="0"/>
          <w:numId w:val="2"/>
        </w:numPr>
        <w:spacing w:after="80" w:line="300"/>
      </w:pPr>
      <w:r>
        <w:rPr>
          <w:rFonts w:ascii="Yu Mincho" w:cs="Yu Mincho" w:eastAsia="Yu Mincho" w:hAnsi="Yu Mincho"/>
          <w:sz w:val="21"/>
          <w:szCs w:val="21"/>
        </w:rPr>
        <w:t xml:space="preserve">Fairfield, P., S. Whisenant, and T. Yohn. 2003. Accrued earnings and growth: Implications for future profitability and market mispricing. The Accounting Review 78(1): 353-371.</w:t>
      </w:r>
    </w:p>
    <w:p>
      <w:pPr>
        <w:pStyle w:val="ListParagraph"/>
        <w:numPr>
          <w:ilvl w:val="0"/>
          <w:numId w:val="2"/>
        </w:numPr>
        <w:spacing w:after="80" w:line="300"/>
      </w:pPr>
      <w:r>
        <w:rPr>
          <w:rFonts w:ascii="Yu Mincho" w:cs="Yu Mincho" w:eastAsia="Yu Mincho" w:hAnsi="Yu Mincho"/>
          <w:sz w:val="21"/>
          <w:szCs w:val="21"/>
        </w:rPr>
        <w:t xml:space="preserve">Fama, E. F. 1970. Efficient capital markets: A review of theory and empirical work. Journal of Finance 25: 383-417.</w:t>
      </w:r>
    </w:p>
    <w:p>
      <w:pPr>
        <w:pStyle w:val="ListParagraph"/>
        <w:numPr>
          <w:ilvl w:val="0"/>
          <w:numId w:val="2"/>
        </w:numPr>
        <w:spacing w:after="80" w:line="300"/>
      </w:pPr>
      <w:r>
        <w:rPr>
          <w:rFonts w:ascii="Yu Mincho" w:cs="Yu Mincho" w:eastAsia="Yu Mincho" w:hAnsi="Yu Mincho"/>
          <w:sz w:val="21"/>
          <w:szCs w:val="21"/>
        </w:rPr>
        <w:t xml:space="preserve">Feldman, R., S. Govindaraj, J. Livnat, and B. Segal. 2010. Management's tone change, post earnings announcement drift and accruals. Review of Accounting Studies 15(4): 915–953.</w:t>
      </w:r>
    </w:p>
    <w:p>
      <w:pPr>
        <w:pStyle w:val="ListParagraph"/>
        <w:numPr>
          <w:ilvl w:val="0"/>
          <w:numId w:val="2"/>
        </w:numPr>
        <w:spacing w:after="80" w:line="300"/>
      </w:pPr>
      <w:r>
        <w:rPr>
          <w:rFonts w:ascii="Yu Mincho" w:cs="Yu Mincho" w:eastAsia="Yu Mincho" w:hAnsi="Yu Mincho"/>
          <w:sz w:val="21"/>
          <w:szCs w:val="21"/>
        </w:rPr>
        <w:t xml:space="preserve">Foster, G. 1977. Quarterly accounting data: Time-series properties and predictive-ability results. The Accounting Review 50: 1-21.</w:t>
      </w:r>
    </w:p>
    <w:p>
      <w:pPr>
        <w:pStyle w:val="ListParagraph"/>
        <w:numPr>
          <w:ilvl w:val="0"/>
          <w:numId w:val="2"/>
        </w:numPr>
        <w:spacing w:after="80" w:line="300"/>
      </w:pPr>
      <w:r>
        <w:rPr>
          <w:rFonts w:ascii="Yu Mincho" w:cs="Yu Mincho" w:eastAsia="Yu Mincho" w:hAnsi="Yu Mincho"/>
          <w:sz w:val="21"/>
          <w:szCs w:val="21"/>
        </w:rPr>
        <w:t xml:space="preserve">Foster, G., C. Olsen, and T. Shevlin. 1984. Earnings release, anomalies, and the behavior of security returns. The Accounting Review 59: 574-603.</w:t>
      </w:r>
    </w:p>
    <w:p>
      <w:pPr>
        <w:pStyle w:val="ListParagraph"/>
        <w:numPr>
          <w:ilvl w:val="0"/>
          <w:numId w:val="2"/>
        </w:numPr>
        <w:spacing w:after="80" w:line="300"/>
      </w:pPr>
      <w:r>
        <w:rPr>
          <w:rFonts w:ascii="Yu Mincho" w:cs="Yu Mincho" w:eastAsia="Yu Mincho" w:hAnsi="Yu Mincho"/>
          <w:sz w:val="21"/>
          <w:szCs w:val="21"/>
        </w:rPr>
        <w:t xml:space="preserve">Francis, J. R., and M. D. Yu. 2009. Big 4 office size and audit quality. The Accounting Review 84(5): 1521-1552.</w:t>
      </w:r>
    </w:p>
    <w:p>
      <w:pPr>
        <w:pStyle w:val="ListParagraph"/>
        <w:numPr>
          <w:ilvl w:val="0"/>
          <w:numId w:val="2"/>
        </w:numPr>
        <w:spacing w:after="80" w:line="300"/>
      </w:pPr>
      <w:r>
        <w:rPr>
          <w:rFonts w:ascii="Yu Mincho" w:cs="Yu Mincho" w:eastAsia="Yu Mincho" w:hAnsi="Yu Mincho"/>
          <w:sz w:val="21"/>
          <w:szCs w:val="21"/>
        </w:rPr>
        <w:t xml:space="preserve">Frankel, R., and C. Lee. 1998. Accounting valuation, market expectation, and cross-sectional stock returns. Journal of Accounting and Economics 25: 283-319.</w:t>
      </w:r>
    </w:p>
    <w:p>
      <w:pPr>
        <w:pStyle w:val="ListParagraph"/>
        <w:numPr>
          <w:ilvl w:val="0"/>
          <w:numId w:val="2"/>
        </w:numPr>
        <w:spacing w:after="80" w:line="300"/>
      </w:pPr>
      <w:r>
        <w:rPr>
          <w:rFonts w:ascii="Yu Mincho" w:cs="Yu Mincho" w:eastAsia="Yu Mincho" w:hAnsi="Yu Mincho"/>
          <w:sz w:val="21"/>
          <w:szCs w:val="21"/>
        </w:rPr>
        <w:t xml:space="preserve">Frankel, R., M. Johnson, and K. Nelson. 2002. The relation between auditors' fees for nonaudit services and earnings management. The Accounting Review 77(Supplement): 71–105.</w:t>
      </w:r>
    </w:p>
    <w:p>
      <w:pPr>
        <w:pStyle w:val="ListParagraph"/>
        <w:numPr>
          <w:ilvl w:val="0"/>
          <w:numId w:val="2"/>
        </w:numPr>
        <w:spacing w:after="80" w:line="300"/>
      </w:pPr>
      <w:r>
        <w:rPr>
          <w:rFonts w:ascii="Yu Mincho" w:cs="Yu Mincho" w:eastAsia="Yu Mincho" w:hAnsi="Yu Mincho"/>
          <w:sz w:val="21"/>
          <w:szCs w:val="21"/>
        </w:rPr>
        <w:t xml:space="preserve">Friedlan, J. M. 1994. Accounting choices of issuers of initial public offerings. Contemporary Accounting Research 11: 1-31.</w:t>
      </w:r>
    </w:p>
    <w:p>
      <w:pPr>
        <w:pStyle w:val="ListParagraph"/>
        <w:numPr>
          <w:ilvl w:val="0"/>
          <w:numId w:val="2"/>
        </w:numPr>
        <w:spacing w:after="80" w:line="300"/>
      </w:pPr>
      <w:r>
        <w:rPr>
          <w:rFonts w:ascii="Yu Mincho" w:cs="Yu Mincho" w:eastAsia="Yu Mincho" w:hAnsi="Yu Mincho"/>
          <w:sz w:val="21"/>
          <w:szCs w:val="21"/>
        </w:rPr>
        <w:t xml:space="preserve">Gibbons, R., and K. J. Murphy. 1990. Relative performance evaluation for chief executive officers. Industrial and Labor Relations Review 43: 30-51.</w:t>
      </w:r>
    </w:p>
    <w:p>
      <w:pPr>
        <w:pStyle w:val="ListParagraph"/>
        <w:numPr>
          <w:ilvl w:val="0"/>
          <w:numId w:val="2"/>
        </w:numPr>
        <w:spacing w:after="80" w:line="300"/>
      </w:pPr>
      <w:r>
        <w:rPr>
          <w:rFonts w:ascii="Yu Mincho" w:cs="Yu Mincho" w:eastAsia="Yu Mincho" w:hAnsi="Yu Mincho"/>
          <w:sz w:val="21"/>
          <w:szCs w:val="21"/>
        </w:rPr>
        <w:t xml:space="preserve">Givoly, D., C. Hayn, and S. P. Katz. 2010. Does public ownership of equity improve earnings quality? The Accounting Review 85(1): 195–225.</w:t>
      </w:r>
    </w:p>
    <w:p>
      <w:pPr>
        <w:pStyle w:val="ListParagraph"/>
        <w:numPr>
          <w:ilvl w:val="0"/>
          <w:numId w:val="2"/>
        </w:numPr>
        <w:spacing w:after="80" w:line="300"/>
      </w:pPr>
      <w:r>
        <w:rPr>
          <w:rFonts w:ascii="Yu Mincho" w:cs="Yu Mincho" w:eastAsia="Yu Mincho" w:hAnsi="Yu Mincho"/>
          <w:sz w:val="21"/>
          <w:szCs w:val="21"/>
        </w:rPr>
        <w:t xml:space="preserve">Gong, G., H. Louis, and A. X. Sun. 2008. Earnings management, lawsuits, and stock-for-stock acquirers' market performance. Journal of Accounting and Economics 46(1): 62-77.</w:t>
      </w:r>
    </w:p>
    <w:p>
      <w:pPr>
        <w:pStyle w:val="ListParagraph"/>
        <w:numPr>
          <w:ilvl w:val="0"/>
          <w:numId w:val="2"/>
        </w:numPr>
        <w:spacing w:after="80" w:line="300"/>
      </w:pPr>
      <w:r>
        <w:rPr>
          <w:rFonts w:ascii="Yu Mincho" w:cs="Yu Mincho" w:eastAsia="Yu Mincho" w:hAnsi="Yu Mincho"/>
          <w:sz w:val="21"/>
          <w:szCs w:val="21"/>
        </w:rPr>
        <w:t xml:space="preserve">Gul, F., C. Chen, and J. Tsui. 2003. Discretionary accounting accruals, managers' incentives, and audit fees. Contemporary Accounting Research 20(3): 441–464.</w:t>
      </w:r>
    </w:p>
    <w:p>
      <w:pPr>
        <w:pStyle w:val="ListParagraph"/>
        <w:numPr>
          <w:ilvl w:val="0"/>
          <w:numId w:val="2"/>
        </w:numPr>
        <w:spacing w:after="80" w:line="300"/>
      </w:pPr>
      <w:r>
        <w:rPr>
          <w:rFonts w:ascii="Yu Mincho" w:cs="Yu Mincho" w:eastAsia="Yu Mincho" w:hAnsi="Yu Mincho"/>
          <w:sz w:val="21"/>
          <w:szCs w:val="21"/>
        </w:rPr>
        <w:t xml:space="preserve">Han, J. C. Y., and S.-W. Wang. 1998. Political costs and earnings management of oil companies during the 1990 Persian Gulf crisis. The Accounting Review 73(1): 103-117.</w:t>
      </w:r>
    </w:p>
    <w:p>
      <w:pPr>
        <w:pStyle w:val="ListParagraph"/>
        <w:numPr>
          <w:ilvl w:val="0"/>
          <w:numId w:val="2"/>
        </w:numPr>
        <w:spacing w:after="80" w:line="300"/>
      </w:pPr>
      <w:r>
        <w:rPr>
          <w:rFonts w:ascii="Yu Mincho" w:cs="Yu Mincho" w:eastAsia="Yu Mincho" w:hAnsi="Yu Mincho"/>
          <w:sz w:val="21"/>
          <w:szCs w:val="21"/>
        </w:rPr>
        <w:t xml:space="preserve">Haw, I., B. Hu, L. Hwang, and W. Wu. 2004. Ultimate ownership, income management, and legal and extra-legal institutions. Journal of Accounting Research 42(2): 423–462.</w:t>
      </w:r>
    </w:p>
    <w:p>
      <w:pPr>
        <w:pStyle w:val="ListParagraph"/>
        <w:numPr>
          <w:ilvl w:val="0"/>
          <w:numId w:val="2"/>
        </w:numPr>
        <w:spacing w:after="80" w:line="300"/>
      </w:pPr>
      <w:r>
        <w:rPr>
          <w:rFonts w:ascii="Yu Mincho" w:cs="Yu Mincho" w:eastAsia="Yu Mincho" w:hAnsi="Yu Mincho"/>
          <w:sz w:val="21"/>
          <w:szCs w:val="21"/>
        </w:rPr>
        <w:t xml:space="preserve">Healy, P. M. 1985. The effect of bonus schemes on accounting decisions. Journal of Accounting and Economics 7: 85-107.</w:t>
      </w:r>
    </w:p>
    <w:p>
      <w:pPr>
        <w:pStyle w:val="ListParagraph"/>
        <w:numPr>
          <w:ilvl w:val="0"/>
          <w:numId w:val="2"/>
        </w:numPr>
        <w:spacing w:after="80" w:line="300"/>
      </w:pPr>
      <w:r>
        <w:rPr>
          <w:rFonts w:ascii="Yu Mincho" w:cs="Yu Mincho" w:eastAsia="Yu Mincho" w:hAnsi="Yu Mincho"/>
          <w:sz w:val="21"/>
          <w:szCs w:val="21"/>
        </w:rPr>
        <w:t xml:space="preserve">Henry, E. 2008. Are investors influenced by how earnings press releases are written? Journal of Business Communication 45: 363–407.</w:t>
      </w:r>
    </w:p>
    <w:p>
      <w:pPr>
        <w:pStyle w:val="ListParagraph"/>
        <w:numPr>
          <w:ilvl w:val="0"/>
          <w:numId w:val="2"/>
        </w:numPr>
        <w:spacing w:after="80" w:line="300"/>
      </w:pPr>
      <w:r>
        <w:rPr>
          <w:rFonts w:ascii="Yu Mincho" w:cs="Yu Mincho" w:eastAsia="Yu Mincho" w:hAnsi="Yu Mincho"/>
          <w:sz w:val="21"/>
          <w:szCs w:val="21"/>
        </w:rPr>
        <w:t xml:space="preserve">Hirshleifer, D. A., K. Hou, S. Teoh, and Y. Zhang. 2004. Do investors overvalue firms with bloated balance sheets? Journal of Accounting and Economics 38: 297–331.</w:t>
      </w:r>
    </w:p>
    <w:p>
      <w:pPr>
        <w:pStyle w:val="ListParagraph"/>
        <w:numPr>
          <w:ilvl w:val="0"/>
          <w:numId w:val="2"/>
        </w:numPr>
        <w:spacing w:after="80" w:line="300"/>
      </w:pPr>
      <w:r>
        <w:rPr>
          <w:rFonts w:ascii="Yu Mincho" w:cs="Yu Mincho" w:eastAsia="Yu Mincho" w:hAnsi="Yu Mincho"/>
          <w:sz w:val="21"/>
          <w:szCs w:val="21"/>
        </w:rPr>
        <w:t xml:space="preserve">Huang, A. H., A. Y. Zang, and R. Zheng. 2014a. Evidence on the information content of text in analyst reports. The Accounting Review 89(6): 2151-2180.</w:t>
      </w:r>
    </w:p>
    <w:p>
      <w:pPr>
        <w:pStyle w:val="ListParagraph"/>
        <w:numPr>
          <w:ilvl w:val="0"/>
          <w:numId w:val="2"/>
        </w:numPr>
        <w:spacing w:after="80" w:line="300"/>
      </w:pPr>
      <w:r>
        <w:rPr>
          <w:rFonts w:ascii="Yu Mincho" w:cs="Yu Mincho" w:eastAsia="Yu Mincho" w:hAnsi="Yu Mincho"/>
          <w:sz w:val="21"/>
          <w:szCs w:val="21"/>
        </w:rPr>
        <w:t xml:space="preserve">Huang, X., S. H. Teoh, and Y. L. Zhang. 2014b. Tone management. The Accounting Review 89(3): 1083-1113.</w:t>
      </w:r>
    </w:p>
    <w:p>
      <w:pPr>
        <w:pStyle w:val="ListParagraph"/>
        <w:numPr>
          <w:ilvl w:val="0"/>
          <w:numId w:val="2"/>
        </w:numPr>
        <w:spacing w:after="80" w:line="300"/>
      </w:pPr>
      <w:r>
        <w:rPr>
          <w:rFonts w:ascii="Yu Mincho" w:cs="Yu Mincho" w:eastAsia="Yu Mincho" w:hAnsi="Yu Mincho"/>
          <w:sz w:val="21"/>
          <w:szCs w:val="21"/>
        </w:rPr>
        <w:t xml:space="preserve">Jiang, J. X. 2008. Beating earnings benchmarks and the cost of debt. The Accounting Review 83(2): 377–416.</w:t>
      </w:r>
    </w:p>
    <w:p>
      <w:pPr>
        <w:pStyle w:val="ListParagraph"/>
        <w:numPr>
          <w:ilvl w:val="0"/>
          <w:numId w:val="2"/>
        </w:numPr>
        <w:spacing w:after="80" w:line="300"/>
      </w:pPr>
      <w:r>
        <w:rPr>
          <w:rFonts w:ascii="Yu Mincho" w:cs="Yu Mincho" w:eastAsia="Yu Mincho" w:hAnsi="Yu Mincho"/>
          <w:sz w:val="21"/>
          <w:szCs w:val="21"/>
        </w:rPr>
        <w:t xml:space="preserve">Joh, S. 1999. Strategic managerial incentive compensation in Japan: Relative performance evaluation and product market collusion. The Review of Economics and Statistics 81(2): 303-313.</w:t>
      </w:r>
    </w:p>
    <w:p>
      <w:pPr>
        <w:pStyle w:val="ListParagraph"/>
        <w:numPr>
          <w:ilvl w:val="0"/>
          <w:numId w:val="2"/>
        </w:numPr>
        <w:spacing w:after="80" w:line="300"/>
      </w:pPr>
      <w:r>
        <w:rPr>
          <w:rFonts w:ascii="Yu Mincho" w:cs="Yu Mincho" w:eastAsia="Yu Mincho" w:hAnsi="Yu Mincho"/>
          <w:sz w:val="21"/>
          <w:szCs w:val="21"/>
        </w:rPr>
        <w:t xml:space="preserve">Johnson, V., I. Khurana, and J. Reynolds. 2002. Audit-firm tenure and the quality of financial reports. Contemporary Accounting Research 19(4): 637–660.</w:t>
      </w:r>
    </w:p>
    <w:p>
      <w:pPr>
        <w:pStyle w:val="ListParagraph"/>
        <w:numPr>
          <w:ilvl w:val="0"/>
          <w:numId w:val="2"/>
        </w:numPr>
        <w:spacing w:after="80" w:line="300"/>
      </w:pPr>
      <w:r>
        <w:rPr>
          <w:rFonts w:ascii="Yu Mincho" w:cs="Yu Mincho" w:eastAsia="Yu Mincho" w:hAnsi="Yu Mincho"/>
          <w:sz w:val="21"/>
          <w:szCs w:val="21"/>
        </w:rPr>
        <w:t xml:space="preserve">Jones, J. 1991. Earnings management during import relief investigations. Journal of Accounting Research 29: 193-228.</w:t>
      </w:r>
    </w:p>
    <w:p>
      <w:pPr>
        <w:pStyle w:val="ListParagraph"/>
        <w:numPr>
          <w:ilvl w:val="0"/>
          <w:numId w:val="2"/>
        </w:numPr>
        <w:spacing w:after="80" w:line="300"/>
      </w:pPr>
      <w:r>
        <w:rPr>
          <w:rFonts w:ascii="Yu Mincho" w:cs="Yu Mincho" w:eastAsia="Yu Mincho" w:hAnsi="Yu Mincho"/>
          <w:sz w:val="21"/>
          <w:szCs w:val="21"/>
        </w:rPr>
        <w:t xml:space="preserve">Jung, B., N. Soderstrom, and S. Yang. 2013. Earnings smoothing activities of firms to manage credit ratings. Contemporary Accounting Research.</w:t>
      </w:r>
    </w:p>
    <w:p>
      <w:pPr>
        <w:pStyle w:val="ListParagraph"/>
        <w:numPr>
          <w:ilvl w:val="0"/>
          <w:numId w:val="2"/>
        </w:numPr>
        <w:spacing w:after="80" w:line="300"/>
      </w:pPr>
      <w:r>
        <w:rPr>
          <w:rFonts w:ascii="Yu Mincho" w:cs="Yu Mincho" w:eastAsia="Yu Mincho" w:hAnsi="Yu Mincho"/>
          <w:sz w:val="21"/>
          <w:szCs w:val="21"/>
        </w:rPr>
        <w:t xml:space="preserve">Kasznik, R. 1999. On the association between voluntary disclosure and earnings management. Journal of Accounting Research 37: 57-81.</w:t>
      </w:r>
    </w:p>
    <w:p>
      <w:pPr>
        <w:pStyle w:val="ListParagraph"/>
        <w:numPr>
          <w:ilvl w:val="0"/>
          <w:numId w:val="2"/>
        </w:numPr>
        <w:spacing w:after="80" w:line="300"/>
      </w:pPr>
      <w:r>
        <w:rPr>
          <w:rFonts w:ascii="Yu Mincho" w:cs="Yu Mincho" w:eastAsia="Yu Mincho" w:hAnsi="Yu Mincho"/>
          <w:sz w:val="21"/>
          <w:szCs w:val="21"/>
        </w:rPr>
        <w:t xml:space="preserve">Kearney, C., and S. Liu. 2014. Textual sentiment in finance: A survey of methods and models. International Review of Financial Analysis 33: 171–185.</w:t>
      </w:r>
    </w:p>
    <w:p>
      <w:pPr>
        <w:pStyle w:val="ListParagraph"/>
        <w:numPr>
          <w:ilvl w:val="0"/>
          <w:numId w:val="2"/>
        </w:numPr>
        <w:spacing w:after="80" w:line="300"/>
      </w:pPr>
      <w:r>
        <w:rPr>
          <w:rFonts w:ascii="Yu Mincho" w:cs="Yu Mincho" w:eastAsia="Yu Mincho" w:hAnsi="Yu Mincho"/>
          <w:sz w:val="21"/>
          <w:szCs w:val="21"/>
        </w:rPr>
        <w:t xml:space="preserve">Key, K. G. 1997. Political cost incentives for earnings management in the cable television industry. Journal of Accounting and Economics 23: 309-337.</w:t>
      </w:r>
    </w:p>
    <w:p>
      <w:pPr>
        <w:pStyle w:val="ListParagraph"/>
        <w:numPr>
          <w:ilvl w:val="0"/>
          <w:numId w:val="2"/>
        </w:numPr>
        <w:spacing w:after="80" w:line="300"/>
      </w:pPr>
      <w:r>
        <w:rPr>
          <w:rFonts w:ascii="Yu Mincho" w:cs="Yu Mincho" w:eastAsia="Yu Mincho" w:hAnsi="Yu Mincho"/>
          <w:sz w:val="21"/>
          <w:szCs w:val="21"/>
        </w:rPr>
        <w:t xml:space="preserve">Kim, J. B., and C. H. Yi. 2006. Ownership structure, business group affiliation, listing status, and earnings management: Evidence from Korea. Contemporary Accounting Research 23(2): 427-464.</w:t>
      </w:r>
    </w:p>
    <w:p>
      <w:pPr>
        <w:pStyle w:val="ListParagraph"/>
        <w:numPr>
          <w:ilvl w:val="0"/>
          <w:numId w:val="2"/>
        </w:numPr>
        <w:spacing w:after="80" w:line="300"/>
      </w:pPr>
      <w:r>
        <w:rPr>
          <w:rFonts w:ascii="Yu Mincho" w:cs="Yu Mincho" w:eastAsia="Yu Mincho" w:hAnsi="Yu Mincho"/>
          <w:sz w:val="21"/>
          <w:szCs w:val="21"/>
        </w:rPr>
        <w:t xml:space="preserve">Klein, A. 2002. Audit committee, board of director characteristics, and earnings management. Journal of Accounting and Economics 33(3): 375-400.</w:t>
      </w:r>
    </w:p>
    <w:p>
      <w:pPr>
        <w:pStyle w:val="ListParagraph"/>
        <w:numPr>
          <w:ilvl w:val="0"/>
          <w:numId w:val="2"/>
        </w:numPr>
        <w:spacing w:after="80" w:line="300"/>
      </w:pPr>
      <w:r>
        <w:rPr>
          <w:rFonts w:ascii="Yu Mincho" w:cs="Yu Mincho" w:eastAsia="Yu Mincho" w:hAnsi="Yu Mincho"/>
          <w:sz w:val="21"/>
          <w:szCs w:val="21"/>
        </w:rPr>
        <w:t xml:space="preserve">Kothari, S. P., A. J. Leone, and C. E. Wasley. 2005. Performance matched discretionary accrual measures. Journal of Accounting and Economics 39: 163-197.</w:t>
      </w:r>
    </w:p>
    <w:p>
      <w:pPr>
        <w:pStyle w:val="ListParagraph"/>
        <w:numPr>
          <w:ilvl w:val="0"/>
          <w:numId w:val="2"/>
        </w:numPr>
        <w:spacing w:after="80" w:line="300"/>
      </w:pPr>
      <w:r>
        <w:rPr>
          <w:rFonts w:ascii="Yu Mincho" w:cs="Yu Mincho" w:eastAsia="Yu Mincho" w:hAnsi="Yu Mincho"/>
          <w:sz w:val="21"/>
          <w:szCs w:val="21"/>
        </w:rPr>
        <w:t xml:space="preserve">Krishnan, G. 2003. Does Big 6 auditor industry expertise constrain earnings management? Accounting Horizons 17: 1-16.</w:t>
      </w:r>
    </w:p>
    <w:p>
      <w:pPr>
        <w:pStyle w:val="ListParagraph"/>
        <w:numPr>
          <w:ilvl w:val="0"/>
          <w:numId w:val="2"/>
        </w:numPr>
        <w:spacing w:after="80" w:line="300"/>
      </w:pPr>
      <w:r>
        <w:rPr>
          <w:rFonts w:ascii="Yu Mincho" w:cs="Yu Mincho" w:eastAsia="Yu Mincho" w:hAnsi="Yu Mincho"/>
          <w:sz w:val="21"/>
          <w:szCs w:val="21"/>
        </w:rPr>
        <w:t xml:space="preserve">Krishnan, J., Y. Wen, and W. Zhao. 2011. Legal expertise on corporate audit committees and financial reporting quality. The Accounting Review 86(6): 2099-2130.</w:t>
      </w:r>
    </w:p>
    <w:p>
      <w:pPr>
        <w:pStyle w:val="ListParagraph"/>
        <w:numPr>
          <w:ilvl w:val="0"/>
          <w:numId w:val="2"/>
        </w:numPr>
        <w:spacing w:after="80" w:line="300"/>
      </w:pPr>
      <w:r>
        <w:rPr>
          <w:rFonts w:ascii="Yu Mincho" w:cs="Yu Mincho" w:eastAsia="Yu Mincho" w:hAnsi="Yu Mincho"/>
          <w:sz w:val="21"/>
          <w:szCs w:val="21"/>
        </w:rPr>
        <w:t xml:space="preserve">Kubota, K., K. Suda, and H. Takehara. 2006. Revisions of analysts' forecasts and stock price adjustments to abnormal accruals: Evidence from the Tokyo Stock Exchange firms. Working Paper.</w:t>
      </w:r>
    </w:p>
    <w:p>
      <w:pPr>
        <w:pStyle w:val="ListParagraph"/>
        <w:numPr>
          <w:ilvl w:val="0"/>
          <w:numId w:val="2"/>
        </w:numPr>
        <w:spacing w:after="80" w:line="300"/>
      </w:pPr>
      <w:r>
        <w:rPr>
          <w:rFonts w:ascii="Yu Mincho" w:cs="Yu Mincho" w:eastAsia="Yu Mincho" w:hAnsi="Yu Mincho"/>
          <w:sz w:val="21"/>
          <w:szCs w:val="21"/>
        </w:rPr>
        <w:t xml:space="preserve">Lambert, R., and D. Larcker. 1987. An analysis of the use of accounting and market measures of performance in executive compensation contracts. Journal of Accounting Research 25: 95-125.</w:t>
      </w:r>
    </w:p>
    <w:p>
      <w:pPr>
        <w:pStyle w:val="ListParagraph"/>
        <w:numPr>
          <w:ilvl w:val="0"/>
          <w:numId w:val="2"/>
        </w:numPr>
        <w:spacing w:after="80" w:line="300"/>
      </w:pPr>
      <w:r>
        <w:rPr>
          <w:rFonts w:ascii="Yu Mincho" w:cs="Yu Mincho" w:eastAsia="Yu Mincho" w:hAnsi="Yu Mincho"/>
          <w:sz w:val="21"/>
          <w:szCs w:val="21"/>
        </w:rPr>
        <w:t xml:space="preserve">Larcker, D. F. 1983. The association between performance plan adoption and corporate capital investment. Journal of Accounting and Economics 5: 3-30.</w:t>
      </w:r>
    </w:p>
    <w:p>
      <w:pPr>
        <w:pStyle w:val="ListParagraph"/>
        <w:numPr>
          <w:ilvl w:val="0"/>
          <w:numId w:val="2"/>
        </w:numPr>
        <w:spacing w:after="80" w:line="300"/>
      </w:pPr>
      <w:r>
        <w:rPr>
          <w:rFonts w:ascii="Yu Mincho" w:cs="Yu Mincho" w:eastAsia="Yu Mincho" w:hAnsi="Yu Mincho"/>
          <w:sz w:val="21"/>
          <w:szCs w:val="21"/>
        </w:rPr>
        <w:t xml:space="preserve">Lawrence, A. 2013. Individual investors and financial disclosure. Journal of Accounting and Economics 56(1): 130-147.</w:t>
      </w:r>
    </w:p>
    <w:p>
      <w:pPr>
        <w:pStyle w:val="ListParagraph"/>
        <w:numPr>
          <w:ilvl w:val="0"/>
          <w:numId w:val="2"/>
        </w:numPr>
        <w:spacing w:after="80" w:line="300"/>
      </w:pPr>
      <w:r>
        <w:rPr>
          <w:rFonts w:ascii="Yu Mincho" w:cs="Yu Mincho" w:eastAsia="Yu Mincho" w:hAnsi="Yu Mincho"/>
          <w:sz w:val="21"/>
          <w:szCs w:val="21"/>
        </w:rPr>
        <w:t xml:space="preserve">Leftwich, R. 1983. Accounting information in private markets. The Accounting Review 58: 23-42.</w:t>
      </w:r>
    </w:p>
    <w:p>
      <w:pPr>
        <w:pStyle w:val="ListParagraph"/>
        <w:numPr>
          <w:ilvl w:val="0"/>
          <w:numId w:val="2"/>
        </w:numPr>
        <w:spacing w:after="80" w:line="300"/>
      </w:pPr>
      <w:r>
        <w:rPr>
          <w:rFonts w:ascii="Yu Mincho" w:cs="Yu Mincho" w:eastAsia="Yu Mincho" w:hAnsi="Yu Mincho"/>
          <w:sz w:val="21"/>
          <w:szCs w:val="21"/>
        </w:rPr>
        <w:t xml:space="preserve">Li, F. 2008. Annual report readability, current earnings, and earnings persistence. Journal of Accounting and Economics 45: 221–247.</w:t>
      </w:r>
    </w:p>
    <w:p>
      <w:pPr>
        <w:pStyle w:val="ListParagraph"/>
        <w:numPr>
          <w:ilvl w:val="0"/>
          <w:numId w:val="2"/>
        </w:numPr>
        <w:spacing w:after="80" w:line="300"/>
      </w:pPr>
      <w:r>
        <w:rPr>
          <w:rFonts w:ascii="Yu Mincho" w:cs="Yu Mincho" w:eastAsia="Yu Mincho" w:hAnsi="Yu Mincho"/>
          <w:sz w:val="21"/>
          <w:szCs w:val="21"/>
        </w:rPr>
        <w:t xml:space="preserve">Li, F. 2010a. The information content of forward-looking statements in corporate filings—A naïve Bayesian machine learning approach. Journal of Accounting Research 48(5): 1049-1102.</w:t>
      </w:r>
    </w:p>
    <w:p>
      <w:pPr>
        <w:pStyle w:val="ListParagraph"/>
        <w:numPr>
          <w:ilvl w:val="0"/>
          <w:numId w:val="2"/>
        </w:numPr>
        <w:spacing w:after="80" w:line="300"/>
      </w:pPr>
      <w:r>
        <w:rPr>
          <w:rFonts w:ascii="Yu Mincho" w:cs="Yu Mincho" w:eastAsia="Yu Mincho" w:hAnsi="Yu Mincho"/>
          <w:sz w:val="21"/>
          <w:szCs w:val="21"/>
        </w:rPr>
        <w:t xml:space="preserve">Li, F. 2010b. Textual analysis of corporate disclosures: A survey of the literature. Journal of Accounting Literature 29: 143–165.</w:t>
      </w:r>
    </w:p>
    <w:p>
      <w:pPr>
        <w:pStyle w:val="ListParagraph"/>
        <w:numPr>
          <w:ilvl w:val="0"/>
          <w:numId w:val="2"/>
        </w:numPr>
        <w:spacing w:after="80" w:line="300"/>
      </w:pPr>
      <w:r>
        <w:rPr>
          <w:rFonts w:ascii="Yu Mincho" w:cs="Yu Mincho" w:eastAsia="Yu Mincho" w:hAnsi="Yu Mincho"/>
          <w:sz w:val="21"/>
          <w:szCs w:val="21"/>
        </w:rPr>
        <w:t xml:space="preserve">Louis, H. 2004. Earnings management and the market performance of acquiring firms. Journal of Financial Economics 74(1): 121–148.</w:t>
      </w:r>
    </w:p>
    <w:p>
      <w:pPr>
        <w:pStyle w:val="ListParagraph"/>
        <w:numPr>
          <w:ilvl w:val="0"/>
          <w:numId w:val="2"/>
        </w:numPr>
        <w:spacing w:after="80" w:line="300"/>
      </w:pPr>
      <w:r>
        <w:rPr>
          <w:rFonts w:ascii="Yu Mincho" w:cs="Yu Mincho" w:eastAsia="Yu Mincho" w:hAnsi="Yu Mincho"/>
          <w:sz w:val="21"/>
          <w:szCs w:val="21"/>
        </w:rPr>
        <w:t xml:space="preserve">Loughran, T., and B. McDonald. 2011. When is a liability not a liability? Textual analysis, dictionaries, and 10-Ks. Journal of Finance 66(1): 35-65.</w:t>
      </w:r>
    </w:p>
    <w:p>
      <w:pPr>
        <w:pStyle w:val="ListParagraph"/>
        <w:numPr>
          <w:ilvl w:val="0"/>
          <w:numId w:val="2"/>
        </w:numPr>
        <w:spacing w:after="80" w:line="300"/>
      </w:pPr>
      <w:r>
        <w:rPr>
          <w:rFonts w:ascii="Yu Mincho" w:cs="Yu Mincho" w:eastAsia="Yu Mincho" w:hAnsi="Yu Mincho"/>
          <w:sz w:val="21"/>
          <w:szCs w:val="21"/>
        </w:rPr>
        <w:t xml:space="preserve">Loughran, T., and B. McDonald. 2014. Measuring readability in financial disclosures. Journal of Finance 69(4): 1643–1671.</w:t>
      </w:r>
    </w:p>
    <w:p>
      <w:pPr>
        <w:pStyle w:val="ListParagraph"/>
        <w:numPr>
          <w:ilvl w:val="0"/>
          <w:numId w:val="2"/>
        </w:numPr>
        <w:spacing w:after="80" w:line="300"/>
      </w:pPr>
      <w:r>
        <w:rPr>
          <w:rFonts w:ascii="Yu Mincho" w:cs="Yu Mincho" w:eastAsia="Yu Mincho" w:hAnsi="Yu Mincho"/>
          <w:sz w:val="21"/>
          <w:szCs w:val="21"/>
        </w:rPr>
        <w:t xml:space="preserve">Loughran, T., and B. McDonald. 2016. Textual analysis in accounting and finance: A survey. Journal of Accounting Research 54(4): 1187–1230.</w:t>
      </w:r>
    </w:p>
    <w:p>
      <w:pPr>
        <w:pStyle w:val="ListParagraph"/>
        <w:numPr>
          <w:ilvl w:val="0"/>
          <w:numId w:val="2"/>
        </w:numPr>
        <w:spacing w:after="80" w:line="300"/>
      </w:pPr>
      <w:r>
        <w:rPr>
          <w:rFonts w:ascii="Yu Mincho" w:cs="Yu Mincho" w:eastAsia="Yu Mincho" w:hAnsi="Yu Mincho"/>
          <w:sz w:val="21"/>
          <w:szCs w:val="21"/>
        </w:rPr>
        <w:t xml:space="preserve">McNichols, M., and J. G. Manegold. 1983. The effect of the information environment on the relationship between financial disclosure and security price variability. Journal of Accounting and Economics 5: 49-74.</w:t>
      </w:r>
    </w:p>
    <w:p>
      <w:pPr>
        <w:pStyle w:val="ListParagraph"/>
        <w:numPr>
          <w:ilvl w:val="0"/>
          <w:numId w:val="2"/>
        </w:numPr>
        <w:spacing w:after="80" w:line="300"/>
      </w:pPr>
      <w:r>
        <w:rPr>
          <w:rFonts w:ascii="Yu Mincho" w:cs="Yu Mincho" w:eastAsia="Yu Mincho" w:hAnsi="Yu Mincho"/>
          <w:sz w:val="21"/>
          <w:szCs w:val="21"/>
        </w:rPr>
        <w:t xml:space="preserve">McNichols, M. F. 2000. Research design issues in earnings management studies. Journal of Accounting and Public Policy 19: 313-345.</w:t>
      </w:r>
    </w:p>
    <w:p>
      <w:pPr>
        <w:pStyle w:val="ListParagraph"/>
        <w:numPr>
          <w:ilvl w:val="0"/>
          <w:numId w:val="2"/>
        </w:numPr>
        <w:spacing w:after="80" w:line="300"/>
      </w:pPr>
      <w:r>
        <w:rPr>
          <w:rFonts w:ascii="Yu Mincho" w:cs="Yu Mincho" w:eastAsia="Yu Mincho" w:hAnsi="Yu Mincho"/>
          <w:sz w:val="21"/>
          <w:szCs w:val="21"/>
        </w:rPr>
        <w:t xml:space="preserve">Miller, B. P. 2010. The effects of reporting complexity on small and large investor trading. The Accounting Review 85(6): 2107-2143.</w:t>
      </w:r>
    </w:p>
    <w:p>
      <w:pPr>
        <w:pStyle w:val="ListParagraph"/>
        <w:numPr>
          <w:ilvl w:val="0"/>
          <w:numId w:val="2"/>
        </w:numPr>
        <w:spacing w:after="80" w:line="300"/>
      </w:pPr>
      <w:r>
        <w:rPr>
          <w:rFonts w:ascii="Yu Mincho" w:cs="Yu Mincho" w:eastAsia="Yu Mincho" w:hAnsi="Yu Mincho"/>
          <w:sz w:val="21"/>
          <w:szCs w:val="21"/>
        </w:rPr>
        <w:t xml:space="preserve">Morse, D. 1981. Price and trading volume reaction surrounding earnings announcements: A closer examination. Journal of Accounting Research 19: 374-383.</w:t>
      </w:r>
    </w:p>
    <w:p>
      <w:pPr>
        <w:pStyle w:val="ListParagraph"/>
        <w:numPr>
          <w:ilvl w:val="0"/>
          <w:numId w:val="2"/>
        </w:numPr>
        <w:spacing w:after="80" w:line="300"/>
      </w:pPr>
      <w:r>
        <w:rPr>
          <w:rFonts w:ascii="Yu Mincho" w:cs="Yu Mincho" w:eastAsia="Yu Mincho" w:hAnsi="Yu Mincho"/>
          <w:sz w:val="21"/>
          <w:szCs w:val="21"/>
        </w:rPr>
        <w:t xml:space="preserve">Murphy, K. J. 1998. Executive compensation. Working Paper, University of Southern California.</w:t>
      </w:r>
    </w:p>
    <w:p>
      <w:pPr>
        <w:pStyle w:val="ListParagraph"/>
        <w:numPr>
          <w:ilvl w:val="0"/>
          <w:numId w:val="2"/>
        </w:numPr>
        <w:spacing w:after="80" w:line="300"/>
      </w:pPr>
      <w:r>
        <w:rPr>
          <w:rFonts w:ascii="Yu Mincho" w:cs="Yu Mincho" w:eastAsia="Yu Mincho" w:hAnsi="Yu Mincho"/>
          <w:sz w:val="21"/>
          <w:szCs w:val="21"/>
        </w:rPr>
        <w:t xml:space="preserve">Murphy, K., and J. Zimmerman. 1993. Financial performance surrounding CEO turnover. Journal of Accounting and Economics 16: 273-315.</w:t>
      </w:r>
    </w:p>
    <w:p>
      <w:pPr>
        <w:pStyle w:val="ListParagraph"/>
        <w:numPr>
          <w:ilvl w:val="0"/>
          <w:numId w:val="2"/>
        </w:numPr>
        <w:spacing w:after="80" w:line="300"/>
      </w:pPr>
      <w:r>
        <w:rPr>
          <w:rFonts w:ascii="Yu Mincho" w:cs="Yu Mincho" w:eastAsia="Yu Mincho" w:hAnsi="Yu Mincho"/>
          <w:sz w:val="21"/>
          <w:szCs w:val="21"/>
        </w:rPr>
        <w:t xml:space="preserve">Ohlson, J. A. 1980. Financial ratios and the probabilistic prediction of bankruptcy. Journal of Accounting Research 18(1): 109–131.</w:t>
      </w:r>
    </w:p>
    <w:p>
      <w:pPr>
        <w:pStyle w:val="ListParagraph"/>
        <w:numPr>
          <w:ilvl w:val="0"/>
          <w:numId w:val="2"/>
        </w:numPr>
        <w:spacing w:after="80" w:line="300"/>
      </w:pPr>
      <w:r>
        <w:rPr>
          <w:rFonts w:ascii="Yu Mincho" w:cs="Yu Mincho" w:eastAsia="Yu Mincho" w:hAnsi="Yu Mincho"/>
          <w:sz w:val="21"/>
          <w:szCs w:val="21"/>
        </w:rPr>
        <w:t xml:space="preserve">Ohlson, J. A. 1995. Earnings, book values, and dividends in equity valuation. Contemporary Accounting Research 11: 661-687.</w:t>
      </w:r>
    </w:p>
    <w:p>
      <w:pPr>
        <w:pStyle w:val="ListParagraph"/>
        <w:numPr>
          <w:ilvl w:val="0"/>
          <w:numId w:val="2"/>
        </w:numPr>
        <w:spacing w:after="80" w:line="300"/>
      </w:pPr>
      <w:r>
        <w:rPr>
          <w:rFonts w:ascii="Yu Mincho" w:cs="Yu Mincho" w:eastAsia="Yu Mincho" w:hAnsi="Yu Mincho"/>
          <w:sz w:val="21"/>
          <w:szCs w:val="21"/>
        </w:rPr>
        <w:t xml:space="preserve">Ou, J. A., and S. H. Penman. 1989. Financial statement analysis and the prediction of stock returns. Journal of Accounting and Economics 13: 223-252.</w:t>
      </w:r>
    </w:p>
    <w:p>
      <w:pPr>
        <w:pStyle w:val="ListParagraph"/>
        <w:numPr>
          <w:ilvl w:val="0"/>
          <w:numId w:val="2"/>
        </w:numPr>
        <w:spacing w:after="80" w:line="300"/>
      </w:pPr>
      <w:r>
        <w:rPr>
          <w:rFonts w:ascii="Yu Mincho" w:cs="Yu Mincho" w:eastAsia="Yu Mincho" w:hAnsi="Yu Mincho"/>
          <w:sz w:val="21"/>
          <w:szCs w:val="21"/>
        </w:rPr>
        <w:t xml:space="preserve">Patell, J. M., and M. A. Wolfson. 1984. The intraday speed of adjustment of stock prices to earnings and dividend announcements. Journal of Financial Economics 13: 223-252.</w:t>
      </w:r>
    </w:p>
    <w:p>
      <w:pPr>
        <w:pStyle w:val="ListParagraph"/>
        <w:numPr>
          <w:ilvl w:val="0"/>
          <w:numId w:val="2"/>
        </w:numPr>
        <w:spacing w:after="80" w:line="300"/>
      </w:pPr>
      <w:r>
        <w:rPr>
          <w:rFonts w:ascii="Yu Mincho" w:cs="Yu Mincho" w:eastAsia="Yu Mincho" w:hAnsi="Yu Mincho"/>
          <w:sz w:val="21"/>
          <w:szCs w:val="21"/>
        </w:rPr>
        <w:t xml:space="preserve">Penman, S. H., and T. Sougiannis. 1997/1998. The dividends displacement property and the substitution of anticipated earnings for dividends in equity valuation. The Accounting Review 72: 1-27.</w:t>
      </w:r>
    </w:p>
    <w:p>
      <w:pPr>
        <w:pStyle w:val="ListParagraph"/>
        <w:numPr>
          <w:ilvl w:val="0"/>
          <w:numId w:val="2"/>
        </w:numPr>
        <w:spacing w:after="80" w:line="300"/>
      </w:pPr>
      <w:r>
        <w:rPr>
          <w:rFonts w:ascii="Yu Mincho" w:cs="Yu Mincho" w:eastAsia="Yu Mincho" w:hAnsi="Yu Mincho"/>
          <w:sz w:val="21"/>
          <w:szCs w:val="21"/>
        </w:rPr>
        <w:t xml:space="preserve">Perry, S. E., and T. H. Williams. 1994. Earnings management preceding management buyout offers. Journal of Accounting and Economics 18(2): 157-179.</w:t>
      </w:r>
    </w:p>
    <w:p>
      <w:pPr>
        <w:pStyle w:val="ListParagraph"/>
        <w:numPr>
          <w:ilvl w:val="0"/>
          <w:numId w:val="2"/>
        </w:numPr>
        <w:spacing w:after="80" w:line="300"/>
      </w:pPr>
      <w:r>
        <w:rPr>
          <w:rFonts w:ascii="Yu Mincho" w:cs="Yu Mincho" w:eastAsia="Yu Mincho" w:hAnsi="Yu Mincho"/>
          <w:sz w:val="21"/>
          <w:szCs w:val="21"/>
        </w:rPr>
        <w:t xml:space="preserve">Plummer, C. E., and S. Y. Tse. 1999. The effect of limited liability on the informativeness of earnings: Evidence from the stock and bond markets. Contemporary Accounting Research 16(3): 541–574.</w:t>
      </w:r>
    </w:p>
    <w:p>
      <w:pPr>
        <w:pStyle w:val="ListParagraph"/>
        <w:numPr>
          <w:ilvl w:val="0"/>
          <w:numId w:val="2"/>
        </w:numPr>
        <w:spacing w:after="80" w:line="300"/>
      </w:pPr>
      <w:r>
        <w:rPr>
          <w:rFonts w:ascii="Yu Mincho" w:cs="Yu Mincho" w:eastAsia="Yu Mincho" w:hAnsi="Yu Mincho"/>
          <w:sz w:val="21"/>
          <w:szCs w:val="21"/>
        </w:rPr>
        <w:t xml:space="preserve">Pourciau, S. 1993. Earnings management and nonroutine executive changes. Journal of Accounting and Economics 16: 317-336.</w:t>
      </w:r>
    </w:p>
    <w:p>
      <w:pPr>
        <w:pStyle w:val="ListParagraph"/>
        <w:numPr>
          <w:ilvl w:val="0"/>
          <w:numId w:val="2"/>
        </w:numPr>
        <w:spacing w:after="80" w:line="300"/>
      </w:pPr>
      <w:r>
        <w:rPr>
          <w:rFonts w:ascii="Yu Mincho" w:cs="Yu Mincho" w:eastAsia="Yu Mincho" w:hAnsi="Yu Mincho"/>
          <w:sz w:val="21"/>
          <w:szCs w:val="21"/>
        </w:rPr>
        <w:t xml:space="preserve">Purda, L., and D. Skillicorn. 2015. Accounting variables, deception, and a bag of words: Assessing the tools of fraud detection. Contemporary Accounting Research 32(3): 1193-1223.</w:t>
      </w:r>
    </w:p>
    <w:p>
      <w:pPr>
        <w:pStyle w:val="ListParagraph"/>
        <w:numPr>
          <w:ilvl w:val="0"/>
          <w:numId w:val="2"/>
        </w:numPr>
        <w:spacing w:after="80" w:line="300"/>
      </w:pPr>
      <w:r>
        <w:rPr>
          <w:rFonts w:ascii="Yu Mincho" w:cs="Yu Mincho" w:eastAsia="Yu Mincho" w:hAnsi="Yu Mincho"/>
          <w:sz w:val="21"/>
          <w:szCs w:val="21"/>
        </w:rPr>
        <w:t xml:space="preserve">Rangan, S. 1998. Earnings management and the performance of seasoned equity offerings. Journal of Financial Economics 50(1): 101-122.</w:t>
      </w:r>
    </w:p>
    <w:p>
      <w:pPr>
        <w:pStyle w:val="ListParagraph"/>
        <w:numPr>
          <w:ilvl w:val="0"/>
          <w:numId w:val="2"/>
        </w:numPr>
        <w:spacing w:after="80" w:line="300"/>
      </w:pPr>
      <w:r>
        <w:rPr>
          <w:rFonts w:ascii="Yu Mincho" w:cs="Yu Mincho" w:eastAsia="Yu Mincho" w:hAnsi="Yu Mincho"/>
          <w:sz w:val="21"/>
          <w:szCs w:val="21"/>
        </w:rPr>
        <w:t xml:space="preserve">Reitenga, A. L. 2000. Environmental regulation, capital intensity and cross-sectional variation in market returns. Journal of Accounting and Public Policy 19: 189-198.</w:t>
      </w:r>
    </w:p>
    <w:p>
      <w:pPr>
        <w:pStyle w:val="ListParagraph"/>
        <w:numPr>
          <w:ilvl w:val="0"/>
          <w:numId w:val="2"/>
        </w:numPr>
        <w:spacing w:after="80" w:line="300"/>
      </w:pPr>
      <w:r>
        <w:rPr>
          <w:rFonts w:ascii="Yu Mincho" w:cs="Yu Mincho" w:eastAsia="Yu Mincho" w:hAnsi="Yu Mincho"/>
          <w:sz w:val="21"/>
          <w:szCs w:val="21"/>
        </w:rPr>
        <w:t xml:space="preserve">Richardson, S. A., R. G. Sloan, M. T. Soliman, and I. Tuna. 2005. Accrual reliability, earnings persistence, and stock prices. Journal of Accounting and Economics 39(3): 437-485.</w:t>
      </w:r>
    </w:p>
    <w:p>
      <w:pPr>
        <w:pStyle w:val="ListParagraph"/>
        <w:numPr>
          <w:ilvl w:val="0"/>
          <w:numId w:val="2"/>
        </w:numPr>
        <w:spacing w:after="80" w:line="300"/>
      </w:pPr>
      <w:r>
        <w:rPr>
          <w:rFonts w:ascii="Yu Mincho" w:cs="Yu Mincho" w:eastAsia="Yu Mincho" w:hAnsi="Yu Mincho"/>
          <w:sz w:val="21"/>
          <w:szCs w:val="21"/>
        </w:rPr>
        <w:t xml:space="preserve">Roychowdhury, S. 2006. Earnings management through real activities manipulation. Journal of Accounting and Economics 42(3): 335-370.</w:t>
      </w:r>
    </w:p>
    <w:p>
      <w:pPr>
        <w:pStyle w:val="ListParagraph"/>
        <w:numPr>
          <w:ilvl w:val="0"/>
          <w:numId w:val="2"/>
        </w:numPr>
        <w:spacing w:after="80" w:line="300"/>
      </w:pPr>
      <w:r>
        <w:rPr>
          <w:rFonts w:ascii="Yu Mincho" w:cs="Yu Mincho" w:eastAsia="Yu Mincho" w:hAnsi="Yu Mincho"/>
          <w:sz w:val="21"/>
          <w:szCs w:val="21"/>
        </w:rPr>
        <w:t xml:space="preserve">Schipper, K. 1989. Commentary on earnings management. Accounting Horizons 3: 91-102.</w:t>
      </w:r>
    </w:p>
    <w:p>
      <w:pPr>
        <w:pStyle w:val="ListParagraph"/>
        <w:numPr>
          <w:ilvl w:val="0"/>
          <w:numId w:val="2"/>
        </w:numPr>
        <w:spacing w:after="80" w:line="300"/>
      </w:pPr>
      <w:r>
        <w:rPr>
          <w:rFonts w:ascii="Yu Mincho" w:cs="Yu Mincho" w:eastAsia="Yu Mincho" w:hAnsi="Yu Mincho"/>
          <w:sz w:val="21"/>
          <w:szCs w:val="21"/>
        </w:rPr>
        <w:t xml:space="preserve">Scott, W. R. 2003. Financial Accounting Theory, 3rd ed. Prentice-Hall.</w:t>
      </w:r>
    </w:p>
    <w:p>
      <w:pPr>
        <w:pStyle w:val="ListParagraph"/>
        <w:numPr>
          <w:ilvl w:val="0"/>
          <w:numId w:val="2"/>
        </w:numPr>
        <w:spacing w:after="80" w:line="300"/>
      </w:pPr>
      <w:r>
        <w:rPr>
          <w:rFonts w:ascii="Yu Mincho" w:cs="Yu Mincho" w:eastAsia="Yu Mincho" w:hAnsi="Yu Mincho"/>
          <w:sz w:val="21"/>
          <w:szCs w:val="21"/>
        </w:rPr>
        <w:t xml:space="preserve">Shuto, A. 2007. Executive compensation and earnings management: Empirical evidence from Japan. Journal of International Accounting, Auditing and Taxation 16: 1-26.</w:t>
      </w:r>
    </w:p>
    <w:p>
      <w:pPr>
        <w:pStyle w:val="ListParagraph"/>
        <w:numPr>
          <w:ilvl w:val="0"/>
          <w:numId w:val="2"/>
        </w:numPr>
        <w:spacing w:after="80" w:line="300"/>
      </w:pPr>
      <w:r>
        <w:rPr>
          <w:rFonts w:ascii="Yu Mincho" w:cs="Yu Mincho" w:eastAsia="Yu Mincho" w:hAnsi="Yu Mincho"/>
          <w:sz w:val="21"/>
          <w:szCs w:val="21"/>
        </w:rPr>
        <w:t xml:space="preserve">Shuto, A., and T. Iwasaki. 2015. The effect of institutional factors on discontinuities in earnings distribution: Public versus private firms in Japan. Journal of Accounting, Auditing &amp; Finance 30(3): 283-317.</w:t>
      </w:r>
    </w:p>
    <w:p>
      <w:pPr>
        <w:pStyle w:val="ListParagraph"/>
        <w:numPr>
          <w:ilvl w:val="0"/>
          <w:numId w:val="2"/>
        </w:numPr>
        <w:spacing w:after="80" w:line="300"/>
      </w:pPr>
      <w:r>
        <w:rPr>
          <w:rFonts w:ascii="Yu Mincho" w:cs="Yu Mincho" w:eastAsia="Yu Mincho" w:hAnsi="Yu Mincho"/>
          <w:sz w:val="21"/>
          <w:szCs w:val="21"/>
        </w:rPr>
        <w:t xml:space="preserve">Skinner, D. J. 2008. The rise of deferred tax assets in Japan: The role of deferred tax accounting in the Japanese banking crisis. Journal of Accounting and Economics 46(2-3): 218-239.</w:t>
      </w:r>
    </w:p>
    <w:p>
      <w:pPr>
        <w:pStyle w:val="ListParagraph"/>
        <w:numPr>
          <w:ilvl w:val="0"/>
          <w:numId w:val="2"/>
        </w:numPr>
        <w:spacing w:after="80" w:line="300"/>
      </w:pPr>
      <w:r>
        <w:rPr>
          <w:rFonts w:ascii="Yu Mincho" w:cs="Yu Mincho" w:eastAsia="Yu Mincho" w:hAnsi="Yu Mincho"/>
          <w:sz w:val="21"/>
          <w:szCs w:val="21"/>
        </w:rPr>
        <w:t xml:space="preserve">Sloan, R. 1993. Accounting earnings and top executive compensation. Journal of Accounting and Economics 16: 55-100.</w:t>
      </w:r>
    </w:p>
    <w:p>
      <w:pPr>
        <w:pStyle w:val="ListParagraph"/>
        <w:numPr>
          <w:ilvl w:val="0"/>
          <w:numId w:val="2"/>
        </w:numPr>
        <w:spacing w:after="80" w:line="300"/>
      </w:pPr>
      <w:r>
        <w:rPr>
          <w:rFonts w:ascii="Yu Mincho" w:cs="Yu Mincho" w:eastAsia="Yu Mincho" w:hAnsi="Yu Mincho"/>
          <w:sz w:val="21"/>
          <w:szCs w:val="21"/>
        </w:rPr>
        <w:t xml:space="preserve">Sloan, R. 1996. Do stock prices fully reflect information in accruals and cash flows about future earnings? The Accounting Review 71: 289-315.</w:t>
      </w:r>
    </w:p>
    <w:p>
      <w:pPr>
        <w:pStyle w:val="ListParagraph"/>
        <w:numPr>
          <w:ilvl w:val="0"/>
          <w:numId w:val="2"/>
        </w:numPr>
        <w:spacing w:after="80" w:line="300"/>
      </w:pPr>
      <w:r>
        <w:rPr>
          <w:rFonts w:ascii="Yu Mincho" w:cs="Yu Mincho" w:eastAsia="Yu Mincho" w:hAnsi="Yu Mincho"/>
          <w:sz w:val="21"/>
          <w:szCs w:val="21"/>
        </w:rPr>
        <w:t xml:space="preserve">Strong, J., and J. Meyer. 1987. Asset write-downs: Managerial incentives and security returns. Journal of Finance 42: 643-661.</w:t>
      </w:r>
    </w:p>
    <w:p>
      <w:pPr>
        <w:pStyle w:val="ListParagraph"/>
        <w:numPr>
          <w:ilvl w:val="0"/>
          <w:numId w:val="2"/>
        </w:numPr>
        <w:spacing w:after="80" w:line="300"/>
      </w:pPr>
      <w:r>
        <w:rPr>
          <w:rFonts w:ascii="Yu Mincho" w:cs="Yu Mincho" w:eastAsia="Yu Mincho" w:hAnsi="Yu Mincho"/>
          <w:sz w:val="21"/>
          <w:szCs w:val="21"/>
        </w:rPr>
        <w:t xml:space="preserve">Subramanyam, K. R. 1996. The pricing of discretionary accruals. Journal of Accounting and Economics 22: 249-281.</w:t>
      </w:r>
    </w:p>
    <w:p>
      <w:pPr>
        <w:pStyle w:val="ListParagraph"/>
        <w:numPr>
          <w:ilvl w:val="0"/>
          <w:numId w:val="2"/>
        </w:numPr>
        <w:spacing w:after="80" w:line="300"/>
      </w:pPr>
      <w:r>
        <w:rPr>
          <w:rFonts w:ascii="Yu Mincho" w:cs="Yu Mincho" w:eastAsia="Yu Mincho" w:hAnsi="Yu Mincho"/>
          <w:sz w:val="21"/>
          <w:szCs w:val="21"/>
        </w:rPr>
        <w:t xml:space="preserve">Sweeney, A. P. 1994. Debt-covenant violations and managers' accounting responses. Journal of Accounting and Economics 17: 281-308.</w:t>
      </w:r>
    </w:p>
    <w:p>
      <w:pPr>
        <w:pStyle w:val="ListParagraph"/>
        <w:numPr>
          <w:ilvl w:val="0"/>
          <w:numId w:val="2"/>
        </w:numPr>
        <w:spacing w:after="80" w:line="300"/>
      </w:pPr>
      <w:r>
        <w:rPr>
          <w:rFonts w:ascii="Yu Mincho" w:cs="Yu Mincho" w:eastAsia="Yu Mincho" w:hAnsi="Yu Mincho"/>
          <w:sz w:val="21"/>
          <w:szCs w:val="21"/>
        </w:rPr>
        <w:t xml:space="preserve">Teoh, S. H., I. Welch, and T. J. Wong. 1998a. Earnings management and the long-run market performance of initial public offerings. The Journal of Finance 53: 1935-1974.</w:t>
      </w:r>
    </w:p>
    <w:p>
      <w:pPr>
        <w:pStyle w:val="ListParagraph"/>
        <w:numPr>
          <w:ilvl w:val="0"/>
          <w:numId w:val="2"/>
        </w:numPr>
        <w:spacing w:after="80" w:line="300"/>
      </w:pPr>
      <w:r>
        <w:rPr>
          <w:rFonts w:ascii="Yu Mincho" w:cs="Yu Mincho" w:eastAsia="Yu Mincho" w:hAnsi="Yu Mincho"/>
          <w:sz w:val="21"/>
          <w:szCs w:val="21"/>
        </w:rPr>
        <w:t xml:space="preserve">Teoh, S. H., I. Welch, and T. J. Wong. 1998b. Earnings management and the underperformance of seasoned equity offerings. Journal of Financial Economics 50(1): 63-99.</w:t>
      </w:r>
    </w:p>
    <w:p>
      <w:pPr>
        <w:pStyle w:val="ListParagraph"/>
        <w:numPr>
          <w:ilvl w:val="0"/>
          <w:numId w:val="2"/>
        </w:numPr>
        <w:spacing w:after="80" w:line="300"/>
      </w:pPr>
      <w:r>
        <w:rPr>
          <w:rFonts w:ascii="Yu Mincho" w:cs="Yu Mincho" w:eastAsia="Yu Mincho" w:hAnsi="Yu Mincho"/>
          <w:sz w:val="21"/>
          <w:szCs w:val="21"/>
        </w:rPr>
        <w:t xml:space="preserve">Teoh, S. H., T. J. Wong, and G. Rao. 1998. Are accruals during initial public offerings opportunistic? Review of Accounting Studies 3: 175-208.</w:t>
      </w:r>
    </w:p>
    <w:p>
      <w:pPr>
        <w:pStyle w:val="ListParagraph"/>
        <w:numPr>
          <w:ilvl w:val="0"/>
          <w:numId w:val="2"/>
        </w:numPr>
        <w:spacing w:after="80" w:line="300"/>
      </w:pPr>
      <w:r>
        <w:rPr>
          <w:rFonts w:ascii="Yu Mincho" w:cs="Yu Mincho" w:eastAsia="Yu Mincho" w:hAnsi="Yu Mincho"/>
          <w:sz w:val="21"/>
          <w:szCs w:val="21"/>
        </w:rPr>
        <w:t xml:space="preserve">Teshima, N., and A. Shuto. 2008. Managerial ownership and earnings management: Theory and empirical evidence from Japan. Journal of International Financial Management and Accounting 19(2): 107-132.</w:t>
      </w:r>
    </w:p>
    <w:p>
      <w:pPr>
        <w:pStyle w:val="ListParagraph"/>
        <w:numPr>
          <w:ilvl w:val="0"/>
          <w:numId w:val="2"/>
        </w:numPr>
        <w:spacing w:after="80" w:line="300"/>
      </w:pPr>
      <w:r>
        <w:rPr>
          <w:rFonts w:ascii="Yu Mincho" w:cs="Yu Mincho" w:eastAsia="Yu Mincho" w:hAnsi="Yu Mincho"/>
          <w:sz w:val="21"/>
          <w:szCs w:val="21"/>
        </w:rPr>
        <w:t xml:space="preserve">Warfield, T. D., J. J. Wild, and K. L. Wild. 1995. Managerial ownership, accounting choices, and informativeness of earnings. Journal of Accounting and Economics 20(1): 61-91.</w:t>
      </w:r>
    </w:p>
    <w:p>
      <w:pPr>
        <w:pStyle w:val="ListParagraph"/>
        <w:numPr>
          <w:ilvl w:val="0"/>
          <w:numId w:val="2"/>
        </w:numPr>
        <w:spacing w:after="80" w:line="300"/>
      </w:pPr>
      <w:r>
        <w:rPr>
          <w:rFonts w:ascii="Yu Mincho" w:cs="Yu Mincho" w:eastAsia="Yu Mincho" w:hAnsi="Yu Mincho"/>
          <w:sz w:val="21"/>
          <w:szCs w:val="21"/>
        </w:rPr>
        <w:t xml:space="preserve">Watts, R. L. 1977. Corporate financial statements: A product of the market and political processes. Australian Journal of Management 2: 53-75.</w:t>
      </w:r>
    </w:p>
    <w:p>
      <w:pPr>
        <w:pStyle w:val="ListParagraph"/>
        <w:numPr>
          <w:ilvl w:val="0"/>
          <w:numId w:val="2"/>
        </w:numPr>
        <w:spacing w:after="80" w:line="300"/>
      </w:pPr>
      <w:r>
        <w:rPr>
          <w:rFonts w:ascii="Yu Mincho" w:cs="Yu Mincho" w:eastAsia="Yu Mincho" w:hAnsi="Yu Mincho"/>
          <w:sz w:val="21"/>
          <w:szCs w:val="21"/>
        </w:rPr>
        <w:t xml:space="preserve">Watts, R. L., and J. L. Zimmerman. 1986. Positive Accounting Theory. Prentice-Hall.（須田一幸訳, 1991『実証理論としての会計学』白桃書房）</w:t>
      </w:r>
    </w:p>
    <w:p>
      <w:pPr>
        <w:pStyle w:val="ListParagraph"/>
        <w:numPr>
          <w:ilvl w:val="0"/>
          <w:numId w:val="2"/>
        </w:numPr>
        <w:spacing w:after="80" w:line="300"/>
      </w:pPr>
      <w:r>
        <w:rPr>
          <w:rFonts w:ascii="Yu Mincho" w:cs="Yu Mincho" w:eastAsia="Yu Mincho" w:hAnsi="Yu Mincho"/>
          <w:sz w:val="21"/>
          <w:szCs w:val="21"/>
        </w:rPr>
        <w:t xml:space="preserve">Watts, R. L., and J. L. Zimmerman. 1990. Positive accounting theory: A ten year perspective. The Accounting Review 65: 131-156.</w:t>
      </w:r>
    </w:p>
    <w:p>
      <w:pPr>
        <w:pStyle w:val="ListParagraph"/>
        <w:numPr>
          <w:ilvl w:val="0"/>
          <w:numId w:val="2"/>
        </w:numPr>
        <w:spacing w:after="80" w:line="300"/>
      </w:pPr>
      <w:r>
        <w:rPr>
          <w:rFonts w:ascii="Yu Mincho" w:cs="Yu Mincho" w:eastAsia="Yu Mincho" w:hAnsi="Yu Mincho"/>
          <w:sz w:val="21"/>
          <w:szCs w:val="21"/>
        </w:rPr>
        <w:t xml:space="preserve">Wu, J., L. Zhang, and X. F. Zhang. 2010. The q-theory approach to understanding the accrual anomaly. Journal of Accounting Research 48(1): 177-222.</w:t>
      </w:r>
    </w:p>
    <w:p>
      <w:pPr>
        <w:pStyle w:val="ListParagraph"/>
        <w:numPr>
          <w:ilvl w:val="0"/>
          <w:numId w:val="2"/>
        </w:numPr>
        <w:spacing w:after="80" w:line="300"/>
      </w:pPr>
      <w:r>
        <w:rPr>
          <w:rFonts w:ascii="Yu Mincho" w:cs="Yu Mincho" w:eastAsia="Yu Mincho" w:hAnsi="Yu Mincho"/>
          <w:sz w:val="21"/>
          <w:szCs w:val="21"/>
        </w:rPr>
        <w:t xml:space="preserve">Xie, B., W. N. Davidson, and P. J. DaDalt. 2003. Earnings management and corporate governance: The role of the board and the audit committee. Journal of Corporate Finance 9(3): 295-316.</w:t>
      </w:r>
    </w:p>
    <w:p>
      <w:pPr>
        <w:pStyle w:val="ListParagraph"/>
        <w:numPr>
          <w:ilvl w:val="0"/>
          <w:numId w:val="2"/>
        </w:numPr>
        <w:spacing w:after="80" w:line="300"/>
      </w:pPr>
      <w:r>
        <w:rPr>
          <w:rFonts w:ascii="Yu Mincho" w:cs="Yu Mincho" w:eastAsia="Yu Mincho" w:hAnsi="Yu Mincho"/>
          <w:sz w:val="21"/>
          <w:szCs w:val="21"/>
        </w:rPr>
        <w:t xml:space="preserve">Xie, H. 2001. The mispricing of abnormal accruals. The Accounting Review 76: 357-373.</w:t>
      </w:r>
    </w:p>
    <w:p>
      <w:pPr>
        <w:pStyle w:val="ListParagraph"/>
        <w:numPr>
          <w:ilvl w:val="0"/>
          <w:numId w:val="2"/>
        </w:numPr>
        <w:spacing w:after="80" w:line="300"/>
      </w:pPr>
      <w:r>
        <w:rPr>
          <w:rFonts w:ascii="Yu Mincho" w:cs="Yu Mincho" w:eastAsia="Yu Mincho" w:hAnsi="Yu Mincho"/>
          <w:sz w:val="21"/>
          <w:szCs w:val="21"/>
        </w:rPr>
        <w:t xml:space="preserve">Xu, M., and C. Zhang. 2009. Bankruptcy prediction: The case of Japanese listed companies. Review of Accounting Studies 14: 534–558.</w:t>
      </w:r>
    </w:p>
    <w:p>
      <w:pPr>
        <w:pStyle w:val="ListParagraph"/>
        <w:numPr>
          <w:ilvl w:val="0"/>
          <w:numId w:val="2"/>
        </w:numPr>
        <w:spacing w:after="80" w:line="300"/>
      </w:pPr>
      <w:r>
        <w:rPr>
          <w:rFonts w:ascii="Yu Mincho" w:cs="Yu Mincho" w:eastAsia="Yu Mincho" w:hAnsi="Yu Mincho"/>
          <w:sz w:val="21"/>
          <w:szCs w:val="21"/>
        </w:rPr>
        <w:t xml:space="preserve">Zhang, J. 2008. The contracting benefits of accounting conservatism to lenders and borrowers. Journal of Accounting and Economics 45: 27-54.</w:t>
      </w:r>
    </w:p>
    <w:p>
      <w:pPr>
        <w:pStyle w:val="ListParagraph"/>
        <w:numPr>
          <w:ilvl w:val="0"/>
          <w:numId w:val="2"/>
        </w:numPr>
        <w:spacing w:after="80" w:line="300"/>
      </w:pPr>
      <w:r>
        <w:rPr>
          <w:rFonts w:ascii="Yu Mincho" w:cs="Yu Mincho" w:eastAsia="Yu Mincho" w:hAnsi="Yu Mincho"/>
          <w:sz w:val="21"/>
          <w:szCs w:val="21"/>
        </w:rPr>
        <w:t xml:space="preserve">Zhang, X. F. 2007. Accruals, investment, and the accrual anomaly. The Accounting Review 82(5): 1333-1363.</w:t>
      </w:r>
    </w:p>
    <w:p>
      <w:pPr>
        <w:pStyle w:val="ListParagraph"/>
        <w:numPr>
          <w:ilvl w:val="0"/>
          <w:numId w:val="2"/>
        </w:numPr>
        <w:spacing w:after="80" w:line="300"/>
      </w:pPr>
      <w:r>
        <w:rPr>
          <w:rFonts w:ascii="Yu Mincho" w:cs="Yu Mincho" w:eastAsia="Yu Mincho" w:hAnsi="Yu Mincho"/>
          <w:sz w:val="21"/>
          <w:szCs w:val="21"/>
        </w:rPr>
        <w:t xml:space="preserve">Zmijewski, M., and R. Hagerman. 1981. An income strategy approach to the positive theory of accounting standard setting/choice. Journal of Accounting and Economics 3: 129-149.</w:t>
      </w:r>
    </w:p>
    <w:p>
      <w:pPr>
        <w:pStyle w:val="Heading2"/>
        <w:spacing w:after="160" w:before="360"/>
      </w:pPr>
      <w:r>
        <w:t xml:space="preserve">A.2　和文文献</w:t>
      </w:r>
    </w:p>
    <w:p>
      <w:pPr>
        <w:pStyle w:val="ListParagraph"/>
        <w:numPr>
          <w:ilvl w:val="0"/>
          <w:numId w:val="2"/>
        </w:numPr>
        <w:spacing w:after="80" w:line="300"/>
      </w:pPr>
      <w:r>
        <w:rPr>
          <w:rFonts w:ascii="Yu Mincho" w:cs="Yu Mincho" w:eastAsia="Yu Mincho" w:hAnsi="Yu Mincho"/>
          <w:sz w:val="21"/>
          <w:szCs w:val="21"/>
        </w:rPr>
        <w:t xml:space="preserve">浅野信博（2001）「資本市場における会計発生高のプライシングについて」『会計』第160巻第2号，80-95頁。</w:t>
      </w:r>
    </w:p>
    <w:p>
      <w:pPr>
        <w:pStyle w:val="ListParagraph"/>
        <w:numPr>
          <w:ilvl w:val="0"/>
          <w:numId w:val="2"/>
        </w:numPr>
        <w:spacing w:after="80" w:line="300"/>
      </w:pPr>
      <w:r>
        <w:rPr>
          <w:rFonts w:ascii="Yu Mincho" w:cs="Yu Mincho" w:eastAsia="Yu Mincho" w:hAnsi="Yu Mincho"/>
          <w:sz w:val="21"/>
          <w:szCs w:val="21"/>
        </w:rPr>
        <w:t xml:space="preserve">浅野信博（2002）「会計利益の質的差異と資本市場」山地秀俊編著『マクロ会計政策の評価』神戸大学経済経営研究所，43-79頁。</w:t>
      </w:r>
    </w:p>
    <w:p>
      <w:pPr>
        <w:pStyle w:val="ListParagraph"/>
        <w:numPr>
          <w:ilvl w:val="0"/>
          <w:numId w:val="2"/>
        </w:numPr>
        <w:spacing w:after="80" w:line="300"/>
      </w:pPr>
      <w:r>
        <w:rPr>
          <w:rFonts w:ascii="Yu Mincho" w:cs="Yu Mincho" w:eastAsia="Yu Mincho" w:hAnsi="Yu Mincho"/>
          <w:sz w:val="21"/>
          <w:szCs w:val="21"/>
        </w:rPr>
        <w:t xml:space="preserve">浅野信博・首藤昭信（2007）「会計操作の検出方法」須田一幸・山本達司・乙政正太『会計操作』ダイヤモンド社。</w:t>
      </w:r>
    </w:p>
    <w:p>
      <w:pPr>
        <w:pStyle w:val="ListParagraph"/>
        <w:numPr>
          <w:ilvl w:val="0"/>
          <w:numId w:val="2"/>
        </w:numPr>
        <w:spacing w:after="80" w:line="300"/>
      </w:pPr>
      <w:r>
        <w:rPr>
          <w:rFonts w:ascii="Yu Mincho" w:cs="Yu Mincho" w:eastAsia="Yu Mincho" w:hAnsi="Yu Mincho"/>
          <w:sz w:val="21"/>
          <w:szCs w:val="21"/>
        </w:rPr>
        <w:t xml:space="preserve">石川博行（2000）『連結会計情報と株価形成』千倉書房。</w:t>
      </w:r>
    </w:p>
    <w:p>
      <w:pPr>
        <w:pStyle w:val="ListParagraph"/>
        <w:numPr>
          <w:ilvl w:val="0"/>
          <w:numId w:val="2"/>
        </w:numPr>
        <w:spacing w:after="80" w:line="300"/>
      </w:pPr>
      <w:r>
        <w:rPr>
          <w:rFonts w:ascii="Yu Mincho" w:cs="Yu Mincho" w:eastAsia="Yu Mincho" w:hAnsi="Yu Mincho"/>
          <w:sz w:val="21"/>
          <w:szCs w:val="21"/>
        </w:rPr>
        <w:t xml:space="preserve">石川博行（2004）「実証会計の回顧と展望」大阪市立大学商学部編『ビジネスエッセンシャルズ会計』有斐閣。</w:t>
      </w:r>
    </w:p>
    <w:p>
      <w:pPr>
        <w:pStyle w:val="ListParagraph"/>
        <w:numPr>
          <w:ilvl w:val="0"/>
          <w:numId w:val="2"/>
        </w:numPr>
        <w:spacing w:after="80" w:line="300"/>
      </w:pPr>
      <w:r>
        <w:rPr>
          <w:rFonts w:ascii="Yu Mincho" w:cs="Yu Mincho" w:eastAsia="Yu Mincho" w:hAnsi="Yu Mincho"/>
          <w:sz w:val="21"/>
          <w:szCs w:val="21"/>
        </w:rPr>
        <w:t xml:space="preserve">伊藤邦雄・加賀谷哲之（2006）「ブランドリスクマネジメントと企業価値」『一橋ビジネスレビュー』第54巻第3号，6-25頁。</w:t>
      </w:r>
    </w:p>
    <w:p>
      <w:pPr>
        <w:pStyle w:val="ListParagraph"/>
        <w:numPr>
          <w:ilvl w:val="0"/>
          <w:numId w:val="2"/>
        </w:numPr>
        <w:spacing w:after="80" w:line="300"/>
      </w:pPr>
      <w:r>
        <w:rPr>
          <w:rFonts w:ascii="Yu Mincho" w:cs="Yu Mincho" w:eastAsia="Yu Mincho" w:hAnsi="Yu Mincho"/>
          <w:sz w:val="21"/>
          <w:szCs w:val="21"/>
        </w:rPr>
        <w:t xml:space="preserve">植草益（1991）『公的規制の経済学』筑摩書房。</w:t>
      </w:r>
    </w:p>
    <w:p>
      <w:pPr>
        <w:pStyle w:val="ListParagraph"/>
        <w:numPr>
          <w:ilvl w:val="0"/>
          <w:numId w:val="2"/>
        </w:numPr>
        <w:spacing w:after="80" w:line="300"/>
      </w:pPr>
      <w:r>
        <w:rPr>
          <w:rFonts w:ascii="Yu Mincho" w:cs="Yu Mincho" w:eastAsia="Yu Mincho" w:hAnsi="Yu Mincho"/>
          <w:sz w:val="21"/>
          <w:szCs w:val="21"/>
        </w:rPr>
        <w:t xml:space="preserve">植草益（1997）『社会的規制の経済学』NTT出版。</w:t>
      </w:r>
    </w:p>
    <w:p>
      <w:pPr>
        <w:pStyle w:val="ListParagraph"/>
        <w:numPr>
          <w:ilvl w:val="0"/>
          <w:numId w:val="2"/>
        </w:numPr>
        <w:spacing w:after="80" w:line="300"/>
      </w:pPr>
      <w:r>
        <w:rPr>
          <w:rFonts w:ascii="Yu Mincho" w:cs="Yu Mincho" w:eastAsia="Yu Mincho" w:hAnsi="Yu Mincho"/>
          <w:sz w:val="21"/>
          <w:szCs w:val="21"/>
        </w:rPr>
        <w:t xml:space="preserve">榎本正博（2003）「裁量的会計発生高と将来株式リターンの関連について－運転資本会計発生高を中心とした分析－」静岡大学『経済研究』第7巻第3・4号，145-168頁。</w:t>
      </w:r>
    </w:p>
    <w:p>
      <w:pPr>
        <w:pStyle w:val="ListParagraph"/>
        <w:numPr>
          <w:ilvl w:val="0"/>
          <w:numId w:val="2"/>
        </w:numPr>
        <w:spacing w:after="80" w:line="300"/>
      </w:pPr>
      <w:r>
        <w:rPr>
          <w:rFonts w:ascii="Yu Mincho" w:cs="Yu Mincho" w:eastAsia="Yu Mincho" w:hAnsi="Yu Mincho"/>
          <w:sz w:val="21"/>
          <w:szCs w:val="21"/>
        </w:rPr>
        <w:t xml:space="preserve">音川和久（2000）「IR活動の資本コスト低減効果」『会計』第158巻第4号，543-555頁。</w:t>
      </w:r>
    </w:p>
    <w:p>
      <w:pPr>
        <w:pStyle w:val="ListParagraph"/>
        <w:numPr>
          <w:ilvl w:val="0"/>
          <w:numId w:val="2"/>
        </w:numPr>
        <w:spacing w:after="80" w:line="300"/>
      </w:pPr>
      <w:r>
        <w:rPr>
          <w:rFonts w:ascii="Yu Mincho" w:cs="Yu Mincho" w:eastAsia="Yu Mincho" w:hAnsi="Yu Mincho"/>
          <w:sz w:val="21"/>
          <w:szCs w:val="21"/>
        </w:rPr>
        <w:t xml:space="preserve">音川和久（2013）「市場の効率性とマイクロストラクチャー」伊藤邦雄・桜井久勝編著『会計情報の有用性』中央経済社。</w:t>
      </w:r>
    </w:p>
    <w:p>
      <w:pPr>
        <w:pStyle w:val="ListParagraph"/>
        <w:numPr>
          <w:ilvl w:val="0"/>
          <w:numId w:val="2"/>
        </w:numPr>
        <w:spacing w:after="80" w:line="300"/>
      </w:pPr>
      <w:r>
        <w:rPr>
          <w:rFonts w:ascii="Yu Mincho" w:cs="Yu Mincho" w:eastAsia="Yu Mincho" w:hAnsi="Yu Mincho"/>
          <w:sz w:val="21"/>
          <w:szCs w:val="21"/>
        </w:rPr>
        <w:t xml:space="preserve">金鉉玉（2007）「リスク情報の事前開示が投資家の意思決定に与える影響－情報流出リスクの顕在化ケースを用いて」『一橋商学論叢』第2巻第2号，102-113頁。</w:t>
      </w:r>
    </w:p>
    <w:p>
      <w:pPr>
        <w:pStyle w:val="ListParagraph"/>
        <w:numPr>
          <w:ilvl w:val="0"/>
          <w:numId w:val="2"/>
        </w:numPr>
        <w:spacing w:after="80" w:line="300"/>
      </w:pPr>
      <w:r>
        <w:rPr>
          <w:rFonts w:ascii="Yu Mincho" w:cs="Yu Mincho" w:eastAsia="Yu Mincho" w:hAnsi="Yu Mincho"/>
          <w:sz w:val="21"/>
          <w:szCs w:val="21"/>
        </w:rPr>
        <w:t xml:space="preserve">金鉉玉（2008）「リスク情報開示と株主資本コスト」『一橋商学論叢』第3巻第2号，55-68頁。</w:t>
      </w:r>
    </w:p>
    <w:p>
      <w:pPr>
        <w:pStyle w:val="ListParagraph"/>
        <w:numPr>
          <w:ilvl w:val="0"/>
          <w:numId w:val="2"/>
        </w:numPr>
        <w:spacing w:after="80" w:line="300"/>
      </w:pPr>
      <w:r>
        <w:rPr>
          <w:rFonts w:ascii="Yu Mincho" w:cs="Yu Mincho" w:eastAsia="Yu Mincho" w:hAnsi="Yu Mincho"/>
          <w:sz w:val="21"/>
          <w:szCs w:val="21"/>
        </w:rPr>
        <w:t xml:space="preserve">経済産業省（2015）「日本と海外の役員報酬の実態及び制度等に関する調査報告書」。</w:t>
      </w:r>
    </w:p>
    <w:p>
      <w:pPr>
        <w:pStyle w:val="ListParagraph"/>
        <w:numPr>
          <w:ilvl w:val="0"/>
          <w:numId w:val="2"/>
        </w:numPr>
        <w:spacing w:after="80" w:line="300"/>
      </w:pPr>
      <w:r>
        <w:rPr>
          <w:rFonts w:ascii="Yu Mincho" w:cs="Yu Mincho" w:eastAsia="Yu Mincho" w:hAnsi="Yu Mincho"/>
          <w:sz w:val="21"/>
          <w:szCs w:val="21"/>
        </w:rPr>
        <w:t xml:space="preserve">デロイトトーマツグループ（2019）「役員報酬サーベイ2019年版」。</w:t>
      </w:r>
    </w:p>
    <w:p>
      <w:pPr>
        <w:pStyle w:val="ListParagraph"/>
        <w:numPr>
          <w:ilvl w:val="0"/>
          <w:numId w:val="2"/>
        </w:numPr>
        <w:spacing w:after="80" w:line="300"/>
      </w:pPr>
      <w:r>
        <w:rPr>
          <w:rFonts w:ascii="Yu Mincho" w:cs="Yu Mincho" w:eastAsia="Yu Mincho" w:hAnsi="Yu Mincho"/>
          <w:sz w:val="21"/>
          <w:szCs w:val="21"/>
        </w:rPr>
        <w:t xml:space="preserve">中村亮介・河内山拓磨（2018）『財務制限条項の実態・影響・役割』中央経済社。</w:t>
      </w:r>
    </w:p>
    <w:p>
      <w:pPr>
        <w:pStyle w:val="ListParagraph"/>
        <w:numPr>
          <w:ilvl w:val="0"/>
          <w:numId w:val="2"/>
        </w:numPr>
        <w:spacing w:after="80" w:line="300"/>
      </w:pPr>
      <w:r>
        <w:rPr>
          <w:rFonts w:ascii="Yu Mincho" w:cs="Yu Mincho" w:eastAsia="Yu Mincho" w:hAnsi="Yu Mincho"/>
          <w:sz w:val="21"/>
          <w:szCs w:val="21"/>
        </w:rPr>
        <w:t xml:space="preserve">乙政正太（2004）『利害調整メカニズムと会計情報』森山書店。</w:t>
      </w:r>
    </w:p>
    <w:p>
      <w:pPr>
        <w:pStyle w:val="ListParagraph"/>
        <w:numPr>
          <w:ilvl w:val="0"/>
          <w:numId w:val="2"/>
        </w:numPr>
        <w:spacing w:after="80" w:line="300"/>
      </w:pPr>
      <w:r>
        <w:rPr>
          <w:rFonts w:ascii="Yu Mincho" w:cs="Yu Mincho" w:eastAsia="Yu Mincho" w:hAnsi="Yu Mincho"/>
          <w:sz w:val="21"/>
          <w:szCs w:val="21"/>
        </w:rPr>
        <w:t xml:space="preserve">桜井久勝（2007）『財務諸表分析』第3版，中央経済社。</w:t>
      </w:r>
    </w:p>
    <w:p>
      <w:pPr>
        <w:pStyle w:val="ListParagraph"/>
        <w:numPr>
          <w:ilvl w:val="0"/>
          <w:numId w:val="2"/>
        </w:numPr>
        <w:spacing w:after="80" w:line="300"/>
      </w:pPr>
      <w:r>
        <w:rPr>
          <w:rFonts w:ascii="Yu Mincho" w:cs="Yu Mincho" w:eastAsia="Yu Mincho" w:hAnsi="Yu Mincho"/>
          <w:sz w:val="21"/>
          <w:szCs w:val="21"/>
        </w:rPr>
        <w:t xml:space="preserve">桜井久勝（2013）「資本市場研究の課題と展望」伊藤邦雄・桜井久勝編著『会計情報の有用性』中央経済社。</w:t>
      </w:r>
    </w:p>
    <w:p>
      <w:pPr>
        <w:pStyle w:val="ListParagraph"/>
        <w:numPr>
          <w:ilvl w:val="0"/>
          <w:numId w:val="2"/>
        </w:numPr>
        <w:spacing w:after="80" w:line="300"/>
      </w:pPr>
      <w:r>
        <w:rPr>
          <w:rFonts w:ascii="Yu Mincho" w:cs="Yu Mincho" w:eastAsia="Yu Mincho" w:hAnsi="Yu Mincho"/>
          <w:sz w:val="21"/>
          <w:szCs w:val="21"/>
        </w:rPr>
        <w:t xml:space="preserve">桜井久勝（2024）『財務会計講義』第25版，中央経済社。</w:t>
      </w:r>
    </w:p>
    <w:p>
      <w:pPr>
        <w:pStyle w:val="ListParagraph"/>
        <w:numPr>
          <w:ilvl w:val="0"/>
          <w:numId w:val="2"/>
        </w:numPr>
        <w:spacing w:after="80" w:line="300"/>
      </w:pPr>
      <w:r>
        <w:rPr>
          <w:rFonts w:ascii="Yu Mincho" w:cs="Yu Mincho" w:eastAsia="Yu Mincho" w:hAnsi="Yu Mincho"/>
          <w:sz w:val="21"/>
          <w:szCs w:val="21"/>
        </w:rPr>
        <w:t xml:space="preserve">首藤昭信（2001）「経営者交代と会計手続き選択」『現代ディスクロージャー研究』第2号，1-9頁。</w:t>
      </w:r>
    </w:p>
    <w:p>
      <w:pPr>
        <w:pStyle w:val="ListParagraph"/>
        <w:numPr>
          <w:ilvl w:val="0"/>
          <w:numId w:val="2"/>
        </w:numPr>
        <w:spacing w:after="80" w:line="300"/>
      </w:pPr>
      <w:r>
        <w:rPr>
          <w:rFonts w:ascii="Yu Mincho" w:cs="Yu Mincho" w:eastAsia="Yu Mincho" w:hAnsi="Yu Mincho"/>
          <w:sz w:val="21"/>
          <w:szCs w:val="21"/>
        </w:rPr>
        <w:t xml:space="preserve">首藤昭信（2002）「経営者報酬制度における相対業績評価に関する実証分析」『専修大学会計学研究所報』No.6。</w:t>
      </w:r>
    </w:p>
    <w:p>
      <w:pPr>
        <w:pStyle w:val="ListParagraph"/>
        <w:numPr>
          <w:ilvl w:val="0"/>
          <w:numId w:val="2"/>
        </w:numPr>
        <w:spacing w:after="80" w:line="300"/>
      </w:pPr>
      <w:r>
        <w:rPr>
          <w:rFonts w:ascii="Yu Mincho" w:cs="Yu Mincho" w:eastAsia="Yu Mincho" w:hAnsi="Yu Mincho"/>
          <w:sz w:val="21"/>
          <w:szCs w:val="21"/>
        </w:rPr>
        <w:t xml:space="preserve">首藤昭信（2003）「米国のリスク情報開示の現状に学ぶ」『リスクマネジメントBusiness』9月号，14-17頁。</w:t>
      </w:r>
    </w:p>
    <w:p>
      <w:pPr>
        <w:pStyle w:val="ListParagraph"/>
        <w:numPr>
          <w:ilvl w:val="0"/>
          <w:numId w:val="2"/>
        </w:numPr>
        <w:spacing w:after="80" w:line="300"/>
      </w:pPr>
      <w:r>
        <w:rPr>
          <w:rFonts w:ascii="Yu Mincho" w:cs="Yu Mincho" w:eastAsia="Yu Mincho" w:hAnsi="Yu Mincho"/>
          <w:sz w:val="21"/>
          <w:szCs w:val="21"/>
        </w:rPr>
        <w:t xml:space="preserve">首藤昭信（2004）「リスク情報の開示と有用性」須田一幸編著『ディスクロージャーの戦略と効果』森山書店，151-168頁。</w:t>
      </w:r>
    </w:p>
    <w:p>
      <w:pPr>
        <w:pStyle w:val="ListParagraph"/>
        <w:numPr>
          <w:ilvl w:val="0"/>
          <w:numId w:val="2"/>
        </w:numPr>
        <w:spacing w:after="80" w:line="300"/>
      </w:pPr>
      <w:r>
        <w:rPr>
          <w:rFonts w:ascii="Yu Mincho" w:cs="Yu Mincho" w:eastAsia="Yu Mincho" w:hAnsi="Yu Mincho"/>
          <w:sz w:val="21"/>
          <w:szCs w:val="21"/>
        </w:rPr>
        <w:t xml:space="preserve">首藤昭信（2005）「利益調整研究の新展開」『会計学研究所報』No.12，1-47頁。</w:t>
      </w:r>
    </w:p>
    <w:p>
      <w:pPr>
        <w:pStyle w:val="ListParagraph"/>
        <w:numPr>
          <w:ilvl w:val="0"/>
          <w:numId w:val="2"/>
        </w:numPr>
        <w:spacing w:after="80" w:line="300"/>
      </w:pPr>
      <w:r>
        <w:rPr>
          <w:rFonts w:ascii="Yu Mincho" w:cs="Yu Mincho" w:eastAsia="Yu Mincho" w:hAnsi="Yu Mincho"/>
          <w:sz w:val="21"/>
          <w:szCs w:val="21"/>
        </w:rPr>
        <w:t xml:space="preserve">首藤昭信（2009）「修正再表示の経済的影響と決定要因」『會計』第175巻第1号，79-93頁。</w:t>
      </w:r>
    </w:p>
    <w:p>
      <w:pPr>
        <w:pStyle w:val="ListParagraph"/>
        <w:numPr>
          <w:ilvl w:val="0"/>
          <w:numId w:val="2"/>
        </w:numPr>
        <w:spacing w:after="80" w:line="300"/>
      </w:pPr>
      <w:r>
        <w:rPr>
          <w:rFonts w:ascii="Yu Mincho" w:cs="Yu Mincho" w:eastAsia="Yu Mincho" w:hAnsi="Yu Mincho"/>
          <w:sz w:val="21"/>
          <w:szCs w:val="21"/>
        </w:rPr>
        <w:t xml:space="preserve">首藤昭信（2010）『日本企業の利益調整─理論と実証』中央経済社。</w:t>
      </w:r>
    </w:p>
    <w:p>
      <w:pPr>
        <w:pStyle w:val="ListParagraph"/>
        <w:numPr>
          <w:ilvl w:val="0"/>
          <w:numId w:val="2"/>
        </w:numPr>
        <w:spacing w:after="80" w:line="300"/>
      </w:pPr>
      <w:r>
        <w:rPr>
          <w:rFonts w:ascii="Yu Mincho" w:cs="Yu Mincho" w:eastAsia="Yu Mincho" w:hAnsi="Yu Mincho"/>
          <w:sz w:val="21"/>
          <w:szCs w:val="21"/>
        </w:rPr>
        <w:t xml:space="preserve">首藤昭信（2013）「利益調整研究の体系と新動向」『証券アナリストジャーナル』第51巻5号。</w:t>
      </w:r>
    </w:p>
    <w:p>
      <w:pPr>
        <w:pStyle w:val="ListParagraph"/>
        <w:numPr>
          <w:ilvl w:val="0"/>
          <w:numId w:val="2"/>
        </w:numPr>
        <w:spacing w:after="80" w:line="300"/>
      </w:pPr>
      <w:r>
        <w:rPr>
          <w:rFonts w:ascii="Yu Mincho" w:cs="Yu Mincho" w:eastAsia="Yu Mincho" w:hAnsi="Yu Mincho"/>
          <w:sz w:val="21"/>
          <w:szCs w:val="21"/>
        </w:rPr>
        <w:t xml:space="preserve">首藤昭信（2013）「利益調整の動機と手法」伊藤邦雄・桜井久勝責任編集『会計情報の有用性』中央経済社，251-293頁。</w:t>
      </w:r>
    </w:p>
    <w:p>
      <w:pPr>
        <w:pStyle w:val="ListParagraph"/>
        <w:numPr>
          <w:ilvl w:val="0"/>
          <w:numId w:val="2"/>
        </w:numPr>
        <w:spacing w:after="80" w:line="300"/>
      </w:pPr>
      <w:r>
        <w:rPr>
          <w:rFonts w:ascii="Yu Mincho" w:cs="Yu Mincho" w:eastAsia="Yu Mincho" w:hAnsi="Yu Mincho"/>
          <w:sz w:val="21"/>
          <w:szCs w:val="21"/>
        </w:rPr>
        <w:t xml:space="preserve">首藤昭信（2021）「経営者報酬に関する開示規制の経済的帰結」『會計』第200巻第5号。</w:t>
      </w:r>
    </w:p>
    <w:p>
      <w:pPr>
        <w:pStyle w:val="ListParagraph"/>
        <w:numPr>
          <w:ilvl w:val="0"/>
          <w:numId w:val="2"/>
        </w:numPr>
        <w:spacing w:after="80" w:line="300"/>
      </w:pPr>
      <w:r>
        <w:rPr>
          <w:rFonts w:ascii="Yu Mincho" w:cs="Yu Mincho" w:eastAsia="Yu Mincho" w:hAnsi="Yu Mincho"/>
          <w:sz w:val="21"/>
          <w:szCs w:val="21"/>
        </w:rPr>
        <w:t xml:space="preserve">首藤昭信・伊藤広大・二重作直毅・本馬朝子（2018）「債務契約における会計情報の役割（1）：会計情報の事前的役割」『金融研究』第37巻第2号，23-60頁。</w:t>
      </w:r>
    </w:p>
    <w:p>
      <w:pPr>
        <w:pStyle w:val="ListParagraph"/>
        <w:numPr>
          <w:ilvl w:val="0"/>
          <w:numId w:val="2"/>
        </w:numPr>
        <w:spacing w:after="80" w:line="300"/>
      </w:pPr>
      <w:r>
        <w:rPr>
          <w:rFonts w:ascii="Yu Mincho" w:cs="Yu Mincho" w:eastAsia="Yu Mincho" w:hAnsi="Yu Mincho"/>
          <w:sz w:val="21"/>
          <w:szCs w:val="21"/>
        </w:rPr>
        <w:t xml:space="preserve">首藤昭信・伊藤広大・二重作直毅・本馬朝子（2018）「債務契約における会計情報の役割（2）：会計情報の事後的役割」『金融研究』第37巻第2号，61-90頁。</w:t>
      </w:r>
    </w:p>
    <w:p>
      <w:pPr>
        <w:pStyle w:val="ListParagraph"/>
        <w:numPr>
          <w:ilvl w:val="0"/>
          <w:numId w:val="2"/>
        </w:numPr>
        <w:spacing w:after="80" w:line="300"/>
      </w:pPr>
      <w:r>
        <w:rPr>
          <w:rFonts w:ascii="Yu Mincho" w:cs="Yu Mincho" w:eastAsia="Yu Mincho" w:hAnsi="Yu Mincho"/>
          <w:sz w:val="21"/>
          <w:szCs w:val="21"/>
        </w:rPr>
        <w:t xml:space="preserve">首藤昭信・伊藤広大・二重作直毅・本馬朝子（2018）「債務契約における会計情報の役割（3）：わが国の債務契約と会計情報」『金融研究』第37巻第2号，91-181頁。</w:t>
      </w:r>
    </w:p>
    <w:p>
      <w:pPr>
        <w:pStyle w:val="ListParagraph"/>
        <w:numPr>
          <w:ilvl w:val="0"/>
          <w:numId w:val="2"/>
        </w:numPr>
        <w:spacing w:after="80" w:line="300"/>
      </w:pPr>
      <w:r>
        <w:rPr>
          <w:rFonts w:ascii="Yu Mincho" w:cs="Yu Mincho" w:eastAsia="Yu Mincho" w:hAnsi="Yu Mincho"/>
          <w:sz w:val="21"/>
          <w:szCs w:val="21"/>
        </w:rPr>
        <w:t xml:space="preserve">須田一幸（2000）『財務会計の機能』白桃書房。</w:t>
      </w:r>
    </w:p>
    <w:p>
      <w:pPr>
        <w:pStyle w:val="ListParagraph"/>
        <w:numPr>
          <w:ilvl w:val="0"/>
          <w:numId w:val="2"/>
        </w:numPr>
        <w:spacing w:after="80" w:line="300"/>
      </w:pPr>
      <w:r>
        <w:rPr>
          <w:rFonts w:ascii="Yu Mincho" w:cs="Yu Mincho" w:eastAsia="Yu Mincho" w:hAnsi="Yu Mincho"/>
          <w:sz w:val="21"/>
          <w:szCs w:val="21"/>
        </w:rPr>
        <w:t xml:space="preserve">須田一幸（2002）「環境会計情報と証券投資意思決定」『社会関連会計研究』第14号，23-36頁。</w:t>
      </w:r>
    </w:p>
    <w:p>
      <w:pPr>
        <w:pStyle w:val="ListParagraph"/>
        <w:numPr>
          <w:ilvl w:val="0"/>
          <w:numId w:val="2"/>
        </w:numPr>
        <w:spacing w:after="80" w:line="300"/>
      </w:pPr>
      <w:r>
        <w:rPr>
          <w:rFonts w:ascii="Yu Mincho" w:cs="Yu Mincho" w:eastAsia="Yu Mincho" w:hAnsi="Yu Mincho"/>
          <w:sz w:val="21"/>
          <w:szCs w:val="21"/>
        </w:rPr>
        <w:t xml:space="preserve">須田一幸・首藤昭信（2004a）「時価評価基準と社債契約」『会計制度改革の実証分析』同文舘。</w:t>
      </w:r>
    </w:p>
    <w:p>
      <w:pPr>
        <w:pStyle w:val="ListParagraph"/>
        <w:numPr>
          <w:ilvl w:val="0"/>
          <w:numId w:val="2"/>
        </w:numPr>
        <w:spacing w:after="80" w:line="300"/>
      </w:pPr>
      <w:r>
        <w:rPr>
          <w:rFonts w:ascii="Yu Mincho" w:cs="Yu Mincho" w:eastAsia="Yu Mincho" w:hAnsi="Yu Mincho"/>
          <w:sz w:val="21"/>
          <w:szCs w:val="21"/>
        </w:rPr>
        <w:t xml:space="preserve">須田一幸・首藤昭信（2004b）「時価評価基準と負債コスト」『会計制度改革の実証分析』同文舘。</w:t>
      </w:r>
    </w:p>
    <w:p>
      <w:pPr>
        <w:pStyle w:val="ListParagraph"/>
        <w:numPr>
          <w:ilvl w:val="0"/>
          <w:numId w:val="2"/>
        </w:numPr>
        <w:spacing w:after="80" w:line="300"/>
      </w:pPr>
      <w:r>
        <w:rPr>
          <w:rFonts w:ascii="Yu Mincho" w:cs="Yu Mincho" w:eastAsia="Yu Mincho" w:hAnsi="Yu Mincho"/>
          <w:sz w:val="21"/>
          <w:szCs w:val="21"/>
        </w:rPr>
        <w:t xml:space="preserve">須田一幸・首藤昭信・太田浩司（2004a）「ディスクロージャーが株主資本コストに及ぼす影響」須田一幸編著『ディスクロージャーの戦略と効果』森山書店，1-43頁。</w:t>
      </w:r>
    </w:p>
    <w:p>
      <w:pPr>
        <w:pStyle w:val="ListParagraph"/>
        <w:numPr>
          <w:ilvl w:val="0"/>
          <w:numId w:val="2"/>
        </w:numPr>
        <w:spacing w:after="80" w:line="300"/>
      </w:pPr>
      <w:r>
        <w:rPr>
          <w:rFonts w:ascii="Yu Mincho" w:cs="Yu Mincho" w:eastAsia="Yu Mincho" w:hAnsi="Yu Mincho"/>
          <w:sz w:val="21"/>
          <w:szCs w:val="21"/>
        </w:rPr>
        <w:t xml:space="preserve">須田一幸・首藤昭信・太田浩司（2004b）「ディスクロージャーが負債コストに及ぼす影響」須田一幸編著『ディスクロージャーの戦略と効果』森山書店，45-68頁。</w:t>
      </w:r>
    </w:p>
    <w:p>
      <w:pPr>
        <w:pStyle w:val="ListParagraph"/>
        <w:numPr>
          <w:ilvl w:val="0"/>
          <w:numId w:val="2"/>
        </w:numPr>
        <w:spacing w:after="80" w:line="300"/>
      </w:pPr>
      <w:r>
        <w:rPr>
          <w:rFonts w:ascii="Yu Mincho" w:cs="Yu Mincho" w:eastAsia="Yu Mincho" w:hAnsi="Yu Mincho"/>
          <w:sz w:val="21"/>
          <w:szCs w:val="21"/>
        </w:rPr>
        <w:t xml:space="preserve">須田一幸・髙田知美（2010）「会計発生高と企業価値評価」桜井久勝編著『企業価値評価の実証分析』中央経済社，316-359頁。</w:t>
      </w:r>
    </w:p>
    <w:p>
      <w:pPr>
        <w:pStyle w:val="ListParagraph"/>
        <w:numPr>
          <w:ilvl w:val="0"/>
          <w:numId w:val="2"/>
        </w:numPr>
        <w:spacing w:after="80" w:line="300"/>
      </w:pPr>
      <w:r>
        <w:rPr>
          <w:rFonts w:ascii="Yu Mincho" w:cs="Yu Mincho" w:eastAsia="Yu Mincho" w:hAnsi="Yu Mincho"/>
          <w:sz w:val="21"/>
          <w:szCs w:val="21"/>
        </w:rPr>
        <w:t xml:space="preserve">須田一幸・竹原均（2004）「フリーキャッシュフローモデルと残余利益モデルの実証研究－株価関連性の研究－」『現代ディスクロージャ研究』5，23-35頁。</w:t>
      </w:r>
    </w:p>
    <w:p>
      <w:pPr>
        <w:pStyle w:val="ListParagraph"/>
        <w:numPr>
          <w:ilvl w:val="0"/>
          <w:numId w:val="2"/>
        </w:numPr>
        <w:spacing w:after="80" w:line="300"/>
      </w:pPr>
      <w:r>
        <w:rPr>
          <w:rFonts w:ascii="Yu Mincho" w:cs="Yu Mincho" w:eastAsia="Yu Mincho" w:hAnsi="Yu Mincho"/>
          <w:sz w:val="21"/>
          <w:szCs w:val="21"/>
        </w:rPr>
        <w:t xml:space="preserve">須田一幸・竹原均（2005）「残余利益モデルと割引キャッシュフローモデルの比較：ロング・ショート・ポートフォリオ・リターンの分析」『現代ファイナンス』No.18，3-26頁。</w:t>
      </w:r>
    </w:p>
    <w:p>
      <w:pPr>
        <w:pStyle w:val="ListParagraph"/>
        <w:numPr>
          <w:ilvl w:val="0"/>
          <w:numId w:val="2"/>
        </w:numPr>
        <w:spacing w:after="80" w:line="300"/>
      </w:pPr>
      <w:r>
        <w:rPr>
          <w:rFonts w:ascii="Yu Mincho" w:cs="Yu Mincho" w:eastAsia="Yu Mincho" w:hAnsi="Yu Mincho"/>
          <w:sz w:val="21"/>
          <w:szCs w:val="21"/>
        </w:rPr>
        <w:t xml:space="preserve">須田一幸・竹原均（2007）「会計発生高アノマリーと債務不履行リスク」『日本ファイナンス学会第15回大会予稿集』。</w:t>
      </w:r>
    </w:p>
    <w:p>
      <w:pPr>
        <w:pStyle w:val="ListParagraph"/>
        <w:numPr>
          <w:ilvl w:val="0"/>
          <w:numId w:val="2"/>
        </w:numPr>
        <w:spacing w:after="80" w:line="300"/>
      </w:pPr>
      <w:r>
        <w:rPr>
          <w:rFonts w:ascii="Yu Mincho" w:cs="Yu Mincho" w:eastAsia="Yu Mincho" w:hAnsi="Yu Mincho"/>
          <w:sz w:val="21"/>
          <w:szCs w:val="21"/>
        </w:rPr>
        <w:t xml:space="preserve">須田一幸・山本達司・乙政正太編著（2007）『会計操作』ダイヤモンド社。</w:t>
      </w:r>
    </w:p>
    <w:p>
      <w:pPr>
        <w:pStyle w:val="ListParagraph"/>
        <w:numPr>
          <w:ilvl w:val="0"/>
          <w:numId w:val="2"/>
        </w:numPr>
        <w:spacing w:after="80" w:line="300"/>
      </w:pPr>
      <w:r>
        <w:rPr>
          <w:rFonts w:ascii="Yu Mincho" w:cs="Yu Mincho" w:eastAsia="Yu Mincho" w:hAnsi="Yu Mincho"/>
          <w:sz w:val="21"/>
          <w:szCs w:val="21"/>
        </w:rPr>
        <w:t xml:space="preserve">町田祥弘（1999）「MD&amp;A開示と監査需要論」『産業経理』第59巻第3号，82-91頁。</w:t>
      </w:r>
    </w:p>
    <w:p>
      <w:pPr>
        <w:pStyle w:val="ListParagraph"/>
        <w:numPr>
          <w:ilvl w:val="0"/>
          <w:numId w:val="2"/>
        </w:numPr>
        <w:spacing w:after="80" w:line="300"/>
      </w:pPr>
      <w:r>
        <w:rPr>
          <w:rFonts w:ascii="Yu Mincho" w:cs="Yu Mincho" w:eastAsia="Yu Mincho" w:hAnsi="Yu Mincho"/>
          <w:sz w:val="21"/>
          <w:szCs w:val="21"/>
        </w:rPr>
        <w:t xml:space="preserve">村宮克彦（2005）「経営者が公表する予想利益の精度と資本コスト」『証券アナリストジャーナル』第43巻第9号，83-97頁。</w:t>
      </w:r>
    </w:p>
    <w:p>
      <w:pPr>
        <w:pStyle w:val="ListParagraph"/>
        <w:numPr>
          <w:ilvl w:val="0"/>
          <w:numId w:val="2"/>
        </w:numPr>
        <w:spacing w:after="80" w:line="300"/>
      </w:pPr>
      <w:r>
        <w:rPr>
          <w:rFonts w:ascii="Yu Mincho" w:cs="Yu Mincho" w:eastAsia="Yu Mincho" w:hAnsi="Yu Mincho"/>
          <w:sz w:val="21"/>
          <w:szCs w:val="21"/>
        </w:rPr>
        <w:t xml:space="preserve">弥永真生（1995）『会計基準と法』中央経済社。</w:t>
      </w:r>
    </w:p>
    <w:p>
      <w:pPr>
        <w:pStyle w:val="ListParagraph"/>
        <w:numPr>
          <w:ilvl w:val="0"/>
          <w:numId w:val="2"/>
        </w:numPr>
        <w:spacing w:after="80" w:line="300"/>
      </w:pPr>
      <w:r>
        <w:rPr>
          <w:rFonts w:ascii="Yu Mincho" w:cs="Yu Mincho" w:eastAsia="Yu Mincho" w:hAnsi="Yu Mincho"/>
          <w:sz w:val="21"/>
          <w:szCs w:val="21"/>
        </w:rPr>
        <w:t xml:space="preserve">ウイリス・タワーズワトソン（2025）『日米欧CEO報酬比較』2025年調査結果。</w:t>
      </w:r>
    </w:p>
    <w:p>
      <w:pPr>
        <w:pStyle w:val="Heading1"/>
        <w:pageBreakBefore/>
        <w:spacing w:after="240" w:before="480"/>
      </w:pPr>
      <w:r>
        <w:t xml:space="preserve">付録B　各回の課題一覧（復習用）</w:t>
      </w:r>
    </w:p>
    <w:p>
      <w:pPr>
        <w:spacing w:after="140" w:line="320"/>
        <w:jc w:val="left"/>
      </w:pPr>
      <w:r>
        <w:rPr>
          <w:rFonts w:ascii="Yu Mincho" w:cs="Yu Mincho" w:eastAsia="Yu Mincho" w:hAnsi="Yu Mincho"/>
          <w:sz w:val="21"/>
          <w:szCs w:val="21"/>
        </w:rPr>
        <w:t xml:space="preserve">原講義で提示された課題を、対応する本レジュメの章とあわせて一覧にした。復習・答案作成の際の索引として利用されたい。</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5400"/>
        <w:gridCol w:w="1800"/>
      </w:tblGrid>
      <w:tr>
        <w:trPr>
          <w:tblHeader/>
        </w:trPr>
        <w:tc>
          <w:tcPr>
            <w:tcW w:type="dxa" w:w="1800"/>
            <w:shd w:fill="DDE6F0" w:val="clear"/>
            <w:tcMar>
              <w:top w:type="dxa" w:w="60"/>
              <w:left w:type="dxa" w:w="100"/>
              <w:bottom w:type="dxa" w:w="60"/>
              <w:right w:type="dxa" w:w="100"/>
            </w:tcMar>
          </w:tcPr>
          <w:p>
            <w:r>
              <w:rPr>
                <w:rFonts w:ascii="Yu Gothic" w:cs="Yu Gothic" w:eastAsia="Yu Gothic" w:hAnsi="Yu Gothic"/>
                <w:b/>
                <w:bCs/>
                <w:sz w:val="19"/>
                <w:szCs w:val="19"/>
              </w:rPr>
              <w:t xml:space="preserve">原講義回</w:t>
            </w:r>
          </w:p>
        </w:tc>
        <w:tc>
          <w:tcPr>
            <w:tcW w:type="dxa" w:w="5400"/>
            <w:shd w:fill="DDE6F0" w:val="clear"/>
            <w:tcMar>
              <w:top w:type="dxa" w:w="60"/>
              <w:left w:type="dxa" w:w="100"/>
              <w:bottom w:type="dxa" w:w="60"/>
              <w:right w:type="dxa" w:w="100"/>
            </w:tcMar>
          </w:tcPr>
          <w:p>
            <w:r>
              <w:rPr>
                <w:rFonts w:ascii="Yu Gothic" w:cs="Yu Gothic" w:eastAsia="Yu Gothic" w:hAnsi="Yu Gothic"/>
                <w:b/>
                <w:bCs/>
                <w:sz w:val="19"/>
                <w:szCs w:val="19"/>
              </w:rPr>
              <w:t xml:space="preserve">課題内容</w:t>
            </w:r>
          </w:p>
        </w:tc>
        <w:tc>
          <w:tcPr>
            <w:tcW w:type="dxa" w:w="1800"/>
            <w:shd w:fill="DDE6F0" w:val="clear"/>
            <w:tcMar>
              <w:top w:type="dxa" w:w="60"/>
              <w:left w:type="dxa" w:w="100"/>
              <w:bottom w:type="dxa" w:w="60"/>
              <w:right w:type="dxa" w:w="100"/>
            </w:tcMar>
          </w:tcPr>
          <w:p>
            <w:r>
              <w:rPr>
                <w:rFonts w:ascii="Yu Gothic" w:cs="Yu Gothic" w:eastAsia="Yu Gothic" w:hAnsi="Yu Gothic"/>
                <w:b/>
                <w:bCs/>
                <w:sz w:val="19"/>
                <w:szCs w:val="19"/>
              </w:rPr>
              <w:t xml:space="preserve">本レジュメの該当章</w:t>
            </w:r>
          </w:p>
        </w:tc>
      </w:tr>
      <w:tr>
        <w:tc>
          <w:tcPr>
            <w:tcW w:type="dxa" w:w="1800"/>
            <w:tcMar>
              <w:top w:type="dxa" w:w="60"/>
              <w:left w:type="dxa" w:w="100"/>
              <w:bottom w:type="dxa" w:w="60"/>
              <w:right w:type="dxa" w:w="100"/>
            </w:tcMar>
          </w:tcPr>
          <w:p>
            <w:r>
              <w:rPr>
                <w:rFonts w:ascii="Yu Mincho" w:cs="Yu Mincho" w:eastAsia="Yu Mincho" w:hAnsi="Yu Mincho"/>
                <w:sz w:val="19"/>
                <w:szCs w:val="19"/>
              </w:rPr>
              <w:t xml:space="preserve">第2回</w:t>
            </w:r>
          </w:p>
        </w:tc>
        <w:tc>
          <w:tcPr>
            <w:tcW w:type="dxa" w:w="5400"/>
            <w:tcMar>
              <w:top w:type="dxa" w:w="60"/>
              <w:left w:type="dxa" w:w="100"/>
              <w:bottom w:type="dxa" w:w="60"/>
              <w:right w:type="dxa" w:w="100"/>
            </w:tcMar>
          </w:tcPr>
          <w:p>
            <w:r>
              <w:rPr>
                <w:rFonts w:ascii="Yu Mincho" w:cs="Yu Mincho" w:eastAsia="Yu Mincho" w:hAnsi="Yu Mincho"/>
                <w:sz w:val="19"/>
                <w:szCs w:val="19"/>
              </w:rPr>
              <w:t xml:space="preserve">会計情報を開示する理由を理論的に説明しなさい。</w:t>
            </w:r>
          </w:p>
        </w:tc>
        <w:tc>
          <w:tcPr>
            <w:tcW w:type="dxa" w:w="1800"/>
            <w:tcMar>
              <w:top w:type="dxa" w:w="60"/>
              <w:left w:type="dxa" w:w="100"/>
              <w:bottom w:type="dxa" w:w="60"/>
              <w:right w:type="dxa" w:w="100"/>
            </w:tcMar>
          </w:tcPr>
          <w:p>
            <w:r>
              <w:rPr>
                <w:rFonts w:ascii="Yu Mincho" w:cs="Yu Mincho" w:eastAsia="Yu Mincho" w:hAnsi="Yu Mincho"/>
                <w:sz w:val="19"/>
                <w:szCs w:val="19"/>
              </w:rPr>
              <w:t xml:space="preserve">序章</w:t>
            </w:r>
          </w:p>
        </w:tc>
      </w:tr>
      <w:tr>
        <w:tc>
          <w:tcPr>
            <w:tcW w:type="dxa" w:w="1800"/>
            <w:tcMar>
              <w:top w:type="dxa" w:w="60"/>
              <w:left w:type="dxa" w:w="100"/>
              <w:bottom w:type="dxa" w:w="60"/>
              <w:right w:type="dxa" w:w="100"/>
            </w:tcMar>
          </w:tcPr>
          <w:p>
            <w:r>
              <w:rPr>
                <w:rFonts w:ascii="Yu Mincho" w:cs="Yu Mincho" w:eastAsia="Yu Mincho" w:hAnsi="Yu Mincho"/>
                <w:sz w:val="19"/>
                <w:szCs w:val="19"/>
              </w:rPr>
              <w:t xml:space="preserve">第3回・第4回</w:t>
            </w:r>
          </w:p>
        </w:tc>
        <w:tc>
          <w:tcPr>
            <w:tcW w:type="dxa" w:w="5400"/>
            <w:tcMar>
              <w:top w:type="dxa" w:w="60"/>
              <w:left w:type="dxa" w:w="100"/>
              <w:bottom w:type="dxa" w:w="60"/>
              <w:right w:type="dxa" w:w="100"/>
            </w:tcMar>
          </w:tcPr>
          <w:p>
            <w:r>
              <w:rPr>
                <w:rFonts w:ascii="Yu Mincho" w:cs="Yu Mincho" w:eastAsia="Yu Mincho" w:hAnsi="Yu Mincho"/>
                <w:sz w:val="19"/>
                <w:szCs w:val="19"/>
              </w:rPr>
              <w:t xml:space="preserve">ケース課題1（A社＝富士通）、ケース課題2（B社）の経営者報酬制度を評価しなさい。</w:t>
            </w:r>
          </w:p>
        </w:tc>
        <w:tc>
          <w:tcPr>
            <w:tcW w:type="dxa" w:w="1800"/>
            <w:tcMar>
              <w:top w:type="dxa" w:w="60"/>
              <w:left w:type="dxa" w:w="100"/>
              <w:bottom w:type="dxa" w:w="60"/>
              <w:right w:type="dxa" w:w="100"/>
            </w:tcMar>
          </w:tcPr>
          <w:p>
            <w:r>
              <w:rPr>
                <w:rFonts w:ascii="Yu Mincho" w:cs="Yu Mincho" w:eastAsia="Yu Mincho" w:hAnsi="Yu Mincho"/>
                <w:sz w:val="19"/>
                <w:szCs w:val="19"/>
              </w:rPr>
              <w:t xml:space="preserve">第1章1.9節</w:t>
            </w:r>
          </w:p>
        </w:tc>
      </w:tr>
      <w:tr>
        <w:tc>
          <w:tcPr>
            <w:tcW w:type="dxa" w:w="1800"/>
            <w:tcMar>
              <w:top w:type="dxa" w:w="60"/>
              <w:left w:type="dxa" w:w="100"/>
              <w:bottom w:type="dxa" w:w="60"/>
              <w:right w:type="dxa" w:w="100"/>
            </w:tcMar>
          </w:tcPr>
          <w:p>
            <w:r>
              <w:rPr>
                <w:rFonts w:ascii="Yu Mincho" w:cs="Yu Mincho" w:eastAsia="Yu Mincho" w:hAnsi="Yu Mincho"/>
                <w:sz w:val="19"/>
                <w:szCs w:val="19"/>
              </w:rPr>
              <w:t xml:space="preserve">第5回・第6回</w:t>
            </w:r>
          </w:p>
        </w:tc>
        <w:tc>
          <w:tcPr>
            <w:tcW w:type="dxa" w:w="5400"/>
            <w:tcMar>
              <w:top w:type="dxa" w:w="60"/>
              <w:left w:type="dxa" w:w="100"/>
              <w:bottom w:type="dxa" w:w="60"/>
              <w:right w:type="dxa" w:w="100"/>
            </w:tcMar>
          </w:tcPr>
          <w:p>
            <w:r>
              <w:rPr>
                <w:rFonts w:ascii="Yu Mincho" w:cs="Yu Mincho" w:eastAsia="Yu Mincho" w:hAnsi="Yu Mincho"/>
                <w:sz w:val="19"/>
                <w:szCs w:val="19"/>
              </w:rPr>
              <w:t xml:space="preserve">課題1：財務制限条項の設定は法律等で一義的に強制すべきか、契約当事者間の任意契約に任せるべきか。課題2：債務契約の事前において経営者のモラル・ハザードを予測するために有用な財務諸表情報を考えなさい。</w:t>
            </w:r>
          </w:p>
        </w:tc>
        <w:tc>
          <w:tcPr>
            <w:tcW w:type="dxa" w:w="1800"/>
            <w:tcMar>
              <w:top w:type="dxa" w:w="60"/>
              <w:left w:type="dxa" w:w="100"/>
              <w:bottom w:type="dxa" w:w="60"/>
              <w:right w:type="dxa" w:w="100"/>
            </w:tcMar>
          </w:tcPr>
          <w:p>
            <w:r>
              <w:rPr>
                <w:rFonts w:ascii="Yu Mincho" w:cs="Yu Mincho" w:eastAsia="Yu Mincho" w:hAnsi="Yu Mincho"/>
                <w:sz w:val="19"/>
                <w:szCs w:val="19"/>
              </w:rPr>
              <w:t xml:space="preserve">第2章2.9節</w:t>
            </w:r>
          </w:p>
        </w:tc>
      </w:tr>
      <w:tr>
        <w:tc>
          <w:tcPr>
            <w:tcW w:type="dxa" w:w="1800"/>
            <w:tcMar>
              <w:top w:type="dxa" w:w="60"/>
              <w:left w:type="dxa" w:w="100"/>
              <w:bottom w:type="dxa" w:w="60"/>
              <w:right w:type="dxa" w:w="100"/>
            </w:tcMar>
          </w:tcPr>
          <w:p>
            <w:r>
              <w:rPr>
                <w:rFonts w:ascii="Yu Mincho" w:cs="Yu Mincho" w:eastAsia="Yu Mincho" w:hAnsi="Yu Mincho"/>
                <w:sz w:val="19"/>
                <w:szCs w:val="19"/>
              </w:rPr>
              <w:t xml:space="preserve">第8回</w:t>
            </w:r>
          </w:p>
        </w:tc>
        <w:tc>
          <w:tcPr>
            <w:tcW w:type="dxa" w:w="5400"/>
            <w:tcMar>
              <w:top w:type="dxa" w:w="60"/>
              <w:left w:type="dxa" w:w="100"/>
              <w:bottom w:type="dxa" w:w="60"/>
              <w:right w:type="dxa" w:w="100"/>
            </w:tcMar>
          </w:tcPr>
          <w:p>
            <w:r>
              <w:rPr>
                <w:rFonts w:ascii="Yu Mincho" w:cs="Yu Mincho" w:eastAsia="Yu Mincho" w:hAnsi="Yu Mincho"/>
                <w:sz w:val="19"/>
                <w:szCs w:val="19"/>
              </w:rPr>
              <w:t xml:space="preserve">半強度の証券市場の効率性を仮定した場合、自発的な会計方針変更による利益増加に対して日本の証券市場がどう反応するか（機械的に反応するか否か）を、根拠とともに説明せよ。</w:t>
            </w:r>
          </w:p>
        </w:tc>
        <w:tc>
          <w:tcPr>
            <w:tcW w:type="dxa" w:w="1800"/>
            <w:tcMar>
              <w:top w:type="dxa" w:w="60"/>
              <w:left w:type="dxa" w:w="100"/>
              <w:bottom w:type="dxa" w:w="60"/>
              <w:right w:type="dxa" w:w="100"/>
            </w:tcMar>
          </w:tcPr>
          <w:p>
            <w:r>
              <w:rPr>
                <w:rFonts w:ascii="Yu Mincho" w:cs="Yu Mincho" w:eastAsia="Yu Mincho" w:hAnsi="Yu Mincho"/>
                <w:sz w:val="19"/>
                <w:szCs w:val="19"/>
              </w:rPr>
              <w:t xml:space="preserve">第4章</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fldChar w:fldCharType="begin"/>
      <w:instrText xml:space="preserve">PAGE</w:instrText>
      <w:fldChar w:fldCharType="separate"/>
      <w:fldChar w:fldCharType="end"/>
    </w:r>
    <w:r>
      <w:rPr>
        <w:rFonts w:ascii="Yu Mincho" w:cs="Yu Mincho" w:eastAsia="Yu Mincho" w:hAnsi="Yu Mincho"/>
        <w:sz w:val="18"/>
        <w:szCs w:val="18"/>
      </w:rPr>
      <w:t xml:space="preserve"> / </w:t>
    </w:r>
    <w:r>
      <w:rPr>
        <w:rFonts w:ascii="Yu Mincho" w:cs="Yu Mincho" w:eastAsia="Yu Mincho" w:hAnsi="Yu Mincho"/>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Mincho" w:cs="Yu Mincho" w:eastAsia="Yu Mincho" w:hAnsi="Yu Mincho"/>
        <w:color w:val="888888"/>
        <w:sz w:val="16"/>
        <w:szCs w:val="16"/>
      </w:rPr>
      <w:t xml:space="preserve">経営分析Ⅱ　講義レジュメ（再構成版）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480"/>
    </w:pPr>
    <w:rPr>
      <w:rFonts w:ascii="Yu Gothic" w:cs="Yu Gothic" w:eastAsia="Yu Gothic" w:hAnsi="Yu Gothic"/>
      <w:b/>
      <w:bCs/>
      <w:color w:val="1F3864"/>
      <w:sz w:val="32"/>
      <w:szCs w:val="32"/>
    </w:rPr>
  </w:style>
  <w:style w:type="paragraph" w:styleId="Heading2">
    <w:name w:val="Heading 2"/>
    <w:basedOn w:val="Normal"/>
    <w:next w:val="Normal"/>
    <w:qFormat/>
    <w:pPr>
      <w:spacing w:after="160" w:before="360"/>
    </w:pPr>
    <w:rPr>
      <w:rFonts w:ascii="Yu Gothic" w:cs="Yu Gothic" w:eastAsia="Yu Gothic" w:hAnsi="Yu Gothic"/>
      <w:b/>
      <w:bCs/>
      <w:color w:val="2E5395"/>
      <w:sz w:val="26"/>
      <w:szCs w:val="26"/>
    </w:rPr>
  </w:style>
  <w:style w:type="paragraph" w:styleId="Heading3">
    <w:name w:val="Heading 3"/>
    <w:basedOn w:val="Normal"/>
    <w:next w:val="Normal"/>
    <w:qFormat/>
    <w:pPr>
      <w:spacing w:after="120" w:before="240"/>
    </w:pPr>
    <w:rPr>
      <w:rFonts w:ascii="Yu Gothic" w:cs="Yu Gothic" w:eastAsia="Yu Gothic" w:hAnsi="Yu Gothic"/>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経営分析Ⅱ 講義レジュメ（再構成版）</dc:title>
  <dc:creator>Study Cycle Manager</dc:creator>
  <cp:lastModifiedBy>Un-named</cp:lastModifiedBy>
  <cp:revision>1</cp:revision>
  <dcterms:created xsi:type="dcterms:W3CDTF">2026-07-20T10:46:40.790Z</dcterms:created>
  <dcterms:modified xsi:type="dcterms:W3CDTF">2026-07-20T10:46:40.791Z</dcterms:modified>
</cp:coreProperties>
</file>

<file path=docProps/custom.xml><?xml version="1.0" encoding="utf-8"?>
<Properties xmlns="http://schemas.openxmlformats.org/officeDocument/2006/custom-properties" xmlns:vt="http://schemas.openxmlformats.org/officeDocument/2006/docPropsVTypes"/>
</file>