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rFonts w:ascii="Yu Gothic" w:cs="Yu Gothic" w:eastAsia="Yu Gothic" w:hAnsi="Yu Gothic"/>
          <w:b/>
          <w:bCs/>
          <w:sz w:val="44"/>
          <w:szCs w:val="44"/>
        </w:rPr>
        <w:t xml:space="preserve">経営分析Ⅱ　暗記事項まとめ</w:t>
      </w:r>
    </w:p>
    <w:p>
      <w:pPr>
        <w:spacing w:after="800"/>
        <w:jc w:val="center"/>
      </w:pPr>
      <w:r>
        <w:rPr>
          <w:rFonts w:ascii="Yu Gothic" w:cs="Yu Gothic" w:eastAsia="Yu Gothic" w:hAnsi="Yu Gothic"/>
          <w:sz w:val="28"/>
          <w:szCs w:val="28"/>
        </w:rPr>
        <w:t xml:space="preserve">過去問頻出論点ベース／章立て対応版</w:t>
      </w:r>
    </w:p>
    <w:p>
      <w:pPr>
        <w:spacing w:after="120"/>
        <w:jc w:val="center"/>
      </w:pPr>
      <w:r>
        <w:rPr>
          <w:rFonts w:ascii="Yu Mincho" w:cs="Yu Mincho" w:eastAsia="Yu Mincho" w:hAnsi="Yu Mincho"/>
          <w:sz w:val="22"/>
          <w:szCs w:val="22"/>
        </w:rPr>
        <w:t xml:space="preserve">原講義：首藤昭信（東京大学大学院経済学研究科・経済学部）</w:t>
      </w:r>
    </w:p>
    <w:p>
      <w:pPr>
        <w:spacing w:after="60"/>
        <w:jc w:val="center"/>
      </w:pPr>
      <w:r>
        <w:rPr>
          <w:rFonts w:ascii="Yu Mincho" w:cs="Yu Mincho" w:eastAsia="Yu Mincho" w:hAnsi="Yu Mincho"/>
          <w:i/>
          <w:iCs/>
          <w:sz w:val="20"/>
          <w:szCs w:val="20"/>
        </w:rPr>
        <w:t xml:space="preserve">過去問レジュメ（頻出論点・解答例編）の全29エントリから、実際に試験で問われた・問われうる暗記対象（用語・定義・理論・研究者名・数値）を抽出し、講義レジュメと同じ章立て（序章＋第1〜6章）でコンパクトに整理した。</w:t>
      </w:r>
    </w:p>
    <w:p>
      <w:pPr>
        <w:spacing w:after="2400"/>
        <w:jc w:val="center"/>
      </w:pPr>
      <w:r>
        <w:rPr>
          <w:rFonts w:ascii="Yu Mincho" w:cs="Yu Mincho" w:eastAsia="Yu Mincho" w:hAnsi="Yu Mincho"/>
          <w:i/>
          <w:iCs/>
          <w:sz w:val="20"/>
          <w:szCs w:val="20"/>
        </w:rPr>
        <w:t xml:space="preserve">解説文ではなく暗記用の圧縮整理を目的とするため、表・箇条書き中心の構成とした。詳細な問題文・解答例・出題根拠は「経営分析2_過去問レジュメ」を参照のこと。</w:t>
      </w:r>
    </w:p>
    <w:p>
      <w:r>
        <w:br w:type="page"/>
      </w:r>
    </w:p>
    <w:p>
      <w:pPr>
        <w:pStyle w:val="Heading1"/>
        <w:spacing w:after="240"/>
      </w:pPr>
      <w:r>
        <w:t xml:space="preserve">目次</w:t>
      </w:r>
    </w:p>
    <w:p>
      <w:pPr>
        <w:spacing w:after="160"/>
      </w:pPr>
      <w:r>
        <w:rPr>
          <w:rFonts w:ascii="Yu Gothic" w:cs="Yu Gothic" w:eastAsia="Yu Gothic" w:hAnsi="Yu Gothic"/>
          <w:sz w:val="24"/>
          <w:szCs w:val="24"/>
        </w:rPr>
        <w:t xml:space="preserve">序章　会計情報の機能に関する暗記事項</w:t>
      </w:r>
    </w:p>
    <w:p>
      <w:pPr>
        <w:spacing w:after="160"/>
      </w:pPr>
      <w:r>
        <w:rPr>
          <w:rFonts w:ascii="Yu Gothic" w:cs="Yu Gothic" w:eastAsia="Yu Gothic" w:hAnsi="Yu Gothic"/>
          <w:sz w:val="24"/>
          <w:szCs w:val="24"/>
        </w:rPr>
        <w:t xml:space="preserve">第1章　報酬契約に関する暗記事項</w:t>
      </w:r>
    </w:p>
    <w:p>
      <w:pPr>
        <w:spacing w:after="160"/>
      </w:pPr>
      <w:r>
        <w:rPr>
          <w:rFonts w:ascii="Yu Gothic" w:cs="Yu Gothic" w:eastAsia="Yu Gothic" w:hAnsi="Yu Gothic"/>
          <w:sz w:val="24"/>
          <w:szCs w:val="24"/>
        </w:rPr>
        <w:t xml:space="preserve">第2章　債務契約に関する暗記事項</w:t>
      </w:r>
    </w:p>
    <w:p>
      <w:pPr>
        <w:spacing w:after="160"/>
      </w:pPr>
      <w:r>
        <w:rPr>
          <w:rFonts w:ascii="Yu Gothic" w:cs="Yu Gothic" w:eastAsia="Yu Gothic" w:hAnsi="Yu Gothic"/>
          <w:sz w:val="24"/>
          <w:szCs w:val="24"/>
        </w:rPr>
        <w:t xml:space="preserve">第3章　政府契約に関する暗記事項</w:t>
      </w:r>
    </w:p>
    <w:p>
      <w:pPr>
        <w:spacing w:after="160"/>
      </w:pPr>
      <w:r>
        <w:rPr>
          <w:rFonts w:ascii="Yu Gothic" w:cs="Yu Gothic" w:eastAsia="Yu Gothic" w:hAnsi="Yu Gothic"/>
          <w:sz w:val="24"/>
          <w:szCs w:val="24"/>
        </w:rPr>
        <w:t xml:space="preserve">第4章　株式市場に関する暗記事項</w:t>
      </w:r>
    </w:p>
    <w:p>
      <w:pPr>
        <w:spacing w:after="160"/>
      </w:pPr>
      <w:r>
        <w:rPr>
          <w:rFonts w:ascii="Yu Gothic" w:cs="Yu Gothic" w:eastAsia="Yu Gothic" w:hAnsi="Yu Gothic"/>
          <w:sz w:val="24"/>
          <w:szCs w:val="24"/>
        </w:rPr>
        <w:t xml:space="preserve">第5章　自発的情報開示（IR）に関する暗記事項</w:t>
      </w:r>
    </w:p>
    <w:p>
      <w:pPr>
        <w:spacing w:after="160"/>
      </w:pPr>
      <w:r>
        <w:rPr>
          <w:rFonts w:ascii="Yu Gothic" w:cs="Yu Gothic" w:eastAsia="Yu Gothic" w:hAnsi="Yu Gothic"/>
          <w:sz w:val="24"/>
          <w:szCs w:val="24"/>
        </w:rPr>
        <w:t xml:space="preserve">第6章　利益調整に関する暗記事項（最頻出章）</w:t>
      </w:r>
    </w:p>
    <w:p>
      <w:pPr>
        <w:spacing w:before="200"/>
      </w:pPr>
      <w:r>
        <w:rPr>
          <w:rFonts w:ascii="Yu Mincho" w:cs="Yu Mincho" w:eastAsia="Yu Mincho" w:hAnsi="Yu Mincho"/>
          <w:i/>
          <w:iCs/>
          <w:color w:val="888888"/>
          <w:sz w:val="18"/>
          <w:szCs w:val="18"/>
        </w:rPr>
        <w:t xml:space="preserve">※グレー枠＝過去問で特に出題頻度が高い最重要論点。ページ番号はPDFビューアの検索機能をご利用ください。</w:t>
      </w:r>
    </w:p>
    <w:p>
      <w:r>
        <w:br w:type="page"/>
      </w:r>
    </w:p>
    <w:p>
      <w:pPr>
        <w:pStyle w:val="Heading1"/>
        <w:pageBreakBefore/>
        <w:spacing w:after="240" w:before="480"/>
      </w:pPr>
      <w:r>
        <w:t xml:space="preserve">序章　会計情報の機能に関する暗記事項</w:t>
      </w:r>
    </w:p>
    <w:p>
      <w:pPr>
        <w:spacing w:after="140" w:line="320"/>
        <w:jc w:val="left"/>
      </w:pPr>
      <w:r>
        <w:rPr>
          <w:rFonts w:ascii="Yu Mincho" w:cs="Yu Mincho" w:eastAsia="Yu Mincho" w:hAnsi="Yu Mincho"/>
          <w:sz w:val="21"/>
          <w:szCs w:val="21"/>
        </w:rPr>
        <w:t xml:space="preserve">エイジェンシー費用＝依頼人（プリンシパル）と代理人（エージェント）の利害不一致から生じるコスト。財務会計は「意思決定支援機能」と「契約支援機能」の2機能でこれを削減する。</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800"/>
        <w:gridCol w:w="2600"/>
      </w:tblGrid>
      <w:tr>
        <w:trPr>
          <w:tblHeader/>
        </w:trPr>
        <w:tc>
          <w:tcPr>
            <w:tcW w:type="dxa" w:w="2600"/>
            <w:shd w:fill="DDE6F0" w:val="clear"/>
            <w:tcMar>
              <w:top w:type="dxa" w:w="60"/>
              <w:left w:type="dxa" w:w="100"/>
              <w:bottom w:type="dxa" w:w="60"/>
              <w:right w:type="dxa" w:w="100"/>
            </w:tcMar>
          </w:tcPr>
          <w:p>
            <w:r>
              <w:rPr>
                <w:rFonts w:ascii="Yu Gothic" w:cs="Yu Gothic" w:eastAsia="Yu Gothic" w:hAnsi="Yu Gothic"/>
                <w:b/>
                <w:bCs/>
                <w:sz w:val="19"/>
                <w:szCs w:val="19"/>
              </w:rPr>
              <w:t xml:space="preserve">エイジェンシー費用の3分類</w:t>
            </w:r>
          </w:p>
        </w:tc>
        <w:tc>
          <w:tcPr>
            <w:tcW w:type="dxa" w:w="3800"/>
            <w:shd w:fill="DDE6F0" w:val="clear"/>
            <w:tcMar>
              <w:top w:type="dxa" w:w="60"/>
              <w:left w:type="dxa" w:w="100"/>
              <w:bottom w:type="dxa" w:w="60"/>
              <w:right w:type="dxa" w:w="100"/>
            </w:tcMar>
          </w:tcPr>
          <w:p>
            <w:r>
              <w:rPr>
                <w:rFonts w:ascii="Yu Gothic" w:cs="Yu Gothic" w:eastAsia="Yu Gothic" w:hAnsi="Yu Gothic"/>
                <w:b/>
                <w:bCs/>
                <w:sz w:val="19"/>
                <w:szCs w:val="19"/>
              </w:rPr>
              <w:t xml:space="preserve">内容</w:t>
            </w:r>
          </w:p>
        </w:tc>
        <w:tc>
          <w:tcPr>
            <w:tcW w:type="dxa" w:w="2600"/>
            <w:shd w:fill="DDE6F0" w:val="clear"/>
            <w:tcMar>
              <w:top w:type="dxa" w:w="60"/>
              <w:left w:type="dxa" w:w="100"/>
              <w:bottom w:type="dxa" w:w="60"/>
              <w:right w:type="dxa" w:w="100"/>
            </w:tcMar>
          </w:tcPr>
          <w:p>
            <w:r>
              <w:rPr>
                <w:rFonts w:ascii="Yu Gothic" w:cs="Yu Gothic" w:eastAsia="Yu Gothic" w:hAnsi="Yu Gothic"/>
                <w:b/>
                <w:bCs/>
                <w:sz w:val="19"/>
                <w:szCs w:val="19"/>
              </w:rPr>
              <w:t xml:space="preserve">具体例</w:t>
            </w:r>
          </w:p>
        </w:tc>
      </w:tr>
      <w:tr>
        <w:trPr>
          <w:cantSplit/>
        </w:trPr>
        <w:tc>
          <w:tcPr>
            <w:tcW w:type="dxa" w:w="2600"/>
            <w:tcMar>
              <w:top w:type="dxa" w:w="60"/>
              <w:left w:type="dxa" w:w="100"/>
              <w:bottom w:type="dxa" w:w="60"/>
              <w:right w:type="dxa" w:w="100"/>
            </w:tcMar>
          </w:tcPr>
          <w:p>
            <w:r>
              <w:rPr>
                <w:rFonts w:ascii="Yu Mincho" w:cs="Yu Mincho" w:eastAsia="Yu Mincho" w:hAnsi="Yu Mincho"/>
                <w:sz w:val="19"/>
                <w:szCs w:val="19"/>
              </w:rPr>
              <w:t xml:space="preserve">モニタリング・コスト</w:t>
            </w:r>
          </w:p>
        </w:tc>
        <w:tc>
          <w:tcPr>
            <w:tcW w:type="dxa" w:w="3800"/>
            <w:tcMar>
              <w:top w:type="dxa" w:w="60"/>
              <w:left w:type="dxa" w:w="100"/>
              <w:bottom w:type="dxa" w:w="60"/>
              <w:right w:type="dxa" w:w="100"/>
            </w:tcMar>
          </w:tcPr>
          <w:p>
            <w:r>
              <w:rPr>
                <w:rFonts w:ascii="Yu Mincho" w:cs="Yu Mincho" w:eastAsia="Yu Mincho" w:hAnsi="Yu Mincho"/>
                <w:sz w:val="19"/>
                <w:szCs w:val="19"/>
              </w:rPr>
              <w:t xml:space="preserve">依頼人が代理人の行動を監視する費用</w:t>
            </w:r>
          </w:p>
        </w:tc>
        <w:tc>
          <w:tcPr>
            <w:tcW w:type="dxa" w:w="2600"/>
            <w:tcMar>
              <w:top w:type="dxa" w:w="60"/>
              <w:left w:type="dxa" w:w="100"/>
              <w:bottom w:type="dxa" w:w="60"/>
              <w:right w:type="dxa" w:w="100"/>
            </w:tcMar>
          </w:tcPr>
          <w:p>
            <w:r>
              <w:rPr>
                <w:rFonts w:ascii="Yu Mincho" w:cs="Yu Mincho" w:eastAsia="Yu Mincho" w:hAnsi="Yu Mincho"/>
                <w:sz w:val="19"/>
                <w:szCs w:val="19"/>
              </w:rPr>
              <w:t xml:space="preserve">監査、取締役会による監視</w:t>
            </w:r>
          </w:p>
        </w:tc>
      </w:tr>
      <w:tr>
        <w:trPr>
          <w:cantSplit/>
        </w:trPr>
        <w:tc>
          <w:tcPr>
            <w:tcW w:type="dxa" w:w="2600"/>
            <w:tcMar>
              <w:top w:type="dxa" w:w="60"/>
              <w:left w:type="dxa" w:w="100"/>
              <w:bottom w:type="dxa" w:w="60"/>
              <w:right w:type="dxa" w:w="100"/>
            </w:tcMar>
          </w:tcPr>
          <w:p>
            <w:r>
              <w:rPr>
                <w:rFonts w:ascii="Yu Mincho" w:cs="Yu Mincho" w:eastAsia="Yu Mincho" w:hAnsi="Yu Mincho"/>
                <w:sz w:val="19"/>
                <w:szCs w:val="19"/>
              </w:rPr>
              <w:t xml:space="preserve">ボンディング・コスト</w:t>
            </w:r>
          </w:p>
        </w:tc>
        <w:tc>
          <w:tcPr>
            <w:tcW w:type="dxa" w:w="3800"/>
            <w:tcMar>
              <w:top w:type="dxa" w:w="60"/>
              <w:left w:type="dxa" w:w="100"/>
              <w:bottom w:type="dxa" w:w="60"/>
              <w:right w:type="dxa" w:w="100"/>
            </w:tcMar>
          </w:tcPr>
          <w:p>
            <w:r>
              <w:rPr>
                <w:rFonts w:ascii="Yu Mincho" w:cs="Yu Mincho" w:eastAsia="Yu Mincho" w:hAnsi="Yu Mincho"/>
                <w:sz w:val="19"/>
                <w:szCs w:val="19"/>
              </w:rPr>
              <w:t xml:space="preserve">代理人が自らの行動を制約し依頼人に保証する費用</w:t>
            </w:r>
          </w:p>
        </w:tc>
        <w:tc>
          <w:tcPr>
            <w:tcW w:type="dxa" w:w="2600"/>
            <w:tcMar>
              <w:top w:type="dxa" w:w="60"/>
              <w:left w:type="dxa" w:w="100"/>
              <w:bottom w:type="dxa" w:w="60"/>
              <w:right w:type="dxa" w:w="100"/>
            </w:tcMar>
          </w:tcPr>
          <w:p>
            <w:r>
              <w:rPr>
                <w:rFonts w:ascii="Yu Mincho" w:cs="Yu Mincho" w:eastAsia="Yu Mincho" w:hAnsi="Yu Mincho"/>
                <w:sz w:val="19"/>
                <w:szCs w:val="19"/>
              </w:rPr>
              <w:t xml:space="preserve">経営者による自発的情報開示、契約上の制約受入れ</w:t>
            </w:r>
          </w:p>
        </w:tc>
      </w:tr>
      <w:tr>
        <w:trPr>
          <w:cantSplit/>
        </w:trPr>
        <w:tc>
          <w:tcPr>
            <w:tcW w:type="dxa" w:w="2600"/>
            <w:tcMar>
              <w:top w:type="dxa" w:w="60"/>
              <w:left w:type="dxa" w:w="100"/>
              <w:bottom w:type="dxa" w:w="60"/>
              <w:right w:type="dxa" w:w="100"/>
            </w:tcMar>
          </w:tcPr>
          <w:p>
            <w:r>
              <w:rPr>
                <w:rFonts w:ascii="Yu Mincho" w:cs="Yu Mincho" w:eastAsia="Yu Mincho" w:hAnsi="Yu Mincho"/>
                <w:sz w:val="19"/>
                <w:szCs w:val="19"/>
              </w:rPr>
              <w:t xml:space="preserve">残余損失（レジデュアル・ロス）</w:t>
            </w:r>
          </w:p>
        </w:tc>
        <w:tc>
          <w:tcPr>
            <w:tcW w:type="dxa" w:w="3800"/>
            <w:tcMar>
              <w:top w:type="dxa" w:w="60"/>
              <w:left w:type="dxa" w:w="100"/>
              <w:bottom w:type="dxa" w:w="60"/>
              <w:right w:type="dxa" w:w="100"/>
            </w:tcMar>
          </w:tcPr>
          <w:p>
            <w:r>
              <w:rPr>
                <w:rFonts w:ascii="Yu Mincho" w:cs="Yu Mincho" w:eastAsia="Yu Mincho" w:hAnsi="Yu Mincho"/>
                <w:sz w:val="19"/>
                <w:szCs w:val="19"/>
              </w:rPr>
              <w:t xml:space="preserve">監視・保証を尽くしても残る利害不一致による価値減少</w:t>
            </w:r>
          </w:p>
        </w:tc>
        <w:tc>
          <w:tcPr>
            <w:tcW w:type="dxa" w:w="2600"/>
            <w:tcMar>
              <w:top w:type="dxa" w:w="60"/>
              <w:left w:type="dxa" w:w="100"/>
              <w:bottom w:type="dxa" w:w="60"/>
              <w:right w:type="dxa" w:w="100"/>
            </w:tcMar>
          </w:tcPr>
          <w:p>
            <w:r>
              <w:rPr>
                <w:rFonts w:ascii="Yu Mincho" w:cs="Yu Mincho" w:eastAsia="Yu Mincho" w:hAnsi="Yu Mincho"/>
                <w:sz w:val="19"/>
                <w:szCs w:val="19"/>
              </w:rPr>
              <w:t xml:space="preserve">最適水準からの乖離分の企業価値低下</w:t>
            </w:r>
          </w:p>
        </w:tc>
      </w:tr>
    </w:tbl>
    <w:p>
      <w:pPr>
        <w:spacing w:after="100"/>
      </w:pP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最頻出の対応関係（必ず暗記）</w:t>
            </w:r>
          </w:p>
          <w:p>
            <w:pPr>
              <w:spacing w:line="300"/>
            </w:pPr>
            <w:r>
              <w:rPr>
                <w:rFonts w:ascii="Yu Mincho" w:cs="Yu Mincho" w:eastAsia="Yu Mincho" w:hAnsi="Yu Mincho"/>
                <w:sz w:val="20"/>
                <w:szCs w:val="20"/>
              </w:rPr>
              <w:t xml:space="preserve">逆選択＝財の品質に関する情報の非対称性→「意思決定支援機能」（開示情報で事前に質を判別）で対応。モラル・ハザード＝行動に関する情報の非対称性→「契約支援機能」（会計数値に基づく契約で事後の行動を規律付け）で対応。</w:t>
            </w:r>
          </w:p>
        </w:tc>
      </w:tr>
    </w:tbl>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2200"/>
        <w:gridCol w:w="2200"/>
        <w:gridCol w:w="2600"/>
      </w:tblGrid>
      <w:tr>
        <w:trPr>
          <w:tblHeader/>
        </w:trPr>
        <w:tc>
          <w:tcPr>
            <w:tcW w:type="dxa" w:w="3000"/>
            <w:shd w:fill="DDE6F0" w:val="clear"/>
            <w:tcMar>
              <w:top w:type="dxa" w:w="60"/>
              <w:left w:type="dxa" w:w="100"/>
              <w:bottom w:type="dxa" w:w="60"/>
              <w:right w:type="dxa" w:w="100"/>
            </w:tcMar>
          </w:tcPr>
          <w:p>
            <w:r>
              <w:rPr>
                <w:rFonts w:ascii="Yu Gothic" w:cs="Yu Gothic" w:eastAsia="Yu Gothic" w:hAnsi="Yu Gothic"/>
                <w:b/>
                <w:bCs/>
                <w:sz w:val="19"/>
                <w:szCs w:val="19"/>
              </w:rPr>
              <w:t xml:space="preserve">概念</w:t>
            </w:r>
          </w:p>
        </w:tc>
        <w:tc>
          <w:tcPr>
            <w:tcW w:type="dxa" w:w="2200"/>
            <w:shd w:fill="DDE6F0" w:val="clear"/>
            <w:tcMar>
              <w:top w:type="dxa" w:w="60"/>
              <w:left w:type="dxa" w:w="100"/>
              <w:bottom w:type="dxa" w:w="60"/>
              <w:right w:type="dxa" w:w="100"/>
            </w:tcMar>
          </w:tcPr>
          <w:p>
            <w:r>
              <w:rPr>
                <w:rFonts w:ascii="Yu Gothic" w:cs="Yu Gothic" w:eastAsia="Yu Gothic" w:hAnsi="Yu Gothic"/>
                <w:b/>
                <w:bCs/>
                <w:sz w:val="19"/>
                <w:szCs w:val="19"/>
              </w:rPr>
              <w:t xml:space="preserve">対象となる非対称性</w:t>
            </w:r>
          </w:p>
        </w:tc>
        <w:tc>
          <w:tcPr>
            <w:tcW w:type="dxa" w:w="2200"/>
            <w:shd w:fill="DDE6F0" w:val="clear"/>
            <w:tcMar>
              <w:top w:type="dxa" w:w="60"/>
              <w:left w:type="dxa" w:w="100"/>
              <w:bottom w:type="dxa" w:w="60"/>
              <w:right w:type="dxa" w:w="100"/>
            </w:tcMar>
          </w:tcPr>
          <w:p>
            <w:r>
              <w:rPr>
                <w:rFonts w:ascii="Yu Gothic" w:cs="Yu Gothic" w:eastAsia="Yu Gothic" w:hAnsi="Yu Gothic"/>
                <w:b/>
                <w:bCs/>
                <w:sz w:val="19"/>
                <w:szCs w:val="19"/>
              </w:rPr>
              <w:t xml:space="preserve">生じる問題</w:t>
            </w:r>
          </w:p>
        </w:tc>
        <w:tc>
          <w:tcPr>
            <w:tcW w:type="dxa" w:w="2600"/>
            <w:shd w:fill="DDE6F0" w:val="clear"/>
            <w:tcMar>
              <w:top w:type="dxa" w:w="60"/>
              <w:left w:type="dxa" w:w="100"/>
              <w:bottom w:type="dxa" w:w="60"/>
              <w:right w:type="dxa" w:w="100"/>
            </w:tcMar>
          </w:tcPr>
          <w:p>
            <w:r>
              <w:rPr>
                <w:rFonts w:ascii="Yu Gothic" w:cs="Yu Gothic" w:eastAsia="Yu Gothic" w:hAnsi="Yu Gothic"/>
                <w:b/>
                <w:bCs/>
                <w:sz w:val="19"/>
                <w:szCs w:val="19"/>
              </w:rPr>
              <w:t xml:space="preserve">対応する会計情報の機能</w:t>
            </w:r>
          </w:p>
        </w:tc>
      </w:tr>
      <w:tr>
        <w:trPr>
          <w:cantSplit/>
        </w:trPr>
        <w:tc>
          <w:tcPr>
            <w:tcW w:type="dxa" w:w="3000"/>
            <w:tcMar>
              <w:top w:type="dxa" w:w="60"/>
              <w:left w:type="dxa" w:w="100"/>
              <w:bottom w:type="dxa" w:w="60"/>
              <w:right w:type="dxa" w:w="100"/>
            </w:tcMar>
          </w:tcPr>
          <w:p>
            <w:r>
              <w:rPr>
                <w:rFonts w:ascii="Yu Mincho" w:cs="Yu Mincho" w:eastAsia="Yu Mincho" w:hAnsi="Yu Mincho"/>
                <w:sz w:val="19"/>
                <w:szCs w:val="19"/>
              </w:rPr>
              <w:t xml:space="preserve">逆選択（アドバース・セレクション）</w:t>
            </w:r>
          </w:p>
        </w:tc>
        <w:tc>
          <w:tcPr>
            <w:tcW w:type="dxa" w:w="2200"/>
            <w:tcMar>
              <w:top w:type="dxa" w:w="60"/>
              <w:left w:type="dxa" w:w="100"/>
              <w:bottom w:type="dxa" w:w="60"/>
              <w:right w:type="dxa" w:w="100"/>
            </w:tcMar>
          </w:tcPr>
          <w:p>
            <w:r>
              <w:rPr>
                <w:rFonts w:ascii="Yu Mincho" w:cs="Yu Mincho" w:eastAsia="Yu Mincho" w:hAnsi="Yu Mincho"/>
                <w:sz w:val="19"/>
                <w:szCs w:val="19"/>
              </w:rPr>
              <w:t xml:space="preserve">財・取引相手の質（事前）</w:t>
            </w:r>
          </w:p>
        </w:tc>
        <w:tc>
          <w:tcPr>
            <w:tcW w:type="dxa" w:w="2200"/>
            <w:tcMar>
              <w:top w:type="dxa" w:w="60"/>
              <w:left w:type="dxa" w:w="100"/>
              <w:bottom w:type="dxa" w:w="60"/>
              <w:right w:type="dxa" w:w="100"/>
            </w:tcMar>
          </w:tcPr>
          <w:p>
            <w:r>
              <w:rPr>
                <w:rFonts w:ascii="Yu Mincho" w:cs="Yu Mincho" w:eastAsia="Yu Mincho" w:hAnsi="Yu Mincho"/>
                <w:sz w:val="19"/>
                <w:szCs w:val="19"/>
              </w:rPr>
              <w:t xml:space="preserve">低質な財が市場を駆逐する（レモンの原理）</w:t>
            </w:r>
          </w:p>
        </w:tc>
        <w:tc>
          <w:tcPr>
            <w:tcW w:type="dxa" w:w="2600"/>
            <w:tcMar>
              <w:top w:type="dxa" w:w="60"/>
              <w:left w:type="dxa" w:w="100"/>
              <w:bottom w:type="dxa" w:w="60"/>
              <w:right w:type="dxa" w:w="100"/>
            </w:tcMar>
          </w:tcPr>
          <w:p>
            <w:r>
              <w:rPr>
                <w:rFonts w:ascii="Yu Mincho" w:cs="Yu Mincho" w:eastAsia="Yu Mincho" w:hAnsi="Yu Mincho"/>
                <w:sz w:val="19"/>
                <w:szCs w:val="19"/>
              </w:rPr>
              <w:t xml:space="preserve">意思決定支援機能</w:t>
            </w:r>
          </w:p>
        </w:tc>
      </w:tr>
      <w:tr>
        <w:trPr>
          <w:cantSplit/>
        </w:trPr>
        <w:tc>
          <w:tcPr>
            <w:tcW w:type="dxa" w:w="3000"/>
            <w:tcMar>
              <w:top w:type="dxa" w:w="60"/>
              <w:left w:type="dxa" w:w="100"/>
              <w:bottom w:type="dxa" w:w="60"/>
              <w:right w:type="dxa" w:w="100"/>
            </w:tcMar>
          </w:tcPr>
          <w:p>
            <w:r>
              <w:rPr>
                <w:rFonts w:ascii="Yu Mincho" w:cs="Yu Mincho" w:eastAsia="Yu Mincho" w:hAnsi="Yu Mincho"/>
                <w:sz w:val="19"/>
                <w:szCs w:val="19"/>
              </w:rPr>
              <w:t xml:space="preserve">モラル・ハザード</w:t>
            </w:r>
          </w:p>
        </w:tc>
        <w:tc>
          <w:tcPr>
            <w:tcW w:type="dxa" w:w="2200"/>
            <w:tcMar>
              <w:top w:type="dxa" w:w="60"/>
              <w:left w:type="dxa" w:w="100"/>
              <w:bottom w:type="dxa" w:w="60"/>
              <w:right w:type="dxa" w:w="100"/>
            </w:tcMar>
          </w:tcPr>
          <w:p>
            <w:r>
              <w:rPr>
                <w:rFonts w:ascii="Yu Mincho" w:cs="Yu Mincho" w:eastAsia="Yu Mincho" w:hAnsi="Yu Mincho"/>
                <w:sz w:val="19"/>
                <w:szCs w:val="19"/>
              </w:rPr>
              <w:t xml:space="preserve">代理人の行動（事後）</w:t>
            </w:r>
          </w:p>
        </w:tc>
        <w:tc>
          <w:tcPr>
            <w:tcW w:type="dxa" w:w="2200"/>
            <w:tcMar>
              <w:top w:type="dxa" w:w="60"/>
              <w:left w:type="dxa" w:w="100"/>
              <w:bottom w:type="dxa" w:w="60"/>
              <w:right w:type="dxa" w:w="100"/>
            </w:tcMar>
          </w:tcPr>
          <w:p>
            <w:r>
              <w:rPr>
                <w:rFonts w:ascii="Yu Mincho" w:cs="Yu Mincho" w:eastAsia="Yu Mincho" w:hAnsi="Yu Mincho"/>
                <w:sz w:val="19"/>
                <w:szCs w:val="19"/>
              </w:rPr>
              <w:t xml:space="preserve">代理人が依頼人の利益に反する行動をとる</w:t>
            </w:r>
          </w:p>
        </w:tc>
        <w:tc>
          <w:tcPr>
            <w:tcW w:type="dxa" w:w="2600"/>
            <w:tcMar>
              <w:top w:type="dxa" w:w="60"/>
              <w:left w:type="dxa" w:w="100"/>
              <w:bottom w:type="dxa" w:w="60"/>
              <w:right w:type="dxa" w:w="100"/>
            </w:tcMar>
          </w:tcPr>
          <w:p>
            <w:r>
              <w:rPr>
                <w:rFonts w:ascii="Yu Mincho" w:cs="Yu Mincho" w:eastAsia="Yu Mincho" w:hAnsi="Yu Mincho"/>
                <w:sz w:val="19"/>
                <w:szCs w:val="19"/>
              </w:rPr>
              <w:t xml:space="preserve">契約支援機能</w:t>
            </w:r>
          </w:p>
        </w:tc>
      </w:tr>
    </w:tbl>
    <w:p>
      <w:pPr>
        <w:spacing w:after="100"/>
      </w:pPr>
    </w:p>
    <w:p>
      <w:pPr>
        <w:pStyle w:val="ListParagraph"/>
        <w:numPr>
          <w:ilvl w:val="0"/>
          <w:numId w:val="2"/>
        </w:numPr>
        <w:spacing w:after="80" w:line="300"/>
      </w:pPr>
      <w:r>
        <w:rPr>
          <w:rFonts w:ascii="Yu Mincho" w:cs="Yu Mincho" w:eastAsia="Yu Mincho" w:hAnsi="Yu Mincho"/>
          <w:b w:val="false"/>
          <w:bCs w:val="false"/>
          <w:sz w:val="21"/>
          <w:szCs w:val="21"/>
        </w:rPr>
        <w:t xml:space="preserve">Akerlof(1970)「レモンの原理」：中古車市場のように財の質を買い手が判別できない市場では、低品質財（レモン）が市場を占有し高品質財が淘汰される。逆選択の代表例として必ず名前とセットで暗記。</w:t>
      </w:r>
    </w:p>
    <w:p>
      <w:pPr>
        <w:pStyle w:val="ListParagraph"/>
        <w:numPr>
          <w:ilvl w:val="0"/>
          <w:numId w:val="2"/>
        </w:numPr>
        <w:spacing w:after="80" w:line="300"/>
      </w:pPr>
      <w:r>
        <w:rPr>
          <w:rFonts w:ascii="Yu Mincho" w:cs="Yu Mincho" w:eastAsia="Yu Mincho" w:hAnsi="Yu Mincho"/>
          <w:sz w:val="21"/>
          <w:szCs w:val="21"/>
        </w:rPr>
        <w:t xml:space="preserve">会計情報の機能は「意思決定支援機能」（将来の意思決定に資する情報提供）と「契約支援機能」（契約の履行状況を検証可能にする）の2つに大別される、という整理を各章の議論（報酬契約・債務契約・政府契約）の前提として押さえる。</w:t>
      </w:r>
    </w:p>
    <w:p>
      <w:pPr>
        <w:pStyle w:val="Heading1"/>
        <w:pageBreakBefore/>
        <w:spacing w:after="240" w:before="480"/>
      </w:pPr>
      <w:r>
        <w:t xml:space="preserve">第1章　報酬契約に関する暗記事項</w:t>
      </w:r>
    </w:p>
    <w:p>
      <w:pPr>
        <w:spacing w:after="140" w:line="320"/>
        <w:jc w:val="left"/>
      </w:pPr>
      <w:r>
        <w:rPr>
          <w:rFonts w:ascii="Yu Mincho" w:cs="Yu Mincho" w:eastAsia="Yu Mincho" w:hAnsi="Yu Mincho"/>
          <w:sz w:val="21"/>
          <w:szCs w:val="21"/>
        </w:rPr>
        <w:t xml:space="preserve">経営者報酬契約は、株主・経営者間のエイジェンシー問題を緩和する仕組み。「効率的報酬契約」を構成する3ポイントは頻出（H28・H29で2回、異なる報酬制度のケース評価として出題）。</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6000"/>
      </w:tblGrid>
      <w:tr>
        <w:trPr>
          <w:tblHeader/>
        </w:trPr>
        <w:tc>
          <w:tcPr>
            <w:tcW w:type="dxa" w:w="3000"/>
            <w:shd w:fill="DDE6F0" w:val="clear"/>
            <w:tcMar>
              <w:top w:type="dxa" w:w="60"/>
              <w:left w:type="dxa" w:w="100"/>
              <w:bottom w:type="dxa" w:w="60"/>
              <w:right w:type="dxa" w:w="100"/>
            </w:tcMar>
          </w:tcPr>
          <w:p>
            <w:r>
              <w:rPr>
                <w:rFonts w:ascii="Yu Gothic" w:cs="Yu Gothic" w:eastAsia="Yu Gothic" w:hAnsi="Yu Gothic"/>
                <w:b/>
                <w:bCs/>
                <w:sz w:val="19"/>
                <w:szCs w:val="19"/>
              </w:rPr>
              <w:t xml:space="preserve">効率的報酬契約の3ポイント</w:t>
            </w:r>
          </w:p>
        </w:tc>
        <w:tc>
          <w:tcPr>
            <w:tcW w:type="dxa" w:w="6000"/>
            <w:shd w:fill="DDE6F0" w:val="clear"/>
            <w:tcMar>
              <w:top w:type="dxa" w:w="60"/>
              <w:left w:type="dxa" w:w="100"/>
              <w:bottom w:type="dxa" w:w="60"/>
              <w:right w:type="dxa" w:w="100"/>
            </w:tcMar>
          </w:tcPr>
          <w:p>
            <w:r>
              <w:rPr>
                <w:rFonts w:ascii="Yu Gothic" w:cs="Yu Gothic" w:eastAsia="Yu Gothic" w:hAnsi="Yu Gothic"/>
                <w:b/>
                <w:bCs/>
                <w:sz w:val="19"/>
                <w:szCs w:val="19"/>
              </w:rPr>
              <w:t xml:space="preserve">内容</w:t>
            </w:r>
          </w:p>
        </w:tc>
      </w:tr>
      <w:tr>
        <w:trPr>
          <w:cantSplit/>
        </w:trPr>
        <w:tc>
          <w:tcPr>
            <w:tcW w:type="dxa" w:w="3000"/>
            <w:tcMar>
              <w:top w:type="dxa" w:w="60"/>
              <w:left w:type="dxa" w:w="100"/>
              <w:bottom w:type="dxa" w:w="60"/>
              <w:right w:type="dxa" w:w="100"/>
            </w:tcMar>
          </w:tcPr>
          <w:p>
            <w:r>
              <w:rPr>
                <w:rFonts w:ascii="Yu Mincho" w:cs="Yu Mincho" w:eastAsia="Yu Mincho" w:hAnsi="Yu Mincho"/>
                <w:sz w:val="19"/>
                <w:szCs w:val="19"/>
              </w:rPr>
              <w:t xml:space="preserve">①リスク・シェアリング</w:t>
            </w:r>
          </w:p>
        </w:tc>
        <w:tc>
          <w:tcPr>
            <w:tcW w:type="dxa" w:w="6000"/>
            <w:tcMar>
              <w:top w:type="dxa" w:w="60"/>
              <w:left w:type="dxa" w:w="100"/>
              <w:bottom w:type="dxa" w:w="60"/>
              <w:right w:type="dxa" w:w="100"/>
            </w:tcMar>
          </w:tcPr>
          <w:p>
            <w:r>
              <w:rPr>
                <w:rFonts w:ascii="Yu Mincho" w:cs="Yu Mincho" w:eastAsia="Yu Mincho" w:hAnsi="Yu Mincho"/>
                <w:sz w:val="19"/>
                <w:szCs w:val="19"/>
              </w:rPr>
              <w:t xml:space="preserve">経営者はリスク回避的なので、業績連動報酬の割合を高めすぎるとリスク負担コストが増大する。固定給と業績連動報酬のバランスが必要。</w:t>
            </w:r>
          </w:p>
        </w:tc>
      </w:tr>
      <w:tr>
        <w:trPr>
          <w:cantSplit/>
        </w:trPr>
        <w:tc>
          <w:tcPr>
            <w:tcW w:type="dxa" w:w="3000"/>
            <w:tcMar>
              <w:top w:type="dxa" w:w="60"/>
              <w:left w:type="dxa" w:w="100"/>
              <w:bottom w:type="dxa" w:w="60"/>
              <w:right w:type="dxa" w:w="100"/>
            </w:tcMar>
          </w:tcPr>
          <w:p>
            <w:r>
              <w:rPr>
                <w:rFonts w:ascii="Yu Mincho" w:cs="Yu Mincho" w:eastAsia="Yu Mincho" w:hAnsi="Yu Mincho"/>
                <w:sz w:val="19"/>
                <w:szCs w:val="19"/>
              </w:rPr>
              <w:t xml:space="preserve">②インセンティブの及ぶ範囲</w:t>
            </w:r>
          </w:p>
        </w:tc>
        <w:tc>
          <w:tcPr>
            <w:tcW w:type="dxa" w:w="6000"/>
            <w:tcMar>
              <w:top w:type="dxa" w:w="60"/>
              <w:left w:type="dxa" w:w="100"/>
              <w:bottom w:type="dxa" w:w="60"/>
              <w:right w:type="dxa" w:w="100"/>
            </w:tcMar>
          </w:tcPr>
          <w:p>
            <w:r>
              <w:rPr>
                <w:rFonts w:ascii="Yu Mincho" w:cs="Yu Mincho" w:eastAsia="Yu Mincho" w:hAnsi="Yu Mincho"/>
                <w:sz w:val="19"/>
                <w:szCs w:val="19"/>
              </w:rPr>
              <w:t xml:space="preserve">報酬制度が経営者の行動のどこまでをカバーするか。範囲が狭いと対象外の行動で利益調整等の弊害が生じうる。</w:t>
            </w:r>
          </w:p>
        </w:tc>
      </w:tr>
      <w:tr>
        <w:trPr>
          <w:cantSplit/>
        </w:trPr>
        <w:tc>
          <w:tcPr>
            <w:tcW w:type="dxa" w:w="3000"/>
            <w:tcMar>
              <w:top w:type="dxa" w:w="60"/>
              <w:left w:type="dxa" w:w="100"/>
              <w:bottom w:type="dxa" w:w="60"/>
              <w:right w:type="dxa" w:w="100"/>
            </w:tcMar>
          </w:tcPr>
          <w:p>
            <w:r>
              <w:rPr>
                <w:rFonts w:ascii="Yu Mincho" w:cs="Yu Mincho" w:eastAsia="Yu Mincho" w:hAnsi="Yu Mincho"/>
                <w:sz w:val="19"/>
                <w:szCs w:val="19"/>
              </w:rPr>
              <w:t xml:space="preserve">③業績測定尺度の選択</w:t>
            </w:r>
          </w:p>
        </w:tc>
        <w:tc>
          <w:tcPr>
            <w:tcW w:type="dxa" w:w="6000"/>
            <w:tcMar>
              <w:top w:type="dxa" w:w="60"/>
              <w:left w:type="dxa" w:w="100"/>
              <w:bottom w:type="dxa" w:w="60"/>
              <w:right w:type="dxa" w:w="100"/>
            </w:tcMar>
          </w:tcPr>
          <w:p>
            <w:r>
              <w:rPr>
                <w:rFonts w:ascii="Yu Mincho" w:cs="Yu Mincho" w:eastAsia="Yu Mincho" w:hAnsi="Yu Mincho"/>
                <w:sz w:val="19"/>
                <w:szCs w:val="19"/>
              </w:rPr>
              <w:t xml:space="preserve">会計利益（アカウンティング・ベース）か株価（マーケット・ベース）か。それぞれの長所・短所を比較して選択する必要がある。</w:t>
            </w:r>
          </w:p>
        </w:tc>
      </w:tr>
    </w:tbl>
    <w:p>
      <w:pPr>
        <w:spacing w:after="100"/>
      </w:pP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最頻出2位：近視眼的意思決定問題の緩和策（2回出題）</w:t>
            </w:r>
          </w:p>
          <w:p>
            <w:pPr>
              <w:spacing w:line="300"/>
            </w:pPr>
            <w:r>
              <w:rPr>
                <w:rFonts w:ascii="Yu Mincho" w:cs="Yu Mincho" w:eastAsia="Yu Mincho" w:hAnsi="Yu Mincho"/>
                <w:sz w:val="20"/>
                <w:szCs w:val="20"/>
              </w:rPr>
              <w:t xml:space="preserve">会計利益に基づく短期業績連動報酬だけでは、経営者が長期投資（R&amp;D等）を犠牲にして短期利益を追求する近視眼的行動（myopia）を招く。対策の核心＝「短期インセンティブ（会計利益連動）」と「長期インセンティブ（ストックオプション・パフォーマンスユニット等の株価連動／複数年度評価）」を併用すること。単一の尺度・単年度評価に依存しないことがポイント。</w:t>
            </w:r>
          </w:p>
        </w:tc>
      </w:tr>
    </w:tbl>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800"/>
        <w:gridCol w:w="3100"/>
        <w:gridCol w:w="3100"/>
      </w:tblGrid>
      <w:tr>
        <w:trPr>
          <w:tblHeader/>
        </w:trPr>
        <w:tc>
          <w:tcPr>
            <w:tcW w:type="dxa" w:w="2800"/>
            <w:shd w:fill="DDE6F0" w:val="clear"/>
            <w:tcMar>
              <w:top w:type="dxa" w:w="60"/>
              <w:left w:type="dxa" w:w="100"/>
              <w:bottom w:type="dxa" w:w="60"/>
              <w:right w:type="dxa" w:w="100"/>
            </w:tcMar>
          </w:tcPr>
          <w:p>
            <w:r>
              <w:rPr>
                <w:rFonts w:ascii="Yu Gothic" w:cs="Yu Gothic" w:eastAsia="Yu Gothic" w:hAnsi="Yu Gothic"/>
                <w:b/>
                <w:bCs/>
                <w:sz w:val="19"/>
                <w:szCs w:val="19"/>
              </w:rPr>
              <w:t xml:space="preserve">業績測定尺度</w:t>
            </w:r>
          </w:p>
        </w:tc>
        <w:tc>
          <w:tcPr>
            <w:tcW w:type="dxa" w:w="3100"/>
            <w:shd w:fill="DDE6F0" w:val="clear"/>
            <w:tcMar>
              <w:top w:type="dxa" w:w="60"/>
              <w:left w:type="dxa" w:w="100"/>
              <w:bottom w:type="dxa" w:w="60"/>
              <w:right w:type="dxa" w:w="100"/>
            </w:tcMar>
          </w:tcPr>
          <w:p>
            <w:r>
              <w:rPr>
                <w:rFonts w:ascii="Yu Gothic" w:cs="Yu Gothic" w:eastAsia="Yu Gothic" w:hAnsi="Yu Gothic"/>
                <w:b/>
                <w:bCs/>
                <w:sz w:val="19"/>
                <w:szCs w:val="19"/>
              </w:rPr>
              <w:t xml:space="preserve">長所</w:t>
            </w:r>
          </w:p>
        </w:tc>
        <w:tc>
          <w:tcPr>
            <w:tcW w:type="dxa" w:w="3100"/>
            <w:shd w:fill="DDE6F0" w:val="clear"/>
            <w:tcMar>
              <w:top w:type="dxa" w:w="60"/>
              <w:left w:type="dxa" w:w="100"/>
              <w:bottom w:type="dxa" w:w="60"/>
              <w:right w:type="dxa" w:w="100"/>
            </w:tcMar>
          </w:tcPr>
          <w:p>
            <w:r>
              <w:rPr>
                <w:rFonts w:ascii="Yu Gothic" w:cs="Yu Gothic" w:eastAsia="Yu Gothic" w:hAnsi="Yu Gothic"/>
                <w:b/>
                <w:bCs/>
                <w:sz w:val="19"/>
                <w:szCs w:val="19"/>
              </w:rPr>
              <w:t xml:space="preserve">短所</w:t>
            </w:r>
          </w:p>
        </w:tc>
      </w:tr>
      <w:tr>
        <w:trPr>
          <w:cantSplit/>
        </w:trPr>
        <w:tc>
          <w:tcPr>
            <w:tcW w:type="dxa" w:w="2800"/>
            <w:tcMar>
              <w:top w:type="dxa" w:w="60"/>
              <w:left w:type="dxa" w:w="100"/>
              <w:bottom w:type="dxa" w:w="60"/>
              <w:right w:type="dxa" w:w="100"/>
            </w:tcMar>
          </w:tcPr>
          <w:p>
            <w:r>
              <w:rPr>
                <w:rFonts w:ascii="Yu Mincho" w:cs="Yu Mincho" w:eastAsia="Yu Mincho" w:hAnsi="Yu Mincho"/>
                <w:sz w:val="19"/>
                <w:szCs w:val="19"/>
              </w:rPr>
              <w:t xml:space="preserve">会計利益（アカウンティング・ベース）</w:t>
            </w:r>
          </w:p>
        </w:tc>
        <w:tc>
          <w:tcPr>
            <w:tcW w:type="dxa" w:w="3100"/>
            <w:tcMar>
              <w:top w:type="dxa" w:w="60"/>
              <w:left w:type="dxa" w:w="100"/>
              <w:bottom w:type="dxa" w:w="60"/>
              <w:right w:type="dxa" w:w="100"/>
            </w:tcMar>
          </w:tcPr>
          <w:p>
            <w:r>
              <w:rPr>
                <w:rFonts w:ascii="Yu Mincho" w:cs="Yu Mincho" w:eastAsia="Yu Mincho" w:hAnsi="Yu Mincho"/>
                <w:sz w:val="19"/>
                <w:szCs w:val="19"/>
              </w:rPr>
              <w:t xml:space="preserve">経営者の努力・行動と連動しやすく操作可能性の検証が容易、短期的な業績を反映</w:t>
            </w:r>
          </w:p>
        </w:tc>
        <w:tc>
          <w:tcPr>
            <w:tcW w:type="dxa" w:w="3100"/>
            <w:tcMar>
              <w:top w:type="dxa" w:w="60"/>
              <w:left w:type="dxa" w:w="100"/>
              <w:bottom w:type="dxa" w:w="60"/>
              <w:right w:type="dxa" w:w="100"/>
            </w:tcMar>
          </w:tcPr>
          <w:p>
            <w:r>
              <w:rPr>
                <w:rFonts w:ascii="Yu Mincho" w:cs="Yu Mincho" w:eastAsia="Yu Mincho" w:hAnsi="Yu Mincho"/>
                <w:sz w:val="19"/>
                <w:szCs w:val="19"/>
              </w:rPr>
              <w:t xml:space="preserve">近視眼的意思決定を誘発しやすい、利益調整（会計方針の裁量）の余地がある</w:t>
            </w:r>
          </w:p>
        </w:tc>
      </w:tr>
      <w:tr>
        <w:trPr>
          <w:cantSplit/>
        </w:trPr>
        <w:tc>
          <w:tcPr>
            <w:tcW w:type="dxa" w:w="2800"/>
            <w:tcMar>
              <w:top w:type="dxa" w:w="60"/>
              <w:left w:type="dxa" w:w="100"/>
              <w:bottom w:type="dxa" w:w="60"/>
              <w:right w:type="dxa" w:w="100"/>
            </w:tcMar>
          </w:tcPr>
          <w:p>
            <w:r>
              <w:rPr>
                <w:rFonts w:ascii="Yu Mincho" w:cs="Yu Mincho" w:eastAsia="Yu Mincho" w:hAnsi="Yu Mincho"/>
                <w:sz w:val="19"/>
                <w:szCs w:val="19"/>
              </w:rPr>
              <w:t xml:space="preserve">株価（マーケット・ベース）</w:t>
            </w:r>
          </w:p>
        </w:tc>
        <w:tc>
          <w:tcPr>
            <w:tcW w:type="dxa" w:w="3100"/>
            <w:tcMar>
              <w:top w:type="dxa" w:w="60"/>
              <w:left w:type="dxa" w:w="100"/>
              <w:bottom w:type="dxa" w:w="60"/>
              <w:right w:type="dxa" w:w="100"/>
            </w:tcMar>
          </w:tcPr>
          <w:p>
            <w:r>
              <w:rPr>
                <w:rFonts w:ascii="Yu Mincho" w:cs="Yu Mincho" w:eastAsia="Yu Mincho" w:hAnsi="Yu Mincho"/>
                <w:sz w:val="19"/>
                <w:szCs w:val="19"/>
              </w:rPr>
              <w:t xml:space="preserve">将来キャッシュフローの期待を反映し長期的視点を持たせやすい、経営者の裁量が及びにくい</w:t>
            </w:r>
          </w:p>
        </w:tc>
        <w:tc>
          <w:tcPr>
            <w:tcW w:type="dxa" w:w="3100"/>
            <w:tcMar>
              <w:top w:type="dxa" w:w="60"/>
              <w:left w:type="dxa" w:w="100"/>
              <w:bottom w:type="dxa" w:w="60"/>
              <w:right w:type="dxa" w:w="100"/>
            </w:tcMar>
          </w:tcPr>
          <w:p>
            <w:r>
              <w:rPr>
                <w:rFonts w:ascii="Yu Mincho" w:cs="Yu Mincho" w:eastAsia="Yu Mincho" w:hAnsi="Yu Mincho"/>
                <w:sz w:val="19"/>
                <w:szCs w:val="19"/>
              </w:rPr>
              <w:t xml:space="preserve">市場全体の変動（ノイズ）の影響を受け経営者の努力と乖離しうる、ノイズが大きいと業績評価尺度としての精度が下がる</w:t>
            </w:r>
          </w:p>
        </w:tc>
      </w:tr>
    </w:tbl>
    <w:p>
      <w:pPr>
        <w:spacing w:after="100"/>
      </w:pPr>
    </w:p>
    <w:p>
      <w:pPr>
        <w:pStyle w:val="ListParagraph"/>
        <w:numPr>
          <w:ilvl w:val="0"/>
          <w:numId w:val="2"/>
        </w:numPr>
        <w:spacing w:after="80" w:line="300"/>
      </w:pPr>
      <w:r>
        <w:rPr>
          <w:rFonts w:ascii="Yu Mincho" w:cs="Yu Mincho" w:eastAsia="Yu Mincho" w:hAnsi="Yu Mincho"/>
          <w:sz w:val="21"/>
          <w:szCs w:val="21"/>
        </w:rPr>
        <w:t xml:space="preserve">パフォーマンス・ユニット（PU）＝株価ではなく会計利益等の内部業績指標に連動するユニットで付与される長期インセンティブ制度。ストックオプション（株価連動）と対比して覚える。</w:t>
      </w:r>
    </w:p>
    <w:p>
      <w:pPr>
        <w:pStyle w:val="ListParagraph"/>
        <w:numPr>
          <w:ilvl w:val="0"/>
          <w:numId w:val="2"/>
        </w:numPr>
        <w:spacing w:after="80" w:line="300"/>
      </w:pPr>
      <w:r>
        <w:rPr>
          <w:rFonts w:ascii="Yu Mincho" w:cs="Yu Mincho" w:eastAsia="Yu Mincho" w:hAnsi="Yu Mincho"/>
          <w:sz w:val="21"/>
          <w:szCs w:val="21"/>
        </w:rPr>
        <w:t xml:space="preserve">報酬制度の評価は必ず「3ポイント（リスク・シェアリング／インセンティブの及ぶ範囲／業績測定尺度）」の枠組みに当てはめて論じること。</w:t>
      </w:r>
    </w:p>
    <w:p>
      <w:pPr>
        <w:pStyle w:val="Heading1"/>
        <w:pageBreakBefore/>
        <w:spacing w:after="240" w:before="480"/>
      </w:pPr>
      <w:r>
        <w:t xml:space="preserve">第2章　債務契約に関する暗記事項</w:t>
      </w:r>
    </w:p>
    <w:p>
      <w:pPr>
        <w:spacing w:after="140" w:line="320"/>
        <w:jc w:val="left"/>
      </w:pPr>
      <w:r>
        <w:rPr>
          <w:rFonts w:ascii="Yu Mincho" w:cs="Yu Mincho" w:eastAsia="Yu Mincho" w:hAnsi="Yu Mincho"/>
          <w:sz w:val="21"/>
          <w:szCs w:val="21"/>
        </w:rPr>
        <w:t xml:space="preserve">負債のエイジェンシー費用＝株主・経営者が債権者を犠牲にして自らの富を増やそうとする行動から生じる費用。財務制限条項はこれを抑制する契約支援機能の代表例。</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負債のエイジェンシー費用＝3つのモラル・ハザード（必ず暗記）</w:t>
            </w:r>
          </w:p>
          <w:p>
            <w:pPr>
              <w:spacing w:line="300"/>
            </w:pPr>
            <w:r>
              <w:rPr>
                <w:rFonts w:ascii="Yu Mincho" w:cs="Yu Mincho" w:eastAsia="Yu Mincho" w:hAnsi="Yu Mincho"/>
                <w:sz w:val="20"/>
                <w:szCs w:val="20"/>
              </w:rPr>
              <w:t xml:space="preserve">①リスク・シフティング：株主がハイリスク・ハイリターン投資に切替え、リスクを債権者に転嫁する。②負債の追加発行（希薄化）：既存債権者に優先する新規負債を発行し既存債権の価値を毀損する。③配当の増加：本来事業に留保・返済原資とすべき資金を配当として社外流出させる。</w:t>
            </w:r>
          </w:p>
        </w:tc>
      </w:tr>
    </w:tbl>
    <w:p>
      <w:pPr>
        <w:spacing w:after="100"/>
      </w:pP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米国と日本で財務制限条項の種類が異なる点に注意（頻出の取り違えポイント）</w:t>
            </w:r>
          </w:p>
          <w:p>
            <w:pPr>
              <w:spacing w:line="300"/>
            </w:pPr>
            <w:r>
              <w:rPr>
                <w:rFonts w:ascii="Yu Mincho" w:cs="Yu Mincho" w:eastAsia="Yu Mincho" w:hAnsi="Yu Mincho"/>
                <w:sz w:val="20"/>
                <w:szCs w:val="20"/>
              </w:rPr>
              <w:t xml:space="preserve">「米国の」と明記された設問（2.2節）では下表左、「財務上の特約」という日本特有の呼称や国名の限定がない設問（2.3節）では下表右を用いる。担保提供制限条項は日本特有の条項であり米国4種には含まれない。</w:t>
            </w:r>
          </w:p>
        </w:tc>
      </w:tr>
    </w:tbl>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400"/>
        <w:gridCol w:w="5600"/>
      </w:tblGrid>
      <w:tr>
        <w:trPr>
          <w:tblHeader/>
        </w:trPr>
        <w:tc>
          <w:tcPr>
            <w:tcW w:type="dxa" w:w="3400"/>
            <w:shd w:fill="DDE6F0" w:val="clear"/>
            <w:tcMar>
              <w:top w:type="dxa" w:w="60"/>
              <w:left w:type="dxa" w:w="100"/>
              <w:bottom w:type="dxa" w:w="60"/>
              <w:right w:type="dxa" w:w="100"/>
            </w:tcMar>
          </w:tcPr>
          <w:p>
            <w:r>
              <w:rPr>
                <w:rFonts w:ascii="Yu Gothic" w:cs="Yu Gothic" w:eastAsia="Yu Gothic" w:hAnsi="Yu Gothic"/>
                <w:b/>
                <w:bCs/>
                <w:sz w:val="19"/>
                <w:szCs w:val="19"/>
              </w:rPr>
              <w:t xml:space="preserve">2.2節　米国の財務制限条項4種</w:t>
            </w:r>
          </w:p>
        </w:tc>
        <w:tc>
          <w:tcPr>
            <w:tcW w:type="dxa" w:w="5600"/>
            <w:shd w:fill="DDE6F0" w:val="clear"/>
            <w:tcMar>
              <w:top w:type="dxa" w:w="60"/>
              <w:left w:type="dxa" w:w="100"/>
              <w:bottom w:type="dxa" w:w="60"/>
              <w:right w:type="dxa" w:w="100"/>
            </w:tcMar>
          </w:tcPr>
          <w:p>
            <w:r>
              <w:rPr>
                <w:rFonts w:ascii="Yu Gothic" w:cs="Yu Gothic" w:eastAsia="Yu Gothic" w:hAnsi="Yu Gothic"/>
                <w:b/>
                <w:bCs/>
                <w:sz w:val="19"/>
                <w:szCs w:val="19"/>
              </w:rPr>
              <w:t xml:space="preserve">内容</w:t>
            </w:r>
          </w:p>
        </w:tc>
      </w:tr>
      <w:tr>
        <w:trPr>
          <w:cantSplit/>
        </w:trPr>
        <w:tc>
          <w:tcPr>
            <w:tcW w:type="dxa" w:w="3400"/>
            <w:tcMar>
              <w:top w:type="dxa" w:w="60"/>
              <w:left w:type="dxa" w:w="100"/>
              <w:bottom w:type="dxa" w:w="60"/>
              <w:right w:type="dxa" w:w="100"/>
            </w:tcMar>
          </w:tcPr>
          <w:p>
            <w:r>
              <w:rPr>
                <w:rFonts w:ascii="Yu Mincho" w:cs="Yu Mincho" w:eastAsia="Yu Mincho" w:hAnsi="Yu Mincho"/>
                <w:sz w:val="19"/>
                <w:szCs w:val="19"/>
              </w:rPr>
              <w:t xml:space="preserve">①留保利益制限条項</w:t>
            </w:r>
          </w:p>
        </w:tc>
        <w:tc>
          <w:tcPr>
            <w:tcW w:type="dxa" w:w="5600"/>
            <w:tcMar>
              <w:top w:type="dxa" w:w="60"/>
              <w:left w:type="dxa" w:w="100"/>
              <w:bottom w:type="dxa" w:w="60"/>
              <w:right w:type="dxa" w:w="100"/>
            </w:tcMar>
          </w:tcPr>
          <w:p>
            <w:r>
              <w:rPr>
                <w:rFonts w:ascii="Yu Mincho" w:cs="Yu Mincho" w:eastAsia="Yu Mincho" w:hAnsi="Yu Mincho"/>
                <w:sz w:val="19"/>
                <w:szCs w:val="19"/>
              </w:rPr>
              <w:t xml:space="preserve">留保利益が一定限度を下回れば配当・自己株式取得を制限</w:t>
            </w:r>
          </w:p>
        </w:tc>
      </w:tr>
      <w:tr>
        <w:trPr>
          <w:cantSplit/>
        </w:trPr>
        <w:tc>
          <w:tcPr>
            <w:tcW w:type="dxa" w:w="3400"/>
            <w:tcMar>
              <w:top w:type="dxa" w:w="60"/>
              <w:left w:type="dxa" w:w="100"/>
              <w:bottom w:type="dxa" w:w="60"/>
              <w:right w:type="dxa" w:w="100"/>
            </w:tcMar>
          </w:tcPr>
          <w:p>
            <w:r>
              <w:rPr>
                <w:rFonts w:ascii="Yu Mincho" w:cs="Yu Mincho" w:eastAsia="Yu Mincho" w:hAnsi="Yu Mincho"/>
                <w:sz w:val="19"/>
                <w:szCs w:val="19"/>
              </w:rPr>
              <w:t xml:space="preserve">②運転資本制限条項</w:t>
            </w:r>
          </w:p>
        </w:tc>
        <w:tc>
          <w:tcPr>
            <w:tcW w:type="dxa" w:w="5600"/>
            <w:tcMar>
              <w:top w:type="dxa" w:w="60"/>
              <w:left w:type="dxa" w:w="100"/>
              <w:bottom w:type="dxa" w:w="60"/>
              <w:right w:type="dxa" w:w="100"/>
            </w:tcMar>
          </w:tcPr>
          <w:p>
            <w:r>
              <w:rPr>
                <w:rFonts w:ascii="Yu Mincho" w:cs="Yu Mincho" w:eastAsia="Yu Mincho" w:hAnsi="Yu Mincho"/>
                <w:sz w:val="19"/>
                <w:szCs w:val="19"/>
              </w:rPr>
              <w:t xml:space="preserve">運転資本が一定限度を下回れば社債追加発行・配当・M&amp;A等を禁止</w:t>
            </w:r>
          </w:p>
        </w:tc>
      </w:tr>
      <w:tr>
        <w:trPr>
          <w:cantSplit/>
        </w:trPr>
        <w:tc>
          <w:tcPr>
            <w:tcW w:type="dxa" w:w="3400"/>
            <w:tcMar>
              <w:top w:type="dxa" w:w="60"/>
              <w:left w:type="dxa" w:w="100"/>
              <w:bottom w:type="dxa" w:w="60"/>
              <w:right w:type="dxa" w:w="100"/>
            </w:tcMar>
          </w:tcPr>
          <w:p>
            <w:r>
              <w:rPr>
                <w:rFonts w:ascii="Yu Mincho" w:cs="Yu Mincho" w:eastAsia="Yu Mincho" w:hAnsi="Yu Mincho"/>
                <w:sz w:val="19"/>
                <w:szCs w:val="19"/>
              </w:rPr>
              <w:t xml:space="preserve">③純資産制限条項</w:t>
            </w:r>
          </w:p>
        </w:tc>
        <w:tc>
          <w:tcPr>
            <w:tcW w:type="dxa" w:w="5600"/>
            <w:tcMar>
              <w:top w:type="dxa" w:w="60"/>
              <w:left w:type="dxa" w:w="100"/>
              <w:bottom w:type="dxa" w:w="60"/>
              <w:right w:type="dxa" w:w="100"/>
            </w:tcMar>
          </w:tcPr>
          <w:p>
            <w:r>
              <w:rPr>
                <w:rFonts w:ascii="Yu Mincho" w:cs="Yu Mincho" w:eastAsia="Yu Mincho" w:hAnsi="Yu Mincho"/>
                <w:sz w:val="19"/>
                <w:szCs w:val="19"/>
              </w:rPr>
              <w:t xml:space="preserve">純資産が一定限度を下回れば投資活動・配当支払等を禁止</w:t>
            </w:r>
          </w:p>
        </w:tc>
      </w:tr>
      <w:tr>
        <w:trPr>
          <w:cantSplit/>
        </w:trPr>
        <w:tc>
          <w:tcPr>
            <w:tcW w:type="dxa" w:w="3400"/>
            <w:tcMar>
              <w:top w:type="dxa" w:w="60"/>
              <w:left w:type="dxa" w:w="100"/>
              <w:bottom w:type="dxa" w:w="60"/>
              <w:right w:type="dxa" w:w="100"/>
            </w:tcMar>
          </w:tcPr>
          <w:p>
            <w:r>
              <w:rPr>
                <w:rFonts w:ascii="Yu Mincho" w:cs="Yu Mincho" w:eastAsia="Yu Mincho" w:hAnsi="Yu Mincho"/>
                <w:sz w:val="19"/>
                <w:szCs w:val="19"/>
              </w:rPr>
              <w:t xml:space="preserve">④負債比率制限条項</w:t>
            </w:r>
          </w:p>
        </w:tc>
        <w:tc>
          <w:tcPr>
            <w:tcW w:type="dxa" w:w="5600"/>
            <w:tcMar>
              <w:top w:type="dxa" w:w="60"/>
              <w:left w:type="dxa" w:w="100"/>
              <w:bottom w:type="dxa" w:w="60"/>
              <w:right w:type="dxa" w:w="100"/>
            </w:tcMar>
          </w:tcPr>
          <w:p>
            <w:r>
              <w:rPr>
                <w:rFonts w:ascii="Yu Mincho" w:cs="Yu Mincho" w:eastAsia="Yu Mincho" w:hAnsi="Yu Mincho"/>
                <w:sz w:val="19"/>
                <w:szCs w:val="19"/>
              </w:rPr>
              <w:t xml:space="preserve">追加発行により負債比率が一定限度を超える場合は追加発行を禁止</w:t>
            </w:r>
          </w:p>
        </w:tc>
      </w:tr>
    </w:tbl>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400"/>
        <w:gridCol w:w="5600"/>
      </w:tblGrid>
      <w:tr>
        <w:trPr>
          <w:tblHeader/>
        </w:trPr>
        <w:tc>
          <w:tcPr>
            <w:tcW w:type="dxa" w:w="3400"/>
            <w:shd w:fill="DDE6F0" w:val="clear"/>
            <w:tcMar>
              <w:top w:type="dxa" w:w="60"/>
              <w:left w:type="dxa" w:w="100"/>
              <w:bottom w:type="dxa" w:w="60"/>
              <w:right w:type="dxa" w:w="100"/>
            </w:tcMar>
          </w:tcPr>
          <w:p>
            <w:r>
              <w:rPr>
                <w:rFonts w:ascii="Yu Gothic" w:cs="Yu Gothic" w:eastAsia="Yu Gothic" w:hAnsi="Yu Gothic"/>
                <w:b/>
                <w:bCs/>
                <w:sz w:val="19"/>
                <w:szCs w:val="19"/>
              </w:rPr>
              <w:t xml:space="preserve">2.3節　日本の財務制限条項4種（財務上の特約）</w:t>
            </w:r>
          </w:p>
        </w:tc>
        <w:tc>
          <w:tcPr>
            <w:tcW w:type="dxa" w:w="5600"/>
            <w:shd w:fill="DDE6F0" w:val="clear"/>
            <w:tcMar>
              <w:top w:type="dxa" w:w="60"/>
              <w:left w:type="dxa" w:w="100"/>
              <w:bottom w:type="dxa" w:w="60"/>
              <w:right w:type="dxa" w:w="100"/>
            </w:tcMar>
          </w:tcPr>
          <w:p>
            <w:r>
              <w:rPr>
                <w:rFonts w:ascii="Yu Gothic" w:cs="Yu Gothic" w:eastAsia="Yu Gothic" w:hAnsi="Yu Gothic"/>
                <w:b/>
                <w:bCs/>
                <w:sz w:val="19"/>
                <w:szCs w:val="19"/>
              </w:rPr>
              <w:t xml:space="preserve">内容</w:t>
            </w:r>
          </w:p>
        </w:tc>
      </w:tr>
      <w:tr>
        <w:trPr>
          <w:cantSplit/>
        </w:trPr>
        <w:tc>
          <w:tcPr>
            <w:tcW w:type="dxa" w:w="3400"/>
            <w:tcMar>
              <w:top w:type="dxa" w:w="60"/>
              <w:left w:type="dxa" w:w="100"/>
              <w:bottom w:type="dxa" w:w="60"/>
              <w:right w:type="dxa" w:w="100"/>
            </w:tcMar>
          </w:tcPr>
          <w:p>
            <w:r>
              <w:rPr>
                <w:rFonts w:ascii="Yu Mincho" w:cs="Yu Mincho" w:eastAsia="Yu Mincho" w:hAnsi="Yu Mincho"/>
                <w:sz w:val="19"/>
                <w:szCs w:val="19"/>
              </w:rPr>
              <w:t xml:space="preserve">①担保提供制限条項</w:t>
            </w:r>
          </w:p>
        </w:tc>
        <w:tc>
          <w:tcPr>
            <w:tcW w:type="dxa" w:w="5600"/>
            <w:tcMar>
              <w:top w:type="dxa" w:w="60"/>
              <w:left w:type="dxa" w:w="100"/>
              <w:bottom w:type="dxa" w:w="60"/>
              <w:right w:type="dxa" w:w="100"/>
            </w:tcMar>
          </w:tcPr>
          <w:p>
            <w:r>
              <w:rPr>
                <w:rFonts w:ascii="Yu Mincho" w:cs="Yu Mincho" w:eastAsia="Yu Mincho" w:hAnsi="Yu Mincho"/>
                <w:sz w:val="19"/>
                <w:szCs w:val="19"/>
              </w:rPr>
              <w:t xml:space="preserve">本社債発行後に他の債務のため担保権を設定する場合、本社債にも同順位担保権を設定</w:t>
            </w:r>
          </w:p>
        </w:tc>
      </w:tr>
      <w:tr>
        <w:trPr>
          <w:cantSplit/>
        </w:trPr>
        <w:tc>
          <w:tcPr>
            <w:tcW w:type="dxa" w:w="3400"/>
            <w:tcMar>
              <w:top w:type="dxa" w:w="60"/>
              <w:left w:type="dxa" w:w="100"/>
              <w:bottom w:type="dxa" w:w="60"/>
              <w:right w:type="dxa" w:w="100"/>
            </w:tcMar>
          </w:tcPr>
          <w:p>
            <w:r>
              <w:rPr>
                <w:rFonts w:ascii="Yu Mincho" w:cs="Yu Mincho" w:eastAsia="Yu Mincho" w:hAnsi="Yu Mincho"/>
                <w:sz w:val="19"/>
                <w:szCs w:val="19"/>
              </w:rPr>
              <w:t xml:space="preserve">②純資産額維持条項</w:t>
            </w:r>
          </w:p>
        </w:tc>
        <w:tc>
          <w:tcPr>
            <w:tcW w:type="dxa" w:w="5600"/>
            <w:tcMar>
              <w:top w:type="dxa" w:w="60"/>
              <w:left w:type="dxa" w:w="100"/>
              <w:bottom w:type="dxa" w:w="60"/>
              <w:right w:type="dxa" w:w="100"/>
            </w:tcMar>
          </w:tcPr>
          <w:p>
            <w:r>
              <w:rPr>
                <w:rFonts w:ascii="Yu Mincho" w:cs="Yu Mincho" w:eastAsia="Yu Mincho" w:hAnsi="Yu Mincho"/>
                <w:sz w:val="19"/>
                <w:szCs w:val="19"/>
              </w:rPr>
              <w:t xml:space="preserve">純資産を発行直前期の75％以上に維持</w:t>
            </w:r>
          </w:p>
        </w:tc>
      </w:tr>
      <w:tr>
        <w:trPr>
          <w:cantSplit/>
        </w:trPr>
        <w:tc>
          <w:tcPr>
            <w:tcW w:type="dxa" w:w="3400"/>
            <w:tcMar>
              <w:top w:type="dxa" w:w="60"/>
              <w:left w:type="dxa" w:w="100"/>
              <w:bottom w:type="dxa" w:w="60"/>
              <w:right w:type="dxa" w:w="100"/>
            </w:tcMar>
          </w:tcPr>
          <w:p>
            <w:r>
              <w:rPr>
                <w:rFonts w:ascii="Yu Mincho" w:cs="Yu Mincho" w:eastAsia="Yu Mincho" w:hAnsi="Yu Mincho"/>
                <w:sz w:val="19"/>
                <w:szCs w:val="19"/>
              </w:rPr>
              <w:t xml:space="preserve">③配当制限条項</w:t>
            </w:r>
          </w:p>
        </w:tc>
        <w:tc>
          <w:tcPr>
            <w:tcW w:type="dxa" w:w="5600"/>
            <w:tcMar>
              <w:top w:type="dxa" w:w="60"/>
              <w:left w:type="dxa" w:w="100"/>
              <w:bottom w:type="dxa" w:w="60"/>
              <w:right w:type="dxa" w:w="100"/>
            </w:tcMar>
          </w:tcPr>
          <w:p>
            <w:r>
              <w:rPr>
                <w:rFonts w:ascii="Yu Mincho" w:cs="Yu Mincho" w:eastAsia="Yu Mincho" w:hAnsi="Yu Mincho"/>
                <w:sz w:val="19"/>
                <w:szCs w:val="19"/>
              </w:rPr>
              <w:t xml:space="preserve">配当金累計額が税引後当期純損益累計額＋一定額を超える配当を禁止</w:t>
            </w:r>
          </w:p>
        </w:tc>
      </w:tr>
      <w:tr>
        <w:trPr>
          <w:cantSplit/>
        </w:trPr>
        <w:tc>
          <w:tcPr>
            <w:tcW w:type="dxa" w:w="3400"/>
            <w:tcMar>
              <w:top w:type="dxa" w:w="60"/>
              <w:left w:type="dxa" w:w="100"/>
              <w:bottom w:type="dxa" w:w="60"/>
              <w:right w:type="dxa" w:w="100"/>
            </w:tcMar>
          </w:tcPr>
          <w:p>
            <w:r>
              <w:rPr>
                <w:rFonts w:ascii="Yu Mincho" w:cs="Yu Mincho" w:eastAsia="Yu Mincho" w:hAnsi="Yu Mincho"/>
                <w:sz w:val="19"/>
                <w:szCs w:val="19"/>
              </w:rPr>
              <w:t xml:space="preserve">④利益維持条項</w:t>
            </w:r>
          </w:p>
        </w:tc>
        <w:tc>
          <w:tcPr>
            <w:tcW w:type="dxa" w:w="5600"/>
            <w:tcMar>
              <w:top w:type="dxa" w:w="60"/>
              <w:left w:type="dxa" w:w="100"/>
              <w:bottom w:type="dxa" w:w="60"/>
              <w:right w:type="dxa" w:w="100"/>
            </w:tcMar>
          </w:tcPr>
          <w:p>
            <w:r>
              <w:rPr>
                <w:rFonts w:ascii="Yu Mincho" w:cs="Yu Mincho" w:eastAsia="Yu Mincho" w:hAnsi="Yu Mincho"/>
                <w:sz w:val="19"/>
                <w:szCs w:val="19"/>
              </w:rPr>
              <w:t xml:space="preserve">経常損益が3期連続で損失となった場合、社債全額について期限の利益を喪失</w:t>
            </w:r>
          </w:p>
        </w:tc>
      </w:tr>
    </w:tbl>
    <w:p>
      <w:pPr>
        <w:spacing w:after="100"/>
      </w:pPr>
    </w:p>
    <w:p>
      <w:pPr>
        <w:pStyle w:val="ListParagraph"/>
        <w:numPr>
          <w:ilvl w:val="0"/>
          <w:numId w:val="2"/>
        </w:numPr>
        <w:spacing w:after="80" w:line="300"/>
      </w:pPr>
      <w:r>
        <w:rPr>
          <w:rFonts w:ascii="Yu Mincho" w:cs="Yu Mincho" w:eastAsia="Yu Mincho" w:hAnsi="Yu Mincho"/>
          <w:sz w:val="21"/>
          <w:szCs w:val="21"/>
        </w:rPr>
        <w:t xml:space="preserve">財務制限条項の選定問題では、まず設問が米国（2.2節）と日本（2.3節）のどちらの枠組みを前提としているか（「米国の」の有無、「財務上の特約」という呼称の有無）を見極めた上で、企業の財務的特徴（高負債比率／低運転資本／配当性向の高さ等）から「どのモラル・ハザードが起きやすいか」を特定し、対応する条項を選ぶ論理展開が必須。</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6000"/>
      </w:tblGrid>
      <w:tr>
        <w:trPr>
          <w:tblHeader/>
        </w:trPr>
        <w:tc>
          <w:tcPr>
            <w:tcW w:type="dxa" w:w="3000"/>
            <w:shd w:fill="DDE6F0" w:val="clear"/>
            <w:tcMar>
              <w:top w:type="dxa" w:w="60"/>
              <w:left w:type="dxa" w:w="100"/>
              <w:bottom w:type="dxa" w:w="60"/>
              <w:right w:type="dxa" w:w="100"/>
            </w:tcMar>
          </w:tcPr>
          <w:p>
            <w:r>
              <w:rPr>
                <w:rFonts w:ascii="Yu Gothic" w:cs="Yu Gothic" w:eastAsia="Yu Gothic" w:hAnsi="Yu Gothic"/>
                <w:b/>
                <w:bCs/>
                <w:sz w:val="19"/>
                <w:szCs w:val="19"/>
              </w:rPr>
              <w:t xml:space="preserve">倒産予測モデル</w:t>
            </w:r>
          </w:p>
        </w:tc>
        <w:tc>
          <w:tcPr>
            <w:tcW w:type="dxa" w:w="6000"/>
            <w:shd w:fill="DDE6F0" w:val="clear"/>
            <w:tcMar>
              <w:top w:type="dxa" w:w="60"/>
              <w:left w:type="dxa" w:w="100"/>
              <w:bottom w:type="dxa" w:w="60"/>
              <w:right w:type="dxa" w:w="100"/>
            </w:tcMar>
          </w:tcPr>
          <w:p>
            <w:r>
              <w:rPr>
                <w:rFonts w:ascii="Yu Gothic" w:cs="Yu Gothic" w:eastAsia="Yu Gothic" w:hAnsi="Yu Gothic"/>
                <w:b/>
                <w:bCs/>
                <w:sz w:val="19"/>
                <w:szCs w:val="19"/>
              </w:rPr>
              <w:t xml:space="preserve">内容・特徴</w:t>
            </w:r>
          </w:p>
        </w:tc>
      </w:tr>
      <w:tr>
        <w:trPr>
          <w:cantSplit/>
        </w:trPr>
        <w:tc>
          <w:tcPr>
            <w:tcW w:type="dxa" w:w="3000"/>
            <w:tcMar>
              <w:top w:type="dxa" w:w="60"/>
              <w:left w:type="dxa" w:w="100"/>
              <w:bottom w:type="dxa" w:w="60"/>
              <w:right w:type="dxa" w:w="100"/>
            </w:tcMar>
          </w:tcPr>
          <w:p>
            <w:r>
              <w:rPr>
                <w:rFonts w:ascii="Yu Mincho" w:cs="Yu Mincho" w:eastAsia="Yu Mincho" w:hAnsi="Yu Mincho"/>
                <w:sz w:val="19"/>
                <w:szCs w:val="19"/>
              </w:rPr>
              <w:t xml:space="preserve">Altman Zスコア</w:t>
            </w:r>
          </w:p>
        </w:tc>
        <w:tc>
          <w:tcPr>
            <w:tcW w:type="dxa" w:w="6000"/>
            <w:tcMar>
              <w:top w:type="dxa" w:w="60"/>
              <w:left w:type="dxa" w:w="100"/>
              <w:bottom w:type="dxa" w:w="60"/>
              <w:right w:type="dxa" w:w="100"/>
            </w:tcMar>
          </w:tcPr>
          <w:p>
            <w:r>
              <w:rPr>
                <w:rFonts w:ascii="Yu Mincho" w:cs="Yu Mincho" w:eastAsia="Yu Mincho" w:hAnsi="Yu Mincho"/>
                <w:sz w:val="19"/>
                <w:szCs w:val="19"/>
              </w:rPr>
              <w:t xml:space="preserve">財務比率の線形結合。閾値＝2.675（これを下回ると倒産リスクが高いと判定）。数値を正確に暗記。</w:t>
            </w:r>
          </w:p>
        </w:tc>
      </w:tr>
      <w:tr>
        <w:trPr>
          <w:cantSplit/>
        </w:trPr>
        <w:tc>
          <w:tcPr>
            <w:tcW w:type="dxa" w:w="3000"/>
            <w:tcMar>
              <w:top w:type="dxa" w:w="60"/>
              <w:left w:type="dxa" w:w="100"/>
              <w:bottom w:type="dxa" w:w="60"/>
              <w:right w:type="dxa" w:w="100"/>
            </w:tcMar>
          </w:tcPr>
          <w:p>
            <w:r>
              <w:rPr>
                <w:rFonts w:ascii="Yu Mincho" w:cs="Yu Mincho" w:eastAsia="Yu Mincho" w:hAnsi="Yu Mincho"/>
                <w:sz w:val="19"/>
                <w:szCs w:val="19"/>
              </w:rPr>
              <w:t xml:space="preserve">Ohlson Oスコア</w:t>
            </w:r>
          </w:p>
        </w:tc>
        <w:tc>
          <w:tcPr>
            <w:tcW w:type="dxa" w:w="6000"/>
            <w:tcMar>
              <w:top w:type="dxa" w:w="60"/>
              <w:left w:type="dxa" w:w="100"/>
              <w:bottom w:type="dxa" w:w="60"/>
              <w:right w:type="dxa" w:w="100"/>
            </w:tcMar>
          </w:tcPr>
          <w:p>
            <w:r>
              <w:rPr>
                <w:rFonts w:ascii="Yu Mincho" w:cs="Yu Mincho" w:eastAsia="Yu Mincho" w:hAnsi="Yu Mincho"/>
                <w:sz w:val="19"/>
                <w:szCs w:val="19"/>
              </w:rPr>
              <w:t xml:space="preserve">ロジット・モデルによる倒産確率の推定値。スコアが大きいほど倒産可能性が高い（Zスコアと大小の解釈方向が異なる点に注意）。</w:t>
            </w:r>
          </w:p>
        </w:tc>
      </w:tr>
    </w:tbl>
    <w:p>
      <w:pPr>
        <w:spacing w:after="100"/>
      </w:pPr>
    </w:p>
    <w:p>
      <w:pPr>
        <w:pStyle w:val="ListParagraph"/>
        <w:numPr>
          <w:ilvl w:val="0"/>
          <w:numId w:val="2"/>
        </w:numPr>
        <w:spacing w:after="80" w:line="300"/>
      </w:pPr>
      <w:r>
        <w:rPr>
          <w:rFonts w:ascii="Yu Mincho" w:cs="Yu Mincho" w:eastAsia="Yu Mincho" w:hAnsi="Yu Mincho"/>
          <w:sz w:val="21"/>
          <w:szCs w:val="21"/>
        </w:rPr>
        <w:t xml:space="preserve">保守主義（早期の損失認識・遅い利益認識）は負債契約の効率性を高める：Ahmed et al.(2002)＝保守主義的な会計が配当政策を通じた債権者・株主間の対立緩和に寄与することを示した。Zhang(2008)＝保守主義が負債契約の事前ベネフィット（金利の低下等、契約前の効果）と事後ベネフィット（デフォルトの早期発見等、契約後の効果）の双方をもたらすことを示した。</w:t>
      </w:r>
    </w:p>
    <w:p>
      <w:pPr>
        <w:pStyle w:val="ListParagraph"/>
        <w:numPr>
          <w:ilvl w:val="0"/>
          <w:numId w:val="2"/>
        </w:numPr>
        <w:spacing w:after="80" w:line="300"/>
      </w:pPr>
      <w:r>
        <w:rPr>
          <w:rFonts w:ascii="Yu Mincho" w:cs="Yu Mincho" w:eastAsia="Yu Mincho" w:hAnsi="Yu Mincho"/>
          <w:sz w:val="21"/>
          <w:szCs w:val="21"/>
        </w:rPr>
        <w:t xml:space="preserve">「事前ベネフィット／事後ベネフィット」という対概念は保守主義の論述で必ず使う。</w:t>
      </w:r>
    </w:p>
    <w:p>
      <w:pPr>
        <w:pStyle w:val="Heading1"/>
        <w:pageBreakBefore/>
        <w:spacing w:after="240" w:before="480"/>
      </w:pPr>
      <w:r>
        <w:t xml:space="preserve">第3章　政府契約に関する暗記事項</w:t>
      </w:r>
    </w:p>
    <w:p>
      <w:pPr>
        <w:spacing w:after="140" w:line="320"/>
        <w:jc w:val="left"/>
      </w:pPr>
      <w:r>
        <w:rPr>
          <w:rFonts w:ascii="Yu Mincho" w:cs="Yu Mincho" w:eastAsia="Yu Mincho" w:hAnsi="Yu Mincho"/>
          <w:sz w:val="21"/>
          <w:szCs w:val="21"/>
        </w:rPr>
        <w:t xml:space="preserve">政府による規制も会計情報を用いた契約支援機能の一種。「間接的規制」と「直接的規制」の区別を軸に、日本の徴税システムと政府調達契約を押さえる。</w:t>
      </w: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3600"/>
        <w:gridCol w:w="3200"/>
      </w:tblGrid>
      <w:tr>
        <w:trPr>
          <w:tblHeader/>
        </w:trPr>
        <w:tc>
          <w:tcPr>
            <w:tcW w:type="dxa" w:w="2200"/>
            <w:shd w:fill="DDE6F0" w:val="clear"/>
            <w:tcMar>
              <w:top w:type="dxa" w:w="60"/>
              <w:left w:type="dxa" w:w="100"/>
              <w:bottom w:type="dxa" w:w="60"/>
              <w:right w:type="dxa" w:w="100"/>
            </w:tcMar>
          </w:tcPr>
          <w:p>
            <w:r>
              <w:rPr>
                <w:rFonts w:ascii="Yu Gothic" w:cs="Yu Gothic" w:eastAsia="Yu Gothic" w:hAnsi="Yu Gothic"/>
                <w:b/>
                <w:bCs/>
                <w:sz w:val="19"/>
                <w:szCs w:val="19"/>
              </w:rPr>
              <w:t xml:space="preserve">区分</w:t>
            </w:r>
          </w:p>
        </w:tc>
        <w:tc>
          <w:tcPr>
            <w:tcW w:type="dxa" w:w="3600"/>
            <w:shd w:fill="DDE6F0" w:val="clear"/>
            <w:tcMar>
              <w:top w:type="dxa" w:w="60"/>
              <w:left w:type="dxa" w:w="100"/>
              <w:bottom w:type="dxa" w:w="60"/>
              <w:right w:type="dxa" w:w="100"/>
            </w:tcMar>
          </w:tcPr>
          <w:p>
            <w:r>
              <w:rPr>
                <w:rFonts w:ascii="Yu Gothic" w:cs="Yu Gothic" w:eastAsia="Yu Gothic" w:hAnsi="Yu Gothic"/>
                <w:b/>
                <w:bCs/>
                <w:sz w:val="19"/>
                <w:szCs w:val="19"/>
              </w:rPr>
              <w:t xml:space="preserve">内容</w:t>
            </w:r>
          </w:p>
        </w:tc>
        <w:tc>
          <w:tcPr>
            <w:tcW w:type="dxa" w:w="3200"/>
            <w:shd w:fill="DDE6F0" w:val="clear"/>
            <w:tcMar>
              <w:top w:type="dxa" w:w="60"/>
              <w:left w:type="dxa" w:w="100"/>
              <w:bottom w:type="dxa" w:w="60"/>
              <w:right w:type="dxa" w:w="100"/>
            </w:tcMar>
          </w:tcPr>
          <w:p>
            <w:r>
              <w:rPr>
                <w:rFonts w:ascii="Yu Gothic" w:cs="Yu Gothic" w:eastAsia="Yu Gothic" w:hAnsi="Yu Gothic"/>
                <w:b/>
                <w:bCs/>
                <w:sz w:val="19"/>
                <w:szCs w:val="19"/>
              </w:rPr>
              <w:t xml:space="preserve">会計情報の役割</w:t>
            </w:r>
          </w:p>
        </w:tc>
      </w:tr>
      <w:tr>
        <w:trPr>
          <w:cantSplit/>
        </w:trPr>
        <w:tc>
          <w:tcPr>
            <w:tcW w:type="dxa" w:w="2200"/>
            <w:tcMar>
              <w:top w:type="dxa" w:w="60"/>
              <w:left w:type="dxa" w:w="100"/>
              <w:bottom w:type="dxa" w:w="60"/>
              <w:right w:type="dxa" w:w="100"/>
            </w:tcMar>
          </w:tcPr>
          <w:p>
            <w:r>
              <w:rPr>
                <w:rFonts w:ascii="Yu Mincho" w:cs="Yu Mincho" w:eastAsia="Yu Mincho" w:hAnsi="Yu Mincho"/>
                <w:sz w:val="19"/>
                <w:szCs w:val="19"/>
              </w:rPr>
              <w:t xml:space="preserve">間接的規制</w:t>
            </w:r>
          </w:p>
        </w:tc>
        <w:tc>
          <w:tcPr>
            <w:tcW w:type="dxa" w:w="3600"/>
            <w:tcMar>
              <w:top w:type="dxa" w:w="60"/>
              <w:left w:type="dxa" w:w="100"/>
              <w:bottom w:type="dxa" w:w="60"/>
              <w:right w:type="dxa" w:w="100"/>
            </w:tcMar>
          </w:tcPr>
          <w:p>
            <w:r>
              <w:rPr>
                <w:rFonts w:ascii="Yu Mincho" w:cs="Yu Mincho" w:eastAsia="Yu Mincho" w:hAnsi="Yu Mincho"/>
                <w:sz w:val="19"/>
                <w:szCs w:val="19"/>
              </w:rPr>
              <w:t xml:space="preserve">課税・独占禁止法等、企業行動を会計数値を介して間接的に誘導する規制</w:t>
            </w:r>
          </w:p>
        </w:tc>
        <w:tc>
          <w:tcPr>
            <w:tcW w:type="dxa" w:w="3200"/>
            <w:tcMar>
              <w:top w:type="dxa" w:w="60"/>
              <w:left w:type="dxa" w:w="100"/>
              <w:bottom w:type="dxa" w:w="60"/>
              <w:right w:type="dxa" w:w="100"/>
            </w:tcMar>
          </w:tcPr>
          <w:p>
            <w:r>
              <w:rPr>
                <w:rFonts w:ascii="Yu Mincho" w:cs="Yu Mincho" w:eastAsia="Yu Mincho" w:hAnsi="Yu Mincho"/>
                <w:sz w:val="19"/>
                <w:szCs w:val="19"/>
              </w:rPr>
              <w:t xml:space="preserve">政治費用仮説：規制対象になりやすい大企業ほど利益を過小に調整するインセンティブが生じる（Jones 1991／Cahan 1992）</w:t>
            </w:r>
          </w:p>
        </w:tc>
      </w:tr>
      <w:tr>
        <w:trPr>
          <w:cantSplit/>
        </w:trPr>
        <w:tc>
          <w:tcPr>
            <w:tcW w:type="dxa" w:w="2200"/>
            <w:tcMar>
              <w:top w:type="dxa" w:w="60"/>
              <w:left w:type="dxa" w:w="100"/>
              <w:bottom w:type="dxa" w:w="60"/>
              <w:right w:type="dxa" w:w="100"/>
            </w:tcMar>
          </w:tcPr>
          <w:p>
            <w:r>
              <w:rPr>
                <w:rFonts w:ascii="Yu Mincho" w:cs="Yu Mincho" w:eastAsia="Yu Mincho" w:hAnsi="Yu Mincho"/>
                <w:sz w:val="19"/>
                <w:szCs w:val="19"/>
              </w:rPr>
              <w:t xml:space="preserve">直接的規制</w:t>
            </w:r>
          </w:p>
        </w:tc>
        <w:tc>
          <w:tcPr>
            <w:tcW w:type="dxa" w:w="3600"/>
            <w:tcMar>
              <w:top w:type="dxa" w:w="60"/>
              <w:left w:type="dxa" w:w="100"/>
              <w:bottom w:type="dxa" w:w="60"/>
              <w:right w:type="dxa" w:w="100"/>
            </w:tcMar>
          </w:tcPr>
          <w:p>
            <w:r>
              <w:rPr>
                <w:rFonts w:ascii="Yu Mincho" w:cs="Yu Mincho" w:eastAsia="Yu Mincho" w:hAnsi="Yu Mincho"/>
                <w:sz w:val="19"/>
                <w:szCs w:val="19"/>
              </w:rPr>
              <w:t xml:space="preserve">公益事業の料金決定等、政府が会計数値を直接的な意思決定基準として用いる規制</w:t>
            </w:r>
          </w:p>
        </w:tc>
        <w:tc>
          <w:tcPr>
            <w:tcW w:type="dxa" w:w="3200"/>
            <w:tcMar>
              <w:top w:type="dxa" w:w="60"/>
              <w:left w:type="dxa" w:w="100"/>
              <w:bottom w:type="dxa" w:w="60"/>
              <w:right w:type="dxa" w:w="100"/>
            </w:tcMar>
          </w:tcPr>
          <w:p>
            <w:r>
              <w:rPr>
                <w:rFonts w:ascii="Yu Mincho" w:cs="Yu Mincho" w:eastAsia="Yu Mincho" w:hAnsi="Yu Mincho"/>
                <w:sz w:val="19"/>
                <w:szCs w:val="19"/>
              </w:rPr>
              <w:t xml:space="preserve">会計情報が規制価格の算定基礎そのものとなる</w:t>
            </w:r>
          </w:p>
        </w:tc>
      </w:tr>
    </w:tbl>
    <w:p>
      <w:pPr>
        <w:spacing w:after="100"/>
      </w:pP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公益事業の料金決定式（暗記）</w:t>
            </w:r>
          </w:p>
          <w:p>
            <w:pPr>
              <w:spacing w:line="300"/>
            </w:pPr>
            <w:r>
              <w:rPr>
                <w:rFonts w:ascii="Yu Mincho" w:cs="Yu Mincho" w:eastAsia="Yu Mincho" w:hAnsi="Yu Mincho"/>
                <w:sz w:val="20"/>
                <w:szCs w:val="20"/>
              </w:rPr>
              <w:t xml:space="preserve">認可料金＝営業費用＋減価償却費＋税金＋（認可資本利益率×基準資産額）。会計上の費用・資産評価額が直接、規制価格の決定要素になる点が「直接的規制」の本質。</w:t>
            </w:r>
          </w:p>
        </w:tc>
      </w:tr>
    </w:tbl>
    <w:p>
      <w:pPr>
        <w:spacing w:after="100"/>
      </w:pPr>
    </w:p>
    <w:p>
      <w:pPr>
        <w:pStyle w:val="ListParagraph"/>
        <w:numPr>
          <w:ilvl w:val="0"/>
          <w:numId w:val="2"/>
        </w:numPr>
        <w:spacing w:after="80" w:line="300"/>
      </w:pPr>
      <w:r>
        <w:rPr>
          <w:rFonts w:ascii="Yu Mincho" w:cs="Yu Mincho" w:eastAsia="Yu Mincho" w:hAnsi="Yu Mincho"/>
          <w:sz w:val="21"/>
          <w:szCs w:val="21"/>
        </w:rPr>
        <w:t xml:space="preserve">政治費用仮説（Jones 1991／Cahan 1992）：規制・世論の監視対象になりやすい企業（大企業・輸入救済調査対象企業等）ほど、政治的費用を回避するため報告利益を減少させる会計方針を選択する傾向がある。間接的規制の設問では必ず引用する。</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800"/>
        <w:gridCol w:w="5200"/>
      </w:tblGrid>
      <w:tr>
        <w:trPr>
          <w:tblHeader/>
        </w:trPr>
        <w:tc>
          <w:tcPr>
            <w:tcW w:type="dxa" w:w="3800"/>
            <w:shd w:fill="DDE6F0" w:val="clear"/>
            <w:tcMar>
              <w:top w:type="dxa" w:w="60"/>
              <w:left w:type="dxa" w:w="100"/>
              <w:bottom w:type="dxa" w:w="60"/>
              <w:right w:type="dxa" w:w="100"/>
            </w:tcMar>
          </w:tcPr>
          <w:p>
            <w:r>
              <w:rPr>
                <w:rFonts w:ascii="Yu Gothic" w:cs="Yu Gothic" w:eastAsia="Yu Gothic" w:hAnsi="Yu Gothic"/>
                <w:b/>
                <w:bCs/>
                <w:sz w:val="19"/>
                <w:szCs w:val="19"/>
              </w:rPr>
              <w:t xml:space="preserve">日本の徴税システムの3ポイント（確定決算基準）</w:t>
            </w:r>
          </w:p>
        </w:tc>
        <w:tc>
          <w:tcPr>
            <w:tcW w:type="dxa" w:w="5200"/>
            <w:shd w:fill="DDE6F0" w:val="clear"/>
            <w:tcMar>
              <w:top w:type="dxa" w:w="60"/>
              <w:left w:type="dxa" w:w="100"/>
              <w:bottom w:type="dxa" w:w="60"/>
              <w:right w:type="dxa" w:w="100"/>
            </w:tcMar>
          </w:tcPr>
          <w:p>
            <w:r>
              <w:rPr>
                <w:rFonts w:ascii="Yu Gothic" w:cs="Yu Gothic" w:eastAsia="Yu Gothic" w:hAnsi="Yu Gothic"/>
                <w:b/>
                <w:bCs/>
                <w:sz w:val="19"/>
                <w:szCs w:val="19"/>
              </w:rPr>
              <w:t xml:space="preserve">内容</w:t>
            </w:r>
          </w:p>
        </w:tc>
      </w:tr>
      <w:tr>
        <w:trPr>
          <w:cantSplit/>
        </w:trPr>
        <w:tc>
          <w:tcPr>
            <w:tcW w:type="dxa" w:w="3800"/>
            <w:tcMar>
              <w:top w:type="dxa" w:w="60"/>
              <w:left w:type="dxa" w:w="100"/>
              <w:bottom w:type="dxa" w:w="60"/>
              <w:right w:type="dxa" w:w="100"/>
            </w:tcMar>
          </w:tcPr>
          <w:p>
            <w:r>
              <w:rPr>
                <w:rFonts w:ascii="Yu Mincho" w:cs="Yu Mincho" w:eastAsia="Yu Mincho" w:hAnsi="Yu Mincho"/>
                <w:sz w:val="19"/>
                <w:szCs w:val="19"/>
              </w:rPr>
              <w:t xml:space="preserve">①確定決算基準</w:t>
            </w:r>
          </w:p>
        </w:tc>
        <w:tc>
          <w:tcPr>
            <w:tcW w:type="dxa" w:w="5200"/>
            <w:tcMar>
              <w:top w:type="dxa" w:w="60"/>
              <w:left w:type="dxa" w:w="100"/>
              <w:bottom w:type="dxa" w:w="60"/>
              <w:right w:type="dxa" w:w="100"/>
            </w:tcMar>
          </w:tcPr>
          <w:p>
            <w:r>
              <w:rPr>
                <w:rFonts w:ascii="Yu Mincho" w:cs="Yu Mincho" w:eastAsia="Yu Mincho" w:hAnsi="Yu Mincho"/>
                <w:sz w:val="19"/>
                <w:szCs w:val="19"/>
              </w:rPr>
              <w:t xml:space="preserve">商法・会社法上の確定決算（株主総会承認済み利益）を課税所得計算の基礎とする仕組み</w:t>
            </w:r>
          </w:p>
        </w:tc>
      </w:tr>
      <w:tr>
        <w:trPr>
          <w:cantSplit/>
        </w:trPr>
        <w:tc>
          <w:tcPr>
            <w:tcW w:type="dxa" w:w="3800"/>
            <w:tcMar>
              <w:top w:type="dxa" w:w="60"/>
              <w:left w:type="dxa" w:w="100"/>
              <w:bottom w:type="dxa" w:w="60"/>
              <w:right w:type="dxa" w:w="100"/>
            </w:tcMar>
          </w:tcPr>
          <w:p>
            <w:r>
              <w:rPr>
                <w:rFonts w:ascii="Yu Mincho" w:cs="Yu Mincho" w:eastAsia="Yu Mincho" w:hAnsi="Yu Mincho"/>
                <w:sz w:val="19"/>
                <w:szCs w:val="19"/>
              </w:rPr>
              <w:t xml:space="preserve">②モニタリング・コストの削減</w:t>
            </w:r>
          </w:p>
        </w:tc>
        <w:tc>
          <w:tcPr>
            <w:tcW w:type="dxa" w:w="5200"/>
            <w:tcMar>
              <w:top w:type="dxa" w:w="60"/>
              <w:left w:type="dxa" w:w="100"/>
              <w:bottom w:type="dxa" w:w="60"/>
              <w:right w:type="dxa" w:w="100"/>
            </w:tcMar>
          </w:tcPr>
          <w:p>
            <w:r>
              <w:rPr>
                <w:rFonts w:ascii="Yu Mincho" w:cs="Yu Mincho" w:eastAsia="Yu Mincho" w:hAnsi="Yu Mincho"/>
                <w:sz w:val="19"/>
                <w:szCs w:val="19"/>
              </w:rPr>
              <w:t xml:space="preserve">会計上の利益と課税所得を一致させることで、別々の帳簿管理・監視コストを節約できる</w:t>
            </w:r>
          </w:p>
        </w:tc>
      </w:tr>
      <w:tr>
        <w:trPr>
          <w:cantSplit/>
        </w:trPr>
        <w:tc>
          <w:tcPr>
            <w:tcW w:type="dxa" w:w="3800"/>
            <w:tcMar>
              <w:top w:type="dxa" w:w="60"/>
              <w:left w:type="dxa" w:w="100"/>
              <w:bottom w:type="dxa" w:w="60"/>
              <w:right w:type="dxa" w:w="100"/>
            </w:tcMar>
          </w:tcPr>
          <w:p>
            <w:r>
              <w:rPr>
                <w:rFonts w:ascii="Yu Mincho" w:cs="Yu Mincho" w:eastAsia="Yu Mincho" w:hAnsi="Yu Mincho"/>
                <w:sz w:val="19"/>
                <w:szCs w:val="19"/>
              </w:rPr>
              <w:t xml:space="preserve">③モラル・ハザードの抑止力を内蔵</w:t>
            </w:r>
          </w:p>
        </w:tc>
        <w:tc>
          <w:tcPr>
            <w:tcW w:type="dxa" w:w="5200"/>
            <w:tcMar>
              <w:top w:type="dxa" w:w="60"/>
              <w:left w:type="dxa" w:w="100"/>
              <w:bottom w:type="dxa" w:w="60"/>
              <w:right w:type="dxa" w:w="100"/>
            </w:tcMar>
          </w:tcPr>
          <w:p>
            <w:r>
              <w:rPr>
                <w:rFonts w:ascii="Yu Mincho" w:cs="Yu Mincho" w:eastAsia="Yu Mincho" w:hAnsi="Yu Mincho"/>
                <w:sz w:val="19"/>
                <w:szCs w:val="19"/>
              </w:rPr>
              <w:t xml:space="preserve">利益を過大表示すれば税負担が増え、過小表示すれば株主への説明責任が問われるため、両方向の裁量的会計行動を自動的に抑止する</w:t>
            </w:r>
          </w:p>
        </w:tc>
      </w:tr>
    </w:tbl>
    <w:p>
      <w:pPr>
        <w:spacing w:after="100"/>
      </w:pPr>
    </w:p>
    <w:p>
      <w:pPr>
        <w:pStyle w:val="ListParagraph"/>
        <w:numPr>
          <w:ilvl w:val="0"/>
          <w:numId w:val="2"/>
        </w:numPr>
        <w:spacing w:after="80" w:line="300"/>
      </w:pPr>
      <w:r>
        <w:rPr>
          <w:rFonts w:ascii="Yu Mincho" w:cs="Yu Mincho" w:eastAsia="Yu Mincho" w:hAnsi="Yu Mincho"/>
          <w:sz w:val="21"/>
          <w:szCs w:val="21"/>
        </w:rPr>
        <w:t xml:space="preserve">政府調達契約＝コスト・プラス契約（原価加算契約）。米国はCASB（原価会計基準審議会）が定めるCAS（原価会計基準）に準拠。日本は独立した基準体系を持たず監査付き型（会計監査を通じた検証）で運用される点が日米比較のポイント。NEC事件（1998年）＝防衛庁向け調達での原価水増し請求が発覚した不正会計事件、コスト・プラス契約のモラル・ハザード事例として押さえる。</w:t>
      </w:r>
    </w:p>
    <w:p>
      <w:pPr>
        <w:pStyle w:val="Heading1"/>
        <w:pageBreakBefore/>
        <w:spacing w:after="240" w:before="480"/>
      </w:pPr>
      <w:r>
        <w:t xml:space="preserve">第4章　株式市場に関する暗記事項</w:t>
      </w:r>
    </w:p>
    <w:p>
      <w:pPr>
        <w:spacing w:after="140" w:line="320"/>
        <w:jc w:val="left"/>
      </w:pPr>
      <w:r>
        <w:rPr>
          <w:rFonts w:ascii="Yu Mincho" w:cs="Yu Mincho" w:eastAsia="Yu Mincho" w:hAnsi="Yu Mincho"/>
          <w:sz w:val="21"/>
          <w:szCs w:val="21"/>
        </w:rPr>
        <w:t xml:space="preserve">会計情報が株式市場の意思決定に果たす役割を検証した古典的実証研究群。「潜在的有用性」と「実際的有用性」の区別が頻出のオチ。</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Ball and Brown(1968) と Beaver(1968)（頻出）</w:t>
            </w:r>
          </w:p>
          <w:p>
            <w:pPr>
              <w:spacing w:line="300"/>
            </w:pPr>
            <w:r>
              <w:rPr>
                <w:rFonts w:ascii="Yu Mincho" w:cs="Yu Mincho" w:eastAsia="Yu Mincho" w:hAnsi="Yu Mincho"/>
                <w:sz w:val="20"/>
                <w:szCs w:val="20"/>
              </w:rPr>
              <w:t xml:space="preserve">会計利益の公表前後の株価・出来高の異常な変動を検証し、会計利益に「情報内容（information content）」があること、すなわち会計情報が投資家の意思決定に実際に利用されていることを実証した先駆的研究。ただしこれは会計情報の「潜在的有用性」を示したに過ぎず、投資家がその情報を用いて超過収益を得られる「実際的有用性」を示したわけではない、という区別を必ず論じること。</w:t>
            </w:r>
          </w:p>
        </w:tc>
      </w:tr>
    </w:tbl>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800"/>
      </w:tblGrid>
      <w:tr>
        <w:trPr>
          <w:tblHeader/>
        </w:trPr>
        <w:tc>
          <w:tcPr>
            <w:tcW w:type="dxa" w:w="3200"/>
            <w:shd w:fill="DDE6F0" w:val="clear"/>
            <w:tcMar>
              <w:top w:type="dxa" w:w="60"/>
              <w:left w:type="dxa" w:w="100"/>
              <w:bottom w:type="dxa" w:w="60"/>
              <w:right w:type="dxa" w:w="100"/>
            </w:tcMar>
          </w:tcPr>
          <w:p>
            <w:r>
              <w:rPr>
                <w:rFonts w:ascii="Yu Gothic" w:cs="Yu Gothic" w:eastAsia="Yu Gothic" w:hAnsi="Yu Gothic"/>
                <w:b/>
                <w:bCs/>
                <w:sz w:val="19"/>
                <w:szCs w:val="19"/>
              </w:rPr>
              <w:t xml:space="preserve">実際的有用性を示唆する投資戦略</w:t>
            </w:r>
          </w:p>
        </w:tc>
        <w:tc>
          <w:tcPr>
            <w:tcW w:type="dxa" w:w="5800"/>
            <w:shd w:fill="DDE6F0" w:val="clear"/>
            <w:tcMar>
              <w:top w:type="dxa" w:w="60"/>
              <w:left w:type="dxa" w:w="100"/>
              <w:bottom w:type="dxa" w:w="60"/>
              <w:right w:type="dxa" w:w="100"/>
            </w:tcMar>
          </w:tcPr>
          <w:p>
            <w:r>
              <w:rPr>
                <w:rFonts w:ascii="Yu Gothic" w:cs="Yu Gothic" w:eastAsia="Yu Gothic" w:hAnsi="Yu Gothic"/>
                <w:b/>
                <w:bCs/>
                <w:sz w:val="19"/>
                <w:szCs w:val="19"/>
              </w:rPr>
              <w:t xml:space="preserve">内容</w:t>
            </w:r>
          </w:p>
        </w:tc>
      </w:tr>
      <w:tr>
        <w:trPr>
          <w:cantSplit/>
        </w:trPr>
        <w:tc>
          <w:tcPr>
            <w:tcW w:type="dxa" w:w="3200"/>
            <w:tcMar>
              <w:top w:type="dxa" w:w="60"/>
              <w:left w:type="dxa" w:w="100"/>
              <w:bottom w:type="dxa" w:w="60"/>
              <w:right w:type="dxa" w:w="100"/>
            </w:tcMar>
          </w:tcPr>
          <w:p>
            <w:r>
              <w:rPr>
                <w:rFonts w:ascii="Yu Mincho" w:cs="Yu Mincho" w:eastAsia="Yu Mincho" w:hAnsi="Yu Mincho"/>
                <w:sz w:val="19"/>
                <w:szCs w:val="19"/>
              </w:rPr>
              <w:t xml:space="preserve">PEAD（post-earnings-announcement drift、決算発表後ドリフト）</w:t>
            </w:r>
          </w:p>
        </w:tc>
        <w:tc>
          <w:tcPr>
            <w:tcW w:type="dxa" w:w="5800"/>
            <w:tcMar>
              <w:top w:type="dxa" w:w="60"/>
              <w:left w:type="dxa" w:w="100"/>
              <w:bottom w:type="dxa" w:w="60"/>
              <w:right w:type="dxa" w:w="100"/>
            </w:tcMar>
          </w:tcPr>
          <w:p>
            <w:r>
              <w:rPr>
                <w:rFonts w:ascii="Yu Mincho" w:cs="Yu Mincho" w:eastAsia="Yu Mincho" w:hAnsi="Yu Mincho"/>
                <w:sz w:val="19"/>
                <w:szCs w:val="19"/>
              </w:rPr>
              <w:t xml:space="preserve">Foster, Olsen and Shevlin(1984)：予想外に良い（悪い）決算を発表した企業の株価が、発表後も一定期間ドリフト（緩やかに上昇／下落）し続ける現象。効率的市場仮説とは整合しないアノマリーとして著名。</w:t>
            </w:r>
          </w:p>
        </w:tc>
      </w:tr>
      <w:tr>
        <w:trPr>
          <w:cantSplit/>
        </w:trPr>
        <w:tc>
          <w:tcPr>
            <w:tcW w:type="dxa" w:w="3200"/>
            <w:tcMar>
              <w:top w:type="dxa" w:w="60"/>
              <w:left w:type="dxa" w:w="100"/>
              <w:bottom w:type="dxa" w:w="60"/>
              <w:right w:type="dxa" w:w="100"/>
            </w:tcMar>
          </w:tcPr>
          <w:p>
            <w:r>
              <w:rPr>
                <w:rFonts w:ascii="Yu Mincho" w:cs="Yu Mincho" w:eastAsia="Yu Mincho" w:hAnsi="Yu Mincho"/>
                <w:sz w:val="19"/>
                <w:szCs w:val="19"/>
              </w:rPr>
              <w:t xml:space="preserve">ファンダメンタル分析による投資戦略</w:t>
            </w:r>
          </w:p>
        </w:tc>
        <w:tc>
          <w:tcPr>
            <w:tcW w:type="dxa" w:w="5800"/>
            <w:tcMar>
              <w:top w:type="dxa" w:w="60"/>
              <w:left w:type="dxa" w:w="100"/>
              <w:bottom w:type="dxa" w:w="60"/>
              <w:right w:type="dxa" w:w="100"/>
            </w:tcMar>
          </w:tcPr>
          <w:p>
            <w:r>
              <w:rPr>
                <w:rFonts w:ascii="Yu Mincho" w:cs="Yu Mincho" w:eastAsia="Yu Mincho" w:hAnsi="Yu Mincho"/>
                <w:sz w:val="19"/>
                <w:szCs w:val="19"/>
              </w:rPr>
              <w:t xml:space="preserve">Ou and Penman(1989)：多数の財務比率を組み合わせたスコアにより将来利益の変化を予測し、それに基づく投資戦略が市場平均を上回る超過収益を生むことを示した。</w:t>
            </w:r>
          </w:p>
        </w:tc>
      </w:tr>
      <w:tr>
        <w:trPr>
          <w:cantSplit/>
        </w:trPr>
        <w:tc>
          <w:tcPr>
            <w:tcW w:type="dxa" w:w="3200"/>
            <w:tcMar>
              <w:top w:type="dxa" w:w="60"/>
              <w:left w:type="dxa" w:w="100"/>
              <w:bottom w:type="dxa" w:w="60"/>
              <w:right w:type="dxa" w:w="100"/>
            </w:tcMar>
          </w:tcPr>
          <w:p>
            <w:r>
              <w:rPr>
                <w:rFonts w:ascii="Yu Mincho" w:cs="Yu Mincho" w:eastAsia="Yu Mincho" w:hAnsi="Yu Mincho"/>
                <w:sz w:val="19"/>
                <w:szCs w:val="19"/>
              </w:rPr>
              <w:t xml:space="preserve">残余利益モデルに基づく投資戦略</w:t>
            </w:r>
          </w:p>
        </w:tc>
        <w:tc>
          <w:tcPr>
            <w:tcW w:type="dxa" w:w="5800"/>
            <w:tcMar>
              <w:top w:type="dxa" w:w="60"/>
              <w:left w:type="dxa" w:w="100"/>
              <w:bottom w:type="dxa" w:w="60"/>
              <w:right w:type="dxa" w:w="100"/>
            </w:tcMar>
          </w:tcPr>
          <w:p>
            <w:r>
              <w:rPr>
                <w:rFonts w:ascii="Yu Mincho" w:cs="Yu Mincho" w:eastAsia="Yu Mincho" w:hAnsi="Yu Mincho"/>
                <w:sz w:val="19"/>
                <w:szCs w:val="19"/>
              </w:rPr>
              <w:t xml:space="preserve">Frankel and Lee(1998)：Ohlson残余利益モデルにより算定した理論株価と実際の株価の乖離（V/P比率）を用いた投資戦略が超過収益を生むことを示した。</w:t>
            </w:r>
          </w:p>
        </w:tc>
      </w:tr>
    </w:tbl>
    <w:p>
      <w:pPr>
        <w:spacing w:after="100"/>
      </w:pPr>
    </w:p>
    <w:p>
      <w:pPr>
        <w:pStyle w:val="ListParagraph"/>
        <w:numPr>
          <w:ilvl w:val="0"/>
          <w:numId w:val="2"/>
        </w:numPr>
        <w:spacing w:after="80" w:line="300"/>
      </w:pPr>
      <w:r>
        <w:rPr>
          <w:rFonts w:ascii="Yu Mincho" w:cs="Yu Mincho" w:eastAsia="Yu Mincho" w:hAnsi="Yu Mincho"/>
          <w:sz w:val="21"/>
          <w:szCs w:val="21"/>
        </w:rPr>
        <w:t xml:space="preserve">PEADの大きさの目安：予想外利益が最も高い企業群と最も低い企業群の間で、決算発表後約60日間に約6.31％の累積超過リターン格差が観察された（具体的な数値を覚えておくと説得力が増す）。</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400"/>
      </w:tblGrid>
      <w:tr>
        <w:trPr>
          <w:tblHeader/>
        </w:trPr>
        <w:tc>
          <w:tcPr>
            <w:tcW w:type="dxa" w:w="2600"/>
            <w:shd w:fill="DDE6F0" w:val="clear"/>
            <w:tcMar>
              <w:top w:type="dxa" w:w="60"/>
              <w:left w:type="dxa" w:w="100"/>
              <w:bottom w:type="dxa" w:w="60"/>
              <w:right w:type="dxa" w:w="100"/>
            </w:tcMar>
          </w:tcPr>
          <w:p>
            <w:r>
              <w:rPr>
                <w:rFonts w:ascii="Yu Gothic" w:cs="Yu Gothic" w:eastAsia="Yu Gothic" w:hAnsi="Yu Gothic"/>
                <w:b/>
                <w:bCs/>
                <w:sz w:val="19"/>
                <w:szCs w:val="19"/>
              </w:rPr>
              <w:t xml:space="preserve">CAPM（資本資産価格モデル）</w:t>
            </w:r>
          </w:p>
        </w:tc>
        <w:tc>
          <w:tcPr>
            <w:tcW w:type="dxa" w:w="6400"/>
            <w:shd w:fill="DDE6F0" w:val="clear"/>
            <w:tcMar>
              <w:top w:type="dxa" w:w="60"/>
              <w:left w:type="dxa" w:w="100"/>
              <w:bottom w:type="dxa" w:w="60"/>
              <w:right w:type="dxa" w:w="100"/>
            </w:tcMar>
          </w:tcPr>
          <w:p>
            <w:r>
              <w:rPr>
                <w:rFonts w:ascii="Yu Gothic" w:cs="Yu Gothic" w:eastAsia="Yu Gothic" w:hAnsi="Yu Gothic"/>
                <w:b/>
                <w:bCs/>
                <w:sz w:val="19"/>
                <w:szCs w:val="19"/>
              </w:rPr>
              <w:t xml:space="preserve">内容</w:t>
            </w:r>
          </w:p>
        </w:tc>
      </w:tr>
      <w:tr>
        <w:trPr>
          <w:cantSplit/>
        </w:trPr>
        <w:tc>
          <w:tcPr>
            <w:tcW w:type="dxa" w:w="2600"/>
            <w:tcMar>
              <w:top w:type="dxa" w:w="60"/>
              <w:left w:type="dxa" w:w="100"/>
              <w:bottom w:type="dxa" w:w="60"/>
              <w:right w:type="dxa" w:w="100"/>
            </w:tcMar>
          </w:tcPr>
          <w:p>
            <w:r>
              <w:rPr>
                <w:rFonts w:ascii="Yu Mincho" w:cs="Yu Mincho" w:eastAsia="Yu Mincho" w:hAnsi="Yu Mincho"/>
                <w:sz w:val="19"/>
                <w:szCs w:val="19"/>
              </w:rPr>
              <w:t xml:space="preserve">計算式</w:t>
            </w:r>
          </w:p>
        </w:tc>
        <w:tc>
          <w:tcPr>
            <w:tcW w:type="dxa" w:w="6400"/>
            <w:tcMar>
              <w:top w:type="dxa" w:w="60"/>
              <w:left w:type="dxa" w:w="100"/>
              <w:bottom w:type="dxa" w:w="60"/>
              <w:right w:type="dxa" w:w="100"/>
            </w:tcMar>
          </w:tcPr>
          <w:p>
            <w:r>
              <w:rPr>
                <w:rFonts w:ascii="Yu Mincho" w:cs="Yu Mincho" w:eastAsia="Yu Mincho" w:hAnsi="Yu Mincho"/>
                <w:sz w:val="19"/>
                <w:szCs w:val="19"/>
              </w:rPr>
              <w:t xml:space="preserve">E(Ri) = Rf + βi ×〔E(Rm) − Rf〕　（Ri＝個別証券の期待収益率、Rf＝無リスク利子率、βi＝個別証券のベータ、Rm＝市場ポートフォリオの期待収益率）</w:t>
            </w:r>
          </w:p>
        </w:tc>
      </w:tr>
    </w:tbl>
    <w:p>
      <w:pPr>
        <w:spacing w:after="100"/>
      </w:pPr>
    </w:p>
    <w:p>
      <w:pPr>
        <w:pStyle w:val="ListParagraph"/>
        <w:numPr>
          <w:ilvl w:val="0"/>
          <w:numId w:val="2"/>
        </w:numPr>
        <w:spacing w:after="80" w:line="300"/>
      </w:pPr>
      <w:r>
        <w:rPr>
          <w:rFonts w:ascii="Yu Mincho" w:cs="Yu Mincho" w:eastAsia="Yu Mincho" w:hAnsi="Yu Mincho"/>
          <w:sz w:val="21"/>
          <w:szCs w:val="21"/>
        </w:rPr>
        <w:t xml:space="preserve">会計上のリスク指標（例：石川2000）＝会計データから算出される財務レバレッジ・利益変動性等の指標がベータ（市場リスク）と相関を持ち、会計情報がリスク評価にも利用可能であることを示す研究群。CAPMと会計情報の接点として押さえる。</w:t>
      </w:r>
    </w:p>
    <w:p>
      <w:pPr>
        <w:pStyle w:val="Heading1"/>
        <w:pageBreakBefore/>
        <w:spacing w:after="240" w:before="480"/>
      </w:pPr>
      <w:r>
        <w:t xml:space="preserve">第5章　自発的情報開示（IR）に関する暗記事項</w:t>
      </w:r>
    </w:p>
    <w:p>
      <w:pPr>
        <w:spacing w:after="140" w:line="320"/>
        <w:jc w:val="left"/>
      </w:pPr>
      <w:r>
        <w:rPr>
          <w:rFonts w:ascii="Yu Mincho" w:cs="Yu Mincho" w:eastAsia="Yu Mincho" w:hAnsi="Yu Mincho"/>
          <w:sz w:val="21"/>
          <w:szCs w:val="21"/>
        </w:rPr>
        <w:t xml:space="preserve">開示の質と資本コストの関係を情報の非対称性の観点から説明する理論。頻出度3位（令和元年度・2022年度で同一論点が2回出題）。</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Easley and O'Hara(2004)：情報リスク仮説（最重要・必ず暗記）</w:t>
            </w:r>
          </w:p>
          <w:p>
            <w:pPr>
              <w:spacing w:line="300"/>
            </w:pPr>
            <w:r>
              <w:rPr>
                <w:rFonts w:ascii="Yu Mincho" w:cs="Yu Mincho" w:eastAsia="Yu Mincho" w:hAnsi="Yu Mincho"/>
                <w:sz w:val="20"/>
                <w:szCs w:val="20"/>
              </w:rPr>
              <w:t xml:space="preserve">投資家を私的情報を持つ informed investors と持たない uninformed investors に区別。両者間の情報の非対称性から生じるリスクを「情報リスク」と呼び、uninformed investors はこれに見合う高いリターンを要求するため、情報リスクの大きさが企業の資本コストを増加させる。核心は、informed investors 以外の投資家も公的情報（強制的ディスクロージャー）自体にはアクセスできるため情報の「量」は問題にならず、その「質（精度）」の低さが追加的リスクを生む、という点。→ 開示の質↑→情報リスク↓→資本コスト↓ という因果を必ず書く。日本の実証研究：須田・首藤・太田(2004)。</w:t>
            </w:r>
          </w:p>
        </w:tc>
      </w:tr>
    </w:tbl>
    <w:p>
      <w:pPr>
        <w:spacing w:after="100"/>
      </w:pPr>
    </w:p>
    <w:p>
      <w:pPr>
        <w:pStyle w:val="ListParagraph"/>
        <w:numPr>
          <w:ilvl w:val="0"/>
          <w:numId w:val="2"/>
        </w:numPr>
        <w:spacing w:after="80" w:line="300"/>
      </w:pPr>
      <w:r>
        <w:rPr>
          <w:rFonts w:ascii="Yu Mincho" w:cs="Yu Mincho" w:eastAsia="Yu Mincho" w:hAnsi="Yu Mincho"/>
          <w:sz w:val="21"/>
          <w:szCs w:val="21"/>
        </w:rPr>
        <w:t xml:space="preserve">Blacconiere and Patten(1994)：1984年のボーパール（インド）化学工場事故を契機とした株価下落局面を分析し、事件前から環境会計情報を積極的に開示していた企業ほど、事件後の株価下落幅が同業他社より小さかったことを示した。「平時には効果が観察されにくいが、有事（企業不祥事等）に開示の差が顕在化する」という論点構造とセットで暗記。</w:t>
      </w:r>
    </w:p>
    <w:p>
      <w:pPr>
        <w:pStyle w:val="ListParagraph"/>
        <w:numPr>
          <w:ilvl w:val="0"/>
          <w:numId w:val="2"/>
        </w:numPr>
        <w:spacing w:after="80" w:line="300"/>
      </w:pPr>
      <w:r>
        <w:rPr>
          <w:rFonts w:ascii="Yu Mincho" w:cs="Yu Mincho" w:eastAsia="Yu Mincho" w:hAnsi="Yu Mincho"/>
          <w:sz w:val="21"/>
          <w:szCs w:val="21"/>
        </w:rPr>
        <w:t xml:space="preserve">伊藤・加賀谷(2006)：日本企業でも不祥事公表後、約7日間にわたり株価下落が続き株式価値が大きく毀損することを確認。日本の実証例として引用できる。</w:t>
      </w:r>
    </w:p>
    <w:p>
      <w:pPr>
        <w:pStyle w:val="Heading1"/>
        <w:pageBreakBefore/>
        <w:spacing w:after="240" w:before="480"/>
      </w:pPr>
      <w:r>
        <w:t xml:space="preserve">第6章　利益調整に関する暗記事項</w:t>
      </w:r>
    </w:p>
    <w:p>
      <w:pPr>
        <w:spacing w:after="140" w:line="320"/>
        <w:jc w:val="left"/>
      </w:pPr>
      <w:r>
        <w:rPr>
          <w:rFonts w:ascii="Yu Mincho" w:cs="Yu Mincho" w:eastAsia="Yu Mincho" w:hAnsi="Yu Mincho"/>
          <w:sz w:val="21"/>
          <w:szCs w:val="21"/>
        </w:rPr>
        <w:t xml:space="preserve">過去問で最も出題が集中する章（19エントリ中5件、うち1論点は3回出題で全体最頻出）。定義・検出方法・動機・決定要因の各論点を網羅する。</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60"/>
            </w:pPr>
            <w:r>
              <w:rPr>
                <w:rFonts w:ascii="Yu Gothic" w:cs="Yu Gothic" w:eastAsia="Yu Gothic" w:hAnsi="Yu Gothic"/>
                <w:b/>
                <w:bCs/>
                <w:sz w:val="20"/>
                <w:szCs w:val="20"/>
              </w:rPr>
              <w:t xml:space="preserve">最頻出論点（3回出題）：LIFO税コスト仮説と市場の反応</w:t>
            </w:r>
          </w:p>
          <w:p>
            <w:pPr>
              <w:spacing w:line="300"/>
            </w:pPr>
            <w:r>
              <w:rPr>
                <w:rFonts w:ascii="Yu Mincho" w:cs="Yu Mincho" w:eastAsia="Yu Mincho" w:hAnsi="Yu Mincho"/>
                <w:sz w:val="20"/>
                <w:szCs w:val="20"/>
              </w:rPr>
              <w:t xml:space="preserve">米国内国歳入法第472条-c＝棚卸資産評価法にLIFO（後入先出法）を採用する企業は、財務諸表上もLIFOで報告することを義務付ける規定（LIFO conformity rule）。物価上昇局面でFIFO→LIFOへ変更すると、報告利益は減少するが、実際には売上原価が増加し法人税支払額（キャッシュアウトフロー）が減少するため、企業のキャッシュフローは実質的に増加する。半強度効率的市場仮説のもとでは、市場は「報告利益の減少」ではなく「キャッシュフローの実質的な増加」を正しく織り込み、株価はむしろ上昇（少なくとも下落しない）と予測される＝これが「税コスト仮説」の核心。Watts and Zimmerman(1986)の実証的会計理論の枠組みに位置づけられる。</w:t>
            </w:r>
          </w:p>
        </w:tc>
      </w:tr>
    </w:tbl>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400"/>
        <w:gridCol w:w="5600"/>
      </w:tblGrid>
      <w:tr>
        <w:trPr>
          <w:tblHeader/>
        </w:trPr>
        <w:tc>
          <w:tcPr>
            <w:tcW w:type="dxa" w:w="3400"/>
            <w:shd w:fill="DDE6F0" w:val="clear"/>
            <w:tcMar>
              <w:top w:type="dxa" w:w="60"/>
              <w:left w:type="dxa" w:w="100"/>
              <w:bottom w:type="dxa" w:w="60"/>
              <w:right w:type="dxa" w:w="100"/>
            </w:tcMar>
          </w:tcPr>
          <w:p>
            <w:r>
              <w:rPr>
                <w:rFonts w:ascii="Yu Gothic" w:cs="Yu Gothic" w:eastAsia="Yu Gothic" w:hAnsi="Yu Gothic"/>
                <w:b/>
                <w:bCs/>
                <w:sz w:val="19"/>
                <w:szCs w:val="19"/>
              </w:rPr>
              <w:t xml:space="preserve">減価償却方法の変更（定率法→定額法）</w:t>
            </w:r>
          </w:p>
        </w:tc>
        <w:tc>
          <w:tcPr>
            <w:tcW w:type="dxa" w:w="5600"/>
            <w:shd w:fill="DDE6F0" w:val="clear"/>
            <w:tcMar>
              <w:top w:type="dxa" w:w="60"/>
              <w:left w:type="dxa" w:w="100"/>
              <w:bottom w:type="dxa" w:w="60"/>
              <w:right w:type="dxa" w:w="100"/>
            </w:tcMar>
          </w:tcPr>
          <w:p>
            <w:r>
              <w:rPr>
                <w:rFonts w:ascii="Yu Gothic" w:cs="Yu Gothic" w:eastAsia="Yu Gothic" w:hAnsi="Yu Gothic"/>
                <w:b/>
                <w:bCs/>
                <w:sz w:val="19"/>
                <w:szCs w:val="19"/>
              </w:rPr>
              <w:t xml:space="preserve">内容</w:t>
            </w:r>
          </w:p>
        </w:tc>
      </w:tr>
      <w:tr>
        <w:trPr>
          <w:cantSplit/>
        </w:trPr>
        <w:tc>
          <w:tcPr>
            <w:tcW w:type="dxa" w:w="3400"/>
            <w:tcMar>
              <w:top w:type="dxa" w:w="60"/>
              <w:left w:type="dxa" w:w="100"/>
              <w:bottom w:type="dxa" w:w="60"/>
              <w:right w:type="dxa" w:w="100"/>
            </w:tcMar>
          </w:tcPr>
          <w:p>
            <w:r>
              <w:rPr>
                <w:rFonts w:ascii="Yu Mincho" w:cs="Yu Mincho" w:eastAsia="Yu Mincho" w:hAnsi="Yu Mincho"/>
                <w:sz w:val="19"/>
                <w:szCs w:val="19"/>
              </w:rPr>
              <w:t xml:space="preserve">無効果仮説（no-effect hypothesis）</w:t>
            </w:r>
          </w:p>
        </w:tc>
        <w:tc>
          <w:tcPr>
            <w:tcW w:type="dxa" w:w="5600"/>
            <w:tcMar>
              <w:top w:type="dxa" w:w="60"/>
              <w:left w:type="dxa" w:w="100"/>
              <w:bottom w:type="dxa" w:w="60"/>
              <w:right w:type="dxa" w:w="100"/>
            </w:tcMar>
          </w:tcPr>
          <w:p>
            <w:r>
              <w:rPr>
                <w:rFonts w:ascii="Yu Mincho" w:cs="Yu Mincho" w:eastAsia="Yu Mincho" w:hAnsi="Yu Mincho"/>
                <w:sz w:val="19"/>
                <w:szCs w:val="19"/>
              </w:rPr>
              <w:t xml:space="preserve">会計方針の変更はキャッシュフローに影響しない（純粋な会計上の付け替え）ため、効率的市場のもとでは株価に影響を与えないとする仮説</w:t>
            </w:r>
          </w:p>
        </w:tc>
      </w:tr>
      <w:tr>
        <w:trPr>
          <w:cantSplit/>
        </w:trPr>
        <w:tc>
          <w:tcPr>
            <w:tcW w:type="dxa" w:w="3400"/>
            <w:tcMar>
              <w:top w:type="dxa" w:w="60"/>
              <w:left w:type="dxa" w:w="100"/>
              <w:bottom w:type="dxa" w:w="60"/>
              <w:right w:type="dxa" w:w="100"/>
            </w:tcMar>
          </w:tcPr>
          <w:p>
            <w:r>
              <w:rPr>
                <w:rFonts w:ascii="Yu Mincho" w:cs="Yu Mincho" w:eastAsia="Yu Mincho" w:hAnsi="Yu Mincho"/>
                <w:sz w:val="19"/>
                <w:szCs w:val="19"/>
              </w:rPr>
              <w:t xml:space="preserve">機械的反応仮説（mechanistic hypothesis）</w:t>
            </w:r>
          </w:p>
        </w:tc>
        <w:tc>
          <w:tcPr>
            <w:tcW w:type="dxa" w:w="5600"/>
            <w:tcMar>
              <w:top w:type="dxa" w:w="60"/>
              <w:left w:type="dxa" w:w="100"/>
              <w:bottom w:type="dxa" w:w="60"/>
              <w:right w:type="dxa" w:w="100"/>
            </w:tcMar>
          </w:tcPr>
          <w:p>
            <w:r>
              <w:rPr>
                <w:rFonts w:ascii="Yu Mincho" w:cs="Yu Mincho" w:eastAsia="Yu Mincho" w:hAnsi="Yu Mincho"/>
                <w:sz w:val="19"/>
                <w:szCs w:val="19"/>
              </w:rPr>
              <w:t xml:space="preserve">投資家が会計方針の変更の実質を見抜けず、報告利益の増減にそのまま機械的に反応してしまうとする仮説（非効率的市場を前提）</w:t>
            </w:r>
          </w:p>
        </w:tc>
      </w:tr>
    </w:tbl>
    <w:p>
      <w:pPr>
        <w:spacing w:after="100"/>
      </w:pPr>
    </w:p>
    <w:p>
      <w:pPr>
        <w:pStyle w:val="ListParagraph"/>
        <w:numPr>
          <w:ilvl w:val="0"/>
          <w:numId w:val="2"/>
        </w:numPr>
        <w:spacing w:after="80" w:line="300"/>
      </w:pPr>
      <w:r>
        <w:rPr>
          <w:rFonts w:ascii="Yu Mincho" w:cs="Yu Mincho" w:eastAsia="Yu Mincho" w:hAnsi="Yu Mincho"/>
          <w:sz w:val="21"/>
          <w:szCs w:val="21"/>
        </w:rPr>
        <w:t xml:space="preserve">日米比較：日本では定率法→定額法への変更で報告利益は増加するがキャッシュフローに変化はないため、無効果仮説が支持されるか機械的反応仮説が支持されるかが実証研究の争点となる。</w:t>
      </w:r>
    </w:p>
    <w:p>
      <w:pPr>
        <w:spacing w:after="100"/>
      </w:pPr>
    </w:p>
    <w:p>
      <w:pPr>
        <w:pStyle w:val="Heading2"/>
        <w:spacing w:after="160" w:before="360"/>
      </w:pPr>
      <w:r>
        <w:t xml:space="preserve">ビッグ・バスと会計発生高の反転性</w:t>
      </w:r>
    </w:p>
    <w:p>
      <w:pPr>
        <w:pStyle w:val="ListParagraph"/>
        <w:numPr>
          <w:ilvl w:val="0"/>
          <w:numId w:val="2"/>
        </w:numPr>
        <w:spacing w:after="80" w:line="300"/>
      </w:pPr>
      <w:r>
        <w:rPr>
          <w:rFonts w:ascii="Yu Mincho" w:cs="Yu Mincho" w:eastAsia="Yu Mincho" w:hAnsi="Yu Mincho"/>
          <w:sz w:val="21"/>
          <w:szCs w:val="21"/>
        </w:rPr>
        <w:t xml:space="preserve">ビッグ・バス＝業績不振期や経営者交代期に、将来計上すべき損失を前倒しでまとめて計上し、当期の利益を大幅に悪化させることで翌期以降の利益を相対的に良く見せる利益調整。動機の代表＝「経営者交代仮説」（新任経営者が自らの責任ではないと印象付けるため就任直後に大きな損失処理を行う）。</w:t>
      </w:r>
    </w:p>
    <w:p>
      <w:pPr>
        <w:pStyle w:val="ListParagraph"/>
        <w:numPr>
          <w:ilvl w:val="0"/>
          <w:numId w:val="2"/>
        </w:numPr>
        <w:spacing w:after="80" w:line="300"/>
      </w:pPr>
      <w:r>
        <w:rPr>
          <w:rFonts w:ascii="Yu Mincho" w:cs="Yu Mincho" w:eastAsia="Yu Mincho" w:hAnsi="Yu Mincho"/>
          <w:sz w:val="21"/>
          <w:szCs w:val="21"/>
        </w:rPr>
        <w:t xml:space="preserve">会計発生高（アクルーアル）の反転性：ある期に増加させた発生高は将来期に必ず反転（減少）する性質を持つため、経営者はこの性質を利用して複数期間にわたり利益調整を行うことができる（Strong and Meyer 1987等）。</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6000"/>
      </w:tblGrid>
      <w:tr>
        <w:trPr>
          <w:tblHeader/>
        </w:trPr>
        <w:tc>
          <w:tcPr>
            <w:tcW w:type="dxa" w:w="3000"/>
            <w:shd w:fill="DDE6F0" w:val="clear"/>
            <w:tcMar>
              <w:top w:type="dxa" w:w="60"/>
              <w:left w:type="dxa" w:w="100"/>
              <w:bottom w:type="dxa" w:w="60"/>
              <w:right w:type="dxa" w:w="100"/>
            </w:tcMar>
          </w:tcPr>
          <w:p>
            <w:r>
              <w:rPr>
                <w:rFonts w:ascii="Yu Gothic" w:cs="Yu Gothic" w:eastAsia="Yu Gothic" w:hAnsi="Yu Gothic"/>
                <w:b/>
                <w:bCs/>
                <w:sz w:val="19"/>
                <w:szCs w:val="19"/>
              </w:rPr>
              <w:t xml:space="preserve">発生高の反転性を利用した利益調整の4形態</w:t>
            </w:r>
          </w:p>
        </w:tc>
        <w:tc>
          <w:tcPr>
            <w:tcW w:type="dxa" w:w="6000"/>
            <w:shd w:fill="DDE6F0" w:val="clear"/>
            <w:tcMar>
              <w:top w:type="dxa" w:w="60"/>
              <w:left w:type="dxa" w:w="100"/>
              <w:bottom w:type="dxa" w:w="60"/>
              <w:right w:type="dxa" w:w="100"/>
            </w:tcMar>
          </w:tcPr>
          <w:p>
            <w:r>
              <w:rPr>
                <w:rFonts w:ascii="Yu Gothic" w:cs="Yu Gothic" w:eastAsia="Yu Gothic" w:hAnsi="Yu Gothic"/>
                <w:b/>
                <w:bCs/>
                <w:sz w:val="19"/>
                <w:szCs w:val="19"/>
              </w:rPr>
              <w:t xml:space="preserve">内容</w:t>
            </w:r>
          </w:p>
        </w:tc>
      </w:tr>
      <w:tr>
        <w:trPr>
          <w:cantSplit/>
        </w:trPr>
        <w:tc>
          <w:tcPr>
            <w:tcW w:type="dxa" w:w="3000"/>
            <w:tcMar>
              <w:top w:type="dxa" w:w="60"/>
              <w:left w:type="dxa" w:w="100"/>
              <w:bottom w:type="dxa" w:w="60"/>
              <w:right w:type="dxa" w:w="100"/>
            </w:tcMar>
          </w:tcPr>
          <w:p>
            <w:r>
              <w:rPr>
                <w:rFonts w:ascii="Yu Mincho" w:cs="Yu Mincho" w:eastAsia="Yu Mincho" w:hAnsi="Yu Mincho"/>
                <w:sz w:val="19"/>
                <w:szCs w:val="19"/>
              </w:rPr>
              <w:t xml:space="preserve">利益最大化</w:t>
            </w:r>
          </w:p>
        </w:tc>
        <w:tc>
          <w:tcPr>
            <w:tcW w:type="dxa" w:w="6000"/>
            <w:tcMar>
              <w:top w:type="dxa" w:w="60"/>
              <w:left w:type="dxa" w:w="100"/>
              <w:bottom w:type="dxa" w:w="60"/>
              <w:right w:type="dxa" w:w="100"/>
            </w:tcMar>
          </w:tcPr>
          <w:p>
            <w:r>
              <w:rPr>
                <w:rFonts w:ascii="Yu Mincho" w:cs="Yu Mincho" w:eastAsia="Yu Mincho" w:hAnsi="Yu Mincho"/>
                <w:sz w:val="19"/>
                <w:szCs w:val="19"/>
              </w:rPr>
              <w:t xml:space="preserve">報告利益をできる限り増加させる方向に発生高を調整</w:t>
            </w:r>
          </w:p>
        </w:tc>
      </w:tr>
      <w:tr>
        <w:trPr>
          <w:cantSplit/>
        </w:trPr>
        <w:tc>
          <w:tcPr>
            <w:tcW w:type="dxa" w:w="3000"/>
            <w:tcMar>
              <w:top w:type="dxa" w:w="60"/>
              <w:left w:type="dxa" w:w="100"/>
              <w:bottom w:type="dxa" w:w="60"/>
              <w:right w:type="dxa" w:w="100"/>
            </w:tcMar>
          </w:tcPr>
          <w:p>
            <w:r>
              <w:rPr>
                <w:rFonts w:ascii="Yu Mincho" w:cs="Yu Mincho" w:eastAsia="Yu Mincho" w:hAnsi="Yu Mincho"/>
                <w:sz w:val="19"/>
                <w:szCs w:val="19"/>
              </w:rPr>
              <w:t xml:space="preserve">利益最小化</w:t>
            </w:r>
          </w:p>
        </w:tc>
        <w:tc>
          <w:tcPr>
            <w:tcW w:type="dxa" w:w="6000"/>
            <w:tcMar>
              <w:top w:type="dxa" w:w="60"/>
              <w:left w:type="dxa" w:w="100"/>
              <w:bottom w:type="dxa" w:w="60"/>
              <w:right w:type="dxa" w:w="100"/>
            </w:tcMar>
          </w:tcPr>
          <w:p>
            <w:r>
              <w:rPr>
                <w:rFonts w:ascii="Yu Mincho" w:cs="Yu Mincho" w:eastAsia="Yu Mincho" w:hAnsi="Yu Mincho"/>
                <w:sz w:val="19"/>
                <w:szCs w:val="19"/>
              </w:rPr>
              <w:t xml:space="preserve">報告利益をできる限り減少させる方向に発生高を調整（税コスト削減等）</w:t>
            </w:r>
          </w:p>
        </w:tc>
      </w:tr>
      <w:tr>
        <w:trPr>
          <w:cantSplit/>
        </w:trPr>
        <w:tc>
          <w:tcPr>
            <w:tcW w:type="dxa" w:w="3000"/>
            <w:tcMar>
              <w:top w:type="dxa" w:w="60"/>
              <w:left w:type="dxa" w:w="100"/>
              <w:bottom w:type="dxa" w:w="60"/>
              <w:right w:type="dxa" w:w="100"/>
            </w:tcMar>
          </w:tcPr>
          <w:p>
            <w:r>
              <w:rPr>
                <w:rFonts w:ascii="Yu Mincho" w:cs="Yu Mincho" w:eastAsia="Yu Mincho" w:hAnsi="Yu Mincho"/>
                <w:sz w:val="19"/>
                <w:szCs w:val="19"/>
              </w:rPr>
              <w:t xml:space="preserve">ビッグ・バス</w:t>
            </w:r>
          </w:p>
        </w:tc>
        <w:tc>
          <w:tcPr>
            <w:tcW w:type="dxa" w:w="6000"/>
            <w:tcMar>
              <w:top w:type="dxa" w:w="60"/>
              <w:left w:type="dxa" w:w="100"/>
              <w:bottom w:type="dxa" w:w="60"/>
              <w:right w:type="dxa" w:w="100"/>
            </w:tcMar>
          </w:tcPr>
          <w:p>
            <w:r>
              <w:rPr>
                <w:rFonts w:ascii="Yu Mincho" w:cs="Yu Mincho" w:eastAsia="Yu Mincho" w:hAnsi="Yu Mincho"/>
                <w:sz w:val="19"/>
                <w:szCs w:val="19"/>
              </w:rPr>
              <w:t xml:space="preserve">当期に損失を集中させ翌期以降の利益を相対的に改善させる</w:t>
            </w:r>
          </w:p>
        </w:tc>
      </w:tr>
      <w:tr>
        <w:trPr>
          <w:cantSplit/>
        </w:trPr>
        <w:tc>
          <w:tcPr>
            <w:tcW w:type="dxa" w:w="3000"/>
            <w:tcMar>
              <w:top w:type="dxa" w:w="60"/>
              <w:left w:type="dxa" w:w="100"/>
              <w:bottom w:type="dxa" w:w="60"/>
              <w:right w:type="dxa" w:w="100"/>
            </w:tcMar>
          </w:tcPr>
          <w:p>
            <w:r>
              <w:rPr>
                <w:rFonts w:ascii="Yu Mincho" w:cs="Yu Mincho" w:eastAsia="Yu Mincho" w:hAnsi="Yu Mincho"/>
                <w:sz w:val="19"/>
                <w:szCs w:val="19"/>
              </w:rPr>
              <w:t xml:space="preserve">利益平準化（インカム・スムージング）</w:t>
            </w:r>
          </w:p>
        </w:tc>
        <w:tc>
          <w:tcPr>
            <w:tcW w:type="dxa" w:w="6000"/>
            <w:tcMar>
              <w:top w:type="dxa" w:w="60"/>
              <w:left w:type="dxa" w:w="100"/>
              <w:bottom w:type="dxa" w:w="60"/>
              <w:right w:type="dxa" w:w="100"/>
            </w:tcMar>
          </w:tcPr>
          <w:p>
            <w:r>
              <w:rPr>
                <w:rFonts w:ascii="Yu Mincho" w:cs="Yu Mincho" w:eastAsia="Yu Mincho" w:hAnsi="Yu Mincho"/>
                <w:sz w:val="19"/>
                <w:szCs w:val="19"/>
              </w:rPr>
              <w:t xml:space="preserve">期間を通じて利益の変動幅を小さく見せる</w:t>
            </w:r>
          </w:p>
        </w:tc>
      </w:tr>
    </w:tbl>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800"/>
        <w:gridCol w:w="7200"/>
      </w:tblGrid>
      <w:tr>
        <w:trPr>
          <w:tblHeader/>
        </w:trPr>
        <w:tc>
          <w:tcPr>
            <w:tcW w:type="dxa" w:w="1800"/>
            <w:shd w:fill="DDE6F0" w:val="clear"/>
            <w:tcMar>
              <w:top w:type="dxa" w:w="60"/>
              <w:left w:type="dxa" w:w="100"/>
              <w:bottom w:type="dxa" w:w="60"/>
              <w:right w:type="dxa" w:w="100"/>
            </w:tcMar>
          </w:tcPr>
          <w:p>
            <w:r>
              <w:rPr>
                <w:rFonts w:ascii="Yu Gothic" w:cs="Yu Gothic" w:eastAsia="Yu Gothic" w:hAnsi="Yu Gothic"/>
                <w:b/>
                <w:bCs/>
                <w:sz w:val="19"/>
                <w:szCs w:val="19"/>
              </w:rPr>
              <w:t xml:space="preserve">利益調整の動機（2系統）</w:t>
            </w:r>
          </w:p>
        </w:tc>
        <w:tc>
          <w:tcPr>
            <w:tcW w:type="dxa" w:w="7200"/>
            <w:shd w:fill="DDE6F0" w:val="clear"/>
            <w:tcMar>
              <w:top w:type="dxa" w:w="60"/>
              <w:left w:type="dxa" w:w="100"/>
              <w:bottom w:type="dxa" w:w="60"/>
              <w:right w:type="dxa" w:w="100"/>
            </w:tcMar>
          </w:tcPr>
          <w:p>
            <w:r>
              <w:rPr>
                <w:rFonts w:ascii="Yu Gothic" w:cs="Yu Gothic" w:eastAsia="Yu Gothic" w:hAnsi="Yu Gothic"/>
                <w:b/>
                <w:bCs/>
                <w:sz w:val="19"/>
                <w:szCs w:val="19"/>
              </w:rPr>
              <w:t xml:space="preserve">具体例</w:t>
            </w:r>
          </w:p>
        </w:tc>
      </w:tr>
      <w:tr>
        <w:trPr>
          <w:cantSplit/>
        </w:trPr>
        <w:tc>
          <w:tcPr>
            <w:tcW w:type="dxa" w:w="1800"/>
            <w:tcMar>
              <w:top w:type="dxa" w:w="60"/>
              <w:left w:type="dxa" w:w="100"/>
              <w:bottom w:type="dxa" w:w="60"/>
              <w:right w:type="dxa" w:w="100"/>
            </w:tcMar>
          </w:tcPr>
          <w:p>
            <w:r>
              <w:rPr>
                <w:rFonts w:ascii="Yu Mincho" w:cs="Yu Mincho" w:eastAsia="Yu Mincho" w:hAnsi="Yu Mincho"/>
                <w:sz w:val="19"/>
                <w:szCs w:val="19"/>
              </w:rPr>
              <w:t xml:space="preserve">契約系（5つ）</w:t>
            </w:r>
          </w:p>
        </w:tc>
        <w:tc>
          <w:tcPr>
            <w:tcW w:type="dxa" w:w="7200"/>
            <w:tcMar>
              <w:top w:type="dxa" w:w="60"/>
              <w:left w:type="dxa" w:w="100"/>
              <w:bottom w:type="dxa" w:w="60"/>
              <w:right w:type="dxa" w:w="100"/>
            </w:tcMar>
          </w:tcPr>
          <w:p>
            <w:r>
              <w:rPr>
                <w:rFonts w:ascii="Yu Mincho" w:cs="Yu Mincho" w:eastAsia="Yu Mincho" w:hAnsi="Yu Mincho"/>
                <w:sz w:val="19"/>
                <w:szCs w:val="19"/>
              </w:rPr>
              <w:t xml:space="preserve">①ボーナス制度仮説　②債務契約仮説　③政治費用仮説　④税コスト仮説　⑤経営者交代仮説</w:t>
            </w:r>
          </w:p>
        </w:tc>
      </w:tr>
      <w:tr>
        <w:trPr>
          <w:cantSplit/>
        </w:trPr>
        <w:tc>
          <w:tcPr>
            <w:tcW w:type="dxa" w:w="1800"/>
            <w:tcMar>
              <w:top w:type="dxa" w:w="60"/>
              <w:left w:type="dxa" w:w="100"/>
              <w:bottom w:type="dxa" w:w="60"/>
              <w:right w:type="dxa" w:w="100"/>
            </w:tcMar>
          </w:tcPr>
          <w:p>
            <w:r>
              <w:rPr>
                <w:rFonts w:ascii="Yu Mincho" w:cs="Yu Mincho" w:eastAsia="Yu Mincho" w:hAnsi="Yu Mincho"/>
                <w:sz w:val="19"/>
                <w:szCs w:val="19"/>
              </w:rPr>
              <w:t xml:space="preserve">市場系（6つ）</w:t>
            </w:r>
          </w:p>
        </w:tc>
        <w:tc>
          <w:tcPr>
            <w:tcW w:type="dxa" w:w="7200"/>
            <w:tcMar>
              <w:top w:type="dxa" w:w="60"/>
              <w:left w:type="dxa" w:w="100"/>
              <w:bottom w:type="dxa" w:w="60"/>
              <w:right w:type="dxa" w:w="100"/>
            </w:tcMar>
          </w:tcPr>
          <w:p>
            <w:r>
              <w:rPr>
                <w:rFonts w:ascii="Yu Mincho" w:cs="Yu Mincho" w:eastAsia="Yu Mincho" w:hAnsi="Yu Mincho"/>
                <w:sz w:val="19"/>
                <w:szCs w:val="19"/>
              </w:rPr>
              <w:t xml:space="preserve">①IPO（新規株式公開）　②SEO（増資）　③エクイティ・インセンティブ（株価連動報酬）　④MBO　⑤M&amp;A（買収対価としての自社株評価）　⑥利益ベンチマーク仮説（アナリスト予想・前期実績・ゼロ利益の達成／回避）</w:t>
            </w:r>
          </w:p>
        </w:tc>
      </w:tr>
    </w:tbl>
    <w:p>
      <w:pPr>
        <w:spacing w:after="100"/>
      </w:pPr>
    </w:p>
    <w:p>
      <w:pPr>
        <w:pStyle w:val="Heading2"/>
        <w:spacing w:after="160" w:before="360"/>
      </w:pPr>
      <w:r>
        <w:t xml:space="preserve">裁量的発生高の検出モデル・決定要因</w:t>
      </w:r>
    </w:p>
    <w:p>
      <w:pPr>
        <w:pStyle w:val="ListParagraph"/>
        <w:numPr>
          <w:ilvl w:val="0"/>
          <w:numId w:val="2"/>
        </w:numPr>
        <w:spacing w:after="80" w:line="300"/>
      </w:pPr>
      <w:r>
        <w:rPr>
          <w:rFonts w:ascii="Yu Mincho" w:cs="Yu Mincho" w:eastAsia="Yu Mincho" w:hAnsi="Yu Mincho"/>
          <w:sz w:val="21"/>
          <w:szCs w:val="21"/>
        </w:rPr>
        <w:t xml:space="preserve">Jonesモデル（Jones 1991）：総発生高を売上高の変化額と有形固定資産額で回帰し、正常発生高と裁量的発生高（残差）に分解する検出モデル。</w:t>
      </w:r>
    </w:p>
    <w:p>
      <w:pPr>
        <w:pStyle w:val="ListParagraph"/>
        <w:numPr>
          <w:ilvl w:val="0"/>
          <w:numId w:val="2"/>
        </w:numPr>
        <w:spacing w:after="80" w:line="300"/>
      </w:pPr>
      <w:r>
        <w:rPr>
          <w:rFonts w:ascii="Yu Mincho" w:cs="Yu Mincho" w:eastAsia="Yu Mincho" w:hAnsi="Yu Mincho"/>
          <w:sz w:val="21"/>
          <w:szCs w:val="21"/>
        </w:rPr>
        <w:t xml:space="preserve">修正Jonesモデル（Dechow, Sloan and Sweeney 1995）：Jonesモデルの売上高変化額から売上債権の変化額を差し引いて調整し、売上高自体を通じた利益調整（架空売上等）の影響を除去した改良版。</w:t>
      </w:r>
    </w:p>
    <w:p>
      <w:pPr>
        <w:pStyle w:val="ListParagraph"/>
        <w:numPr>
          <w:ilvl w:val="0"/>
          <w:numId w:val="2"/>
        </w:numPr>
        <w:spacing w:after="80" w:line="300"/>
      </w:pPr>
      <w:r>
        <w:rPr>
          <w:rFonts w:ascii="Yu Mincho" w:cs="Yu Mincho" w:eastAsia="Yu Mincho" w:hAnsi="Yu Mincho"/>
          <w:sz w:val="21"/>
          <w:szCs w:val="21"/>
        </w:rPr>
        <w:t xml:space="preserve">利益調整を抑制する決定要因：Klein(2002)＝社外取締役の比率が高い取締役会・監査委員会ほど裁量的発生高が小さい。Xie, Davidson and DaDalt(2003)＝財務的専門性を持つ監査委員会メンバーの存在が裁量的発生高を抑制する。SOX法（2002年）404条＝内部統制報告の義務化、407条＝監査委員会の財務専門家の開示義務化。Cohen, Dey and Lys(2008)＝SOX法施行後、企業は検出されやすい会計的裁量（アクルーアル操作）から、検出されにくい実体的裁量（研究開発費や広告費の削減等、実際の事業活動を通じた調整）へシフトしたことを示した。</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cs="Yu Mincho" w:eastAsia="Yu Mincho" w:hAnsi="Yu Mincho"/>
        <w:sz w:val="18"/>
        <w:szCs w:val="18"/>
      </w:rPr>
      <w:fldChar w:fldCharType="begin"/>
      <w:instrText xml:space="preserve">PAGE</w:instrText>
      <w:fldChar w:fldCharType="separate"/>
      <w:fldChar w:fldCharType="end"/>
    </w:r>
    <w:r>
      <w:rPr>
        <w:rFonts w:ascii="Yu Mincho" w:cs="Yu Mincho" w:eastAsia="Yu Mincho" w:hAnsi="Yu Mincho"/>
        <w:sz w:val="18"/>
        <w:szCs w:val="18"/>
      </w:rPr>
      <w:t xml:space="preserve"> / </w:t>
    </w:r>
    <w:r>
      <w:rPr>
        <w:rFonts w:ascii="Yu Mincho" w:cs="Yu Mincho" w:eastAsia="Yu Mincho" w:hAnsi="Yu Mincho"/>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Mincho" w:cs="Yu Mincho" w:eastAsia="Yu Mincho" w:hAnsi="Yu Mincho"/>
        <w:color w:val="888888"/>
        <w:sz w:val="16"/>
        <w:szCs w:val="16"/>
      </w:rPr>
      <w:t xml:space="preserve">経営分析Ⅱ　暗記事項まとめ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40" w:before="480"/>
    </w:pPr>
    <w:rPr>
      <w:rFonts w:ascii="Yu Gothic" w:cs="Yu Gothic" w:eastAsia="Yu Gothic" w:hAnsi="Yu Gothic"/>
      <w:b/>
      <w:bCs/>
      <w:color w:val="1F3864"/>
      <w:sz w:val="32"/>
      <w:szCs w:val="32"/>
    </w:rPr>
  </w:style>
  <w:style w:type="paragraph" w:styleId="Heading2">
    <w:name w:val="Heading 2"/>
    <w:basedOn w:val="Normal"/>
    <w:next w:val="Normal"/>
    <w:qFormat/>
    <w:pPr>
      <w:spacing w:after="160" w:before="360"/>
    </w:pPr>
    <w:rPr>
      <w:rFonts w:ascii="Yu Gothic" w:cs="Yu Gothic" w:eastAsia="Yu Gothic" w:hAnsi="Yu Gothic"/>
      <w:b/>
      <w:bCs/>
      <w:color w:val="2E5395"/>
      <w:sz w:val="26"/>
      <w:szCs w:val="26"/>
    </w:rPr>
  </w:style>
  <w:style w:type="paragraph" w:styleId="Heading3">
    <w:name w:val="Heading 3"/>
    <w:basedOn w:val="Normal"/>
    <w:next w:val="Normal"/>
    <w:qFormat/>
    <w:pPr>
      <w:spacing w:after="120" w:before="240"/>
    </w:pPr>
    <w:rPr>
      <w:rFonts w:ascii="Yu Gothic" w:cs="Yu Gothic" w:eastAsia="Yu Gothic" w:hAnsi="Yu Gothic"/>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経営分析Ⅱ 暗記事項まとめ</dc:title>
  <dc:creator>Study Cycle Manager</dc:creator>
  <cp:lastModifiedBy>Un-named</cp:lastModifiedBy>
  <cp:revision>1</cp:revision>
  <dcterms:created xsi:type="dcterms:W3CDTF">2026-07-23T17:47:00.433Z</dcterms:created>
  <dcterms:modified xsi:type="dcterms:W3CDTF">2026-07-23T17:47:00.433Z</dcterms:modified>
</cp:coreProperties>
</file>

<file path=docProps/custom.xml><?xml version="1.0" encoding="utf-8"?>
<Properties xmlns="http://schemas.openxmlformats.org/officeDocument/2006/custom-properties" xmlns:vt="http://schemas.openxmlformats.org/officeDocument/2006/docPropsVTypes"/>
</file>