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rFonts w:ascii="Yu Gothic" w:cs="Yu Gothic" w:eastAsia="Yu Gothic" w:hAnsi="Yu Gothic"/>
          <w:b/>
          <w:bCs/>
          <w:sz w:val="44"/>
          <w:szCs w:val="44"/>
        </w:rPr>
        <w:t xml:space="preserve">経営分析Ⅱ　過去問レジュメ</w:t>
      </w:r>
    </w:p>
    <w:p>
      <w:pPr>
        <w:spacing w:after="800"/>
        <w:jc w:val="center"/>
      </w:pPr>
      <w:r>
        <w:rPr>
          <w:rFonts w:ascii="Yu Gothic" w:cs="Yu Gothic" w:eastAsia="Yu Gothic" w:hAnsi="Yu Gothic"/>
          <w:sz w:val="28"/>
          <w:szCs w:val="28"/>
        </w:rPr>
        <w:t xml:space="preserve">頻出論点・解答例・解答のポイント編</w:t>
      </w:r>
    </w:p>
    <w:p>
      <w:pPr>
        <w:spacing w:after="120"/>
        <w:jc w:val="center"/>
      </w:pPr>
      <w:r>
        <w:rPr>
          <w:rFonts w:ascii="Yu Mincho" w:cs="Yu Mincho" w:eastAsia="Yu Mincho" w:hAnsi="Yu Mincho"/>
          <w:sz w:val="22"/>
          <w:szCs w:val="22"/>
        </w:rPr>
        <w:t xml:space="preserve">原講義：首藤昭信（東京大学大学院経済学研究科・経済学部）</w:t>
      </w:r>
    </w:p>
    <w:p>
      <w:pPr>
        <w:spacing w:after="120"/>
        <w:jc w:val="center"/>
      </w:pPr>
      <w:r>
        <w:rPr>
          <w:rFonts w:ascii="Yu Mincho" w:cs="Yu Mincho" w:eastAsia="Yu Mincho" w:hAnsi="Yu Mincho"/>
          <w:sz w:val="22"/>
          <w:szCs w:val="22"/>
        </w:rPr>
        <w:t xml:space="preserve">対象：平成28・29・30年度、令和元年度、A2ターム問題、2021・2022年度の定期試験問題（全7回・23設問）</w:t>
      </w:r>
    </w:p>
    <w:p>
      <w:pPr>
        <w:spacing w:after="60"/>
        <w:jc w:val="center"/>
      </w:pPr>
      <w:r>
        <w:rPr>
          <w:rFonts w:ascii="Yu Mincho" w:cs="Yu Mincho" w:eastAsia="Yu Mincho" w:hAnsi="Yu Mincho"/>
          <w:i/>
          <w:iCs/>
          <w:sz w:val="20"/>
          <w:szCs w:val="20"/>
        </w:rPr>
        <w:t xml:space="preserve">実質的に同一の論点を問う設問は1つに統合し、講義レジュメ（再構成版）と同じ章立て（序章＋第1〜6章）の順に配置した。各エントリに問題文・解答例・解答のポイント/根拠を付す。</w:t>
      </w:r>
    </w:p>
    <w:p>
      <w:pPr>
        <w:spacing w:after="2400"/>
        <w:jc w:val="center"/>
      </w:pPr>
      <w:r>
        <w:rPr>
          <w:rFonts w:ascii="Yu Mincho" w:cs="Yu Mincho" w:eastAsia="Yu Mincho" w:hAnsi="Yu Mincho"/>
          <w:i/>
          <w:iCs/>
          <w:sz w:val="20"/>
          <w:szCs w:val="20"/>
        </w:rPr>
        <w:t xml:space="preserve">過去問で未出題の重要論点は「予想問題」として10問追加し、同様の形式で解答例を付した。解答例は実際の試験でA4手書き1問分（目安400字前後）で書ける分量を想定した実戦的なものである。</w:t>
      </w:r>
    </w:p>
    <w:p>
      <w:r>
        <w:br w:type="page"/>
      </w:r>
    </w:p>
    <w:p>
      <w:pPr>
        <w:pStyle w:val="Heading1"/>
        <w:spacing w:after="240"/>
      </w:pPr>
      <w:r>
        <w:t xml:space="preserve">目次</w:t>
      </w:r>
    </w:p>
    <w:p>
      <w:pPr>
        <w:spacing w:after="160"/>
      </w:pPr>
      <w:r>
        <w:rPr>
          <w:rFonts w:ascii="Yu Gothic" w:cs="Yu Gothic" w:eastAsia="Yu Gothic" w:hAnsi="Yu Gothic"/>
          <w:sz w:val="24"/>
          <w:szCs w:val="24"/>
        </w:rPr>
        <w:t xml:space="preserve">頻出論点サマリー</w:t>
      </w:r>
    </w:p>
    <w:p>
      <w:pPr>
        <w:spacing w:after="160"/>
      </w:pPr>
      <w:r>
        <w:rPr>
          <w:rFonts w:ascii="Yu Gothic" w:cs="Yu Gothic" w:eastAsia="Yu Gothic" w:hAnsi="Yu Gothic"/>
          <w:sz w:val="24"/>
          <w:szCs w:val="24"/>
        </w:rPr>
        <w:t xml:space="preserve">序章　会計情報の機能に関する設問（2問＋予想1問）</w:t>
      </w:r>
    </w:p>
    <w:p>
      <w:pPr>
        <w:spacing w:after="160"/>
      </w:pPr>
      <w:r>
        <w:rPr>
          <w:rFonts w:ascii="Yu Gothic" w:cs="Yu Gothic" w:eastAsia="Yu Gothic" w:hAnsi="Yu Gothic"/>
          <w:sz w:val="24"/>
          <w:szCs w:val="24"/>
        </w:rPr>
        <w:t xml:space="preserve">第1章　報酬契約に関する設問（3問＋予想1問）</w:t>
      </w:r>
    </w:p>
    <w:p>
      <w:pPr>
        <w:spacing w:after="160"/>
      </w:pPr>
      <w:r>
        <w:rPr>
          <w:rFonts w:ascii="Yu Gothic" w:cs="Yu Gothic" w:eastAsia="Yu Gothic" w:hAnsi="Yu Gothic"/>
          <w:sz w:val="24"/>
          <w:szCs w:val="24"/>
        </w:rPr>
        <w:t xml:space="preserve">第2章　債務契約に関する設問（3問＋予想2問）</w:t>
      </w:r>
    </w:p>
    <w:p>
      <w:pPr>
        <w:spacing w:after="160"/>
      </w:pPr>
      <w:r>
        <w:rPr>
          <w:rFonts w:ascii="Yu Gothic" w:cs="Yu Gothic" w:eastAsia="Yu Gothic" w:hAnsi="Yu Gothic"/>
          <w:sz w:val="24"/>
          <w:szCs w:val="24"/>
        </w:rPr>
        <w:t xml:space="preserve">第3章　政府契約に関する設問（3問＋予想1問）</w:t>
      </w:r>
    </w:p>
    <w:p>
      <w:pPr>
        <w:spacing w:after="160"/>
      </w:pPr>
      <w:r>
        <w:rPr>
          <w:rFonts w:ascii="Yu Gothic" w:cs="Yu Gothic" w:eastAsia="Yu Gothic" w:hAnsi="Yu Gothic"/>
          <w:sz w:val="24"/>
          <w:szCs w:val="24"/>
        </w:rPr>
        <w:t xml:space="preserve">第4章　株式市場に関する設問（2問＋予想2問）</w:t>
      </w:r>
    </w:p>
    <w:p>
      <w:pPr>
        <w:spacing w:after="160"/>
      </w:pPr>
      <w:r>
        <w:rPr>
          <w:rFonts w:ascii="Yu Gothic" w:cs="Yu Gothic" w:eastAsia="Yu Gothic" w:hAnsi="Yu Gothic"/>
          <w:sz w:val="24"/>
          <w:szCs w:val="24"/>
        </w:rPr>
        <w:t xml:space="preserve">第5章　IRに関する設問（1問＋予想1問）</w:t>
      </w:r>
    </w:p>
    <w:p>
      <w:pPr>
        <w:spacing w:after="160"/>
      </w:pPr>
      <w:r>
        <w:rPr>
          <w:rFonts w:ascii="Yu Gothic" w:cs="Yu Gothic" w:eastAsia="Yu Gothic" w:hAnsi="Yu Gothic"/>
          <w:sz w:val="24"/>
          <w:szCs w:val="24"/>
        </w:rPr>
        <w:t xml:space="preserve">第6章　利益調整に関する設問（5問＋予想2問）</w:t>
      </w:r>
    </w:p>
    <w:p>
      <w:pPr>
        <w:spacing w:before="200"/>
      </w:pPr>
      <w:r>
        <w:rPr>
          <w:rFonts w:ascii="Yu Mincho" w:cs="Yu Mincho" w:eastAsia="Yu Mincho" w:hAnsi="Yu Mincho"/>
          <w:i/>
          <w:iCs/>
          <w:color w:val="888888"/>
          <w:sz w:val="18"/>
          <w:szCs w:val="18"/>
        </w:rPr>
        <w:t xml:space="preserve">※ページ番号はPDFビューアの検索機能、または各見出しへのしおり（ブックマーク）機能をご利用ください。</w:t>
      </w:r>
    </w:p>
    <w:p>
      <w:r>
        <w:br w:type="page"/>
      </w:r>
    </w:p>
    <w:p>
      <w:pPr>
        <w:pStyle w:val="Heading1"/>
        <w:pageBreakBefore/>
        <w:spacing w:after="240" w:before="480"/>
      </w:pPr>
      <w:r>
        <w:t xml:space="preserve">頻出論点サマリー</w:t>
      </w:r>
    </w:p>
    <w:p>
      <w:pPr>
        <w:spacing w:after="140" w:line="320"/>
        <w:jc w:val="left"/>
      </w:pPr>
      <w:r>
        <w:rPr>
          <w:rFonts w:ascii="Yu Mincho" w:cs="Yu Mincho" w:eastAsia="Yu Mincho" w:hAnsi="Yu Mincho"/>
          <w:sz w:val="21"/>
          <w:szCs w:val="21"/>
        </w:rPr>
        <w:t xml:space="preserve">平成28・29・30年度、令和元年度、A2ターム問題（年度不明）、2021年度、2022年度の全7回・23設問を分析対象とした。実質的に同一の論点を問う設問は1つに統合し、最終的に19件の過去問エントリに整理した。あわせて、過去問で未出題だが講義レジュメの章立て上重要な10論点を「予想問題」として作成し、全29エントリを講義レジュメと同じ章立て（序章＋第1〜6章）の順に配置している。</w:t>
      </w:r>
    </w:p>
    <w:p>
      <w:pPr>
        <w:pStyle w:val="Heading2"/>
        <w:spacing w:after="160" w:before="360"/>
      </w:pPr>
      <w:r>
        <w:t xml:space="preserve">頻出論点トップ3</w:t>
      </w:r>
    </w:p>
    <w:tbl>
      <w:tblPr>
        <w:tblW w:type="pct" w:w="100%"/>
        <w:tblBorders>
          <w:top w:val="none"/>
          <w:left w:val="none"/>
          <w:bottom w:val="none"/>
          <w:right w:val="none"/>
          <w:insideH w:val="none"/>
          <w:insideV w:val="none"/>
        </w:tblBorders>
      </w:tblPr>
      <w:tblGrid>
        <w:gridCol w:w="2600"/>
        <w:gridCol w:w="5400"/>
        <w:gridCol w:w="1200"/>
      </w:tblGrid>
      <w:tr>
        <w:tc>
          <w:tcPr>
            <w:tcW w:type="dxa" w:w="2600"/>
            <w:tcMar>
              <w:top w:type="dxa" w:w="40"/>
              <w:left w:type="dxa" w:w="60"/>
              <w:bottom w:type="dxa" w:w="40"/>
              <w:right w:type="dxa" w:w="60"/>
            </w:tcMar>
          </w:tcPr>
          <w:p>
            <w:r>
              <w:rPr>
                <w:rFonts w:ascii="Yu Mincho" w:cs="Yu Mincho" w:eastAsia="Yu Mincho" w:hAnsi="Yu Mincho"/>
                <w:sz w:val="18"/>
                <w:szCs w:val="18"/>
              </w:rPr>
              <w:t xml:space="preserve">①LIFO税コスト仮説＋市場効率性</w:t>
            </w:r>
          </w:p>
        </w:tc>
        <w:tc>
          <w:tcPr>
            <w:tcW w:type="dxa" w:w="5400"/>
            <w:tcMar>
              <w:top w:type="dxa" w:w="60"/>
              <w:left w:type="dxa" w:w="0"/>
              <w:bottom w:type="dxa" w:w="60"/>
              <w:right w:type="dxa" w:w="0"/>
            </w:tcMar>
          </w:tcPr>
          <w:tbl>
            <w:tblPr>
              <w:tblW w:type="dxa" w:w="5400"/>
              <w:tblBorders>
                <w:top w:val="none"/>
                <w:left w:val="none"/>
                <w:bottom w:val="none"/>
                <w:right w:val="none"/>
                <w:insideH w:val="none"/>
                <w:insideV w:val="none"/>
              </w:tblBorders>
            </w:tblPr>
            <w:tblGrid>
              <w:gridCol w:w="5400"/>
            </w:tblGrid>
            <w:tr>
              <w:tc>
                <w:tcPr>
                  <w:tcW w:type="dxa" w:w="5400"/>
                  <w:shd w:fill="2E5395" w:val="clear"/>
                  <w:tcMar>
                    <w:top w:type="dxa" w:w="40"/>
                    <w:left w:type="dxa" w:w="0"/>
                    <w:bottom w:type="dxa" w:w="40"/>
                    <w:right w:type="dxa" w:w="0"/>
                  </w:tcMar>
                </w:tcPr>
                <w:p/>
              </w:tc>
            </w:tr>
          </w:tbl>
          <w:p/>
        </w:tc>
        <w:tc>
          <w:tcPr>
            <w:tcW w:type="dxa" w:w="1200"/>
            <w:tcMar>
              <w:top w:type="dxa" w:w="40"/>
              <w:left w:type="dxa" w:w="60"/>
              <w:bottom w:type="dxa" w:w="40"/>
              <w:right w:type="dxa" w:w="0"/>
            </w:tcMar>
          </w:tcPr>
          <w:p>
            <w:r>
              <w:rPr>
                <w:rFonts w:ascii="Yu Gothic" w:cs="Yu Gothic" w:eastAsia="Yu Gothic" w:hAnsi="Yu Gothic"/>
                <w:b/>
                <w:bCs/>
                <w:sz w:val="18"/>
                <w:szCs w:val="18"/>
              </w:rPr>
              <w:t xml:space="preserve">3回（最頻出）</w:t>
            </w:r>
          </w:p>
        </w:tc>
      </w:tr>
      <w:tr>
        <w:tc>
          <w:tcPr>
            <w:tcW w:type="dxa" w:w="2600"/>
            <w:tcMar>
              <w:top w:type="dxa" w:w="40"/>
              <w:left w:type="dxa" w:w="60"/>
              <w:bottom w:type="dxa" w:w="40"/>
              <w:right w:type="dxa" w:w="60"/>
            </w:tcMar>
          </w:tcPr>
          <w:p>
            <w:r>
              <w:rPr>
                <w:rFonts w:ascii="Yu Mincho" w:cs="Yu Mincho" w:eastAsia="Yu Mincho" w:hAnsi="Yu Mincho"/>
                <w:sz w:val="18"/>
                <w:szCs w:val="18"/>
              </w:rPr>
              <w:t xml:space="preserve">②近視眼的意思決定問題の緩和策</w:t>
            </w:r>
          </w:p>
        </w:tc>
        <w:tc>
          <w:tcPr>
            <w:tcW w:type="dxa" w:w="5400"/>
            <w:tcMar>
              <w:top w:type="dxa" w:w="60"/>
              <w:left w:type="dxa" w:w="0"/>
              <w:bottom w:type="dxa" w:w="60"/>
              <w:right w:type="dxa" w:w="0"/>
            </w:tcMar>
          </w:tcPr>
          <w:tbl>
            <w:tblPr>
              <w:tblW w:type="dxa" w:w="5400"/>
              <w:tblBorders>
                <w:top w:val="none"/>
                <w:left w:val="none"/>
                <w:bottom w:val="none"/>
                <w:right w:val="none"/>
                <w:insideH w:val="none"/>
                <w:insideV w:val="none"/>
              </w:tblBorders>
            </w:tblPr>
            <w:tblGrid>
              <w:gridCol w:w="3600"/>
              <w:gridCol w:w="1800"/>
            </w:tblGrid>
            <w:tr>
              <w:tc>
                <w:tcPr>
                  <w:tcW w:type="dxa" w:w="3600"/>
                  <w:shd w:fill="5B7FBB" w:val="clear"/>
                  <w:tcMar>
                    <w:top w:type="dxa" w:w="40"/>
                    <w:left w:type="dxa" w:w="0"/>
                    <w:bottom w:type="dxa" w:w="40"/>
                    <w:right w:type="dxa" w:w="0"/>
                  </w:tcMar>
                </w:tcPr>
                <w:p/>
              </w:tc>
              <w:tc>
                <w:tcPr>
                  <w:tcW w:type="dxa" w:w="1800"/>
                  <w:shd w:fill="EAEAEA" w:val="clear"/>
                  <w:tcMar>
                    <w:top w:type="dxa" w:w="40"/>
                    <w:left w:type="dxa" w:w="0"/>
                    <w:bottom w:type="dxa" w:w="40"/>
                    <w:right w:type="dxa" w:w="0"/>
                  </w:tcMar>
                </w:tcPr>
                <w:p/>
              </w:tc>
            </w:tr>
          </w:tbl>
          <w:p/>
        </w:tc>
        <w:tc>
          <w:tcPr>
            <w:tcW w:type="dxa" w:w="1200"/>
            <w:tcMar>
              <w:top w:type="dxa" w:w="40"/>
              <w:left w:type="dxa" w:w="60"/>
              <w:bottom w:type="dxa" w:w="40"/>
              <w:right w:type="dxa" w:w="0"/>
            </w:tcMar>
          </w:tcPr>
          <w:p>
            <w:r>
              <w:rPr>
                <w:rFonts w:ascii="Yu Gothic" w:cs="Yu Gothic" w:eastAsia="Yu Gothic" w:hAnsi="Yu Gothic"/>
                <w:b/>
                <w:bCs/>
                <w:sz w:val="18"/>
                <w:szCs w:val="18"/>
              </w:rPr>
              <w:t xml:space="preserve">2回</w:t>
            </w:r>
          </w:p>
        </w:tc>
      </w:tr>
      <w:tr>
        <w:tc>
          <w:tcPr>
            <w:tcW w:type="dxa" w:w="2600"/>
            <w:tcMar>
              <w:top w:type="dxa" w:w="40"/>
              <w:left w:type="dxa" w:w="60"/>
              <w:bottom w:type="dxa" w:w="40"/>
              <w:right w:type="dxa" w:w="60"/>
            </w:tcMar>
          </w:tcPr>
          <w:p>
            <w:r>
              <w:rPr>
                <w:rFonts w:ascii="Yu Mincho" w:cs="Yu Mincho" w:eastAsia="Yu Mincho" w:hAnsi="Yu Mincho"/>
                <w:sz w:val="18"/>
                <w:szCs w:val="18"/>
              </w:rPr>
              <w:t xml:space="preserve">③情報非対称性と資本コスト(Easley &amp; O'Hara)</w:t>
            </w:r>
          </w:p>
        </w:tc>
        <w:tc>
          <w:tcPr>
            <w:tcW w:type="dxa" w:w="5400"/>
            <w:tcMar>
              <w:top w:type="dxa" w:w="60"/>
              <w:left w:type="dxa" w:w="0"/>
              <w:bottom w:type="dxa" w:w="60"/>
              <w:right w:type="dxa" w:w="0"/>
            </w:tcMar>
          </w:tcPr>
          <w:tbl>
            <w:tblPr>
              <w:tblW w:type="dxa" w:w="5400"/>
              <w:tblBorders>
                <w:top w:val="none"/>
                <w:left w:val="none"/>
                <w:bottom w:val="none"/>
                <w:right w:val="none"/>
                <w:insideH w:val="none"/>
                <w:insideV w:val="none"/>
              </w:tblBorders>
            </w:tblPr>
            <w:tblGrid>
              <w:gridCol w:w="3600"/>
              <w:gridCol w:w="1800"/>
            </w:tblGrid>
            <w:tr>
              <w:tc>
                <w:tcPr>
                  <w:tcW w:type="dxa" w:w="3600"/>
                  <w:shd w:fill="5B7FBB" w:val="clear"/>
                  <w:tcMar>
                    <w:top w:type="dxa" w:w="40"/>
                    <w:left w:type="dxa" w:w="0"/>
                    <w:bottom w:type="dxa" w:w="40"/>
                    <w:right w:type="dxa" w:w="0"/>
                  </w:tcMar>
                </w:tcPr>
                <w:p/>
              </w:tc>
              <w:tc>
                <w:tcPr>
                  <w:tcW w:type="dxa" w:w="1800"/>
                  <w:shd w:fill="EAEAEA" w:val="clear"/>
                  <w:tcMar>
                    <w:top w:type="dxa" w:w="40"/>
                    <w:left w:type="dxa" w:w="0"/>
                    <w:bottom w:type="dxa" w:w="40"/>
                    <w:right w:type="dxa" w:w="0"/>
                  </w:tcMar>
                </w:tcPr>
                <w:p/>
              </w:tc>
            </w:tr>
          </w:tbl>
          <w:p/>
        </w:tc>
        <w:tc>
          <w:tcPr>
            <w:tcW w:type="dxa" w:w="1200"/>
            <w:tcMar>
              <w:top w:type="dxa" w:w="40"/>
              <w:left w:type="dxa" w:w="60"/>
              <w:bottom w:type="dxa" w:w="40"/>
              <w:right w:type="dxa" w:w="0"/>
            </w:tcMar>
          </w:tcPr>
          <w:p>
            <w:r>
              <w:rPr>
                <w:rFonts w:ascii="Yu Gothic" w:cs="Yu Gothic" w:eastAsia="Yu Gothic" w:hAnsi="Yu Gothic"/>
                <w:b/>
                <w:bCs/>
                <w:sz w:val="18"/>
                <w:szCs w:val="18"/>
              </w:rPr>
              <w:t xml:space="preserve">2回</w:t>
            </w:r>
          </w:p>
        </w:tc>
      </w:tr>
    </w:tbl>
    <w:p>
      <w:pPr>
        <w:spacing w:after="10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読み方</w:t>
            </w:r>
          </w:p>
          <w:p>
            <w:pPr>
              <w:spacing w:line="300"/>
            </w:pPr>
            <w:r>
              <w:rPr>
                <w:rFonts w:ascii="Yu Mincho" w:cs="Yu Mincho" w:eastAsia="Yu Mincho" w:hAnsi="Yu Mincho"/>
                <w:sz w:val="20"/>
                <w:szCs w:val="20"/>
              </w:rPr>
              <w:t xml:space="preserve">①はR1年度問2・A2ターム問題問4・2021年度問3の3設問が実質的に同一論点。②はR1年度問1・2021年度問2の2設問。③はR1年度問3・2022年度問3の2設問。いずれも第6章（利益調整）または第1章（報酬契約）に集中しており、この2章は特に重点的に復習すべきである。</w:t>
            </w:r>
          </w:p>
        </w:tc>
      </w:tr>
    </w:tbl>
    <w:p>
      <w:pPr>
        <w:pStyle w:val="Heading2"/>
        <w:spacing w:after="160" w:before="360"/>
      </w:pPr>
      <w:r>
        <w:t xml:space="preserve">章別の出題状況</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000"/>
        <w:gridCol w:w="1800"/>
        <w:gridCol w:w="1600"/>
      </w:tblGrid>
      <w:tr>
        <w:trPr>
          <w:tblHeader/>
        </w:trPr>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章</w:t>
            </w:r>
          </w:p>
        </w:tc>
        <w:tc>
          <w:tcPr>
            <w:tcW w:type="dxa" w:w="3000"/>
            <w:shd w:fill="DDE6F0" w:val="clear"/>
            <w:tcMar>
              <w:top w:type="dxa" w:w="60"/>
              <w:left w:type="dxa" w:w="100"/>
              <w:bottom w:type="dxa" w:w="60"/>
              <w:right w:type="dxa" w:w="100"/>
            </w:tcMar>
          </w:tcPr>
          <w:p>
            <w:r>
              <w:rPr>
                <w:rFonts w:ascii="Yu Gothic" w:cs="Yu Gothic" w:eastAsia="Yu Gothic" w:hAnsi="Yu Gothic"/>
                <w:b/>
                <w:bCs/>
                <w:sz w:val="19"/>
                <w:szCs w:val="19"/>
              </w:rPr>
              <w:t xml:space="preserve">過去問エントリ数</w:t>
            </w:r>
          </w:p>
        </w:tc>
        <w:tc>
          <w:tcPr>
            <w:tcW w:type="dxa" w:w="1800"/>
            <w:shd w:fill="DDE6F0" w:val="clear"/>
            <w:tcMar>
              <w:top w:type="dxa" w:w="60"/>
              <w:left w:type="dxa" w:w="100"/>
              <w:bottom w:type="dxa" w:w="60"/>
              <w:right w:type="dxa" w:w="100"/>
            </w:tcMar>
          </w:tcPr>
          <w:p>
            <w:r>
              <w:rPr>
                <w:rFonts w:ascii="Yu Gothic" w:cs="Yu Gothic" w:eastAsia="Yu Gothic" w:hAnsi="Yu Gothic"/>
                <w:b/>
                <w:bCs/>
                <w:sz w:val="19"/>
                <w:szCs w:val="19"/>
              </w:rPr>
              <w:t xml:space="preserve">予想問題数</w:t>
            </w:r>
          </w:p>
        </w:tc>
        <w:tc>
          <w:tcPr>
            <w:tcW w:type="dxa" w:w="1600"/>
            <w:shd w:fill="DDE6F0" w:val="clear"/>
            <w:tcMar>
              <w:top w:type="dxa" w:w="60"/>
              <w:left w:type="dxa" w:w="100"/>
              <w:bottom w:type="dxa" w:w="60"/>
              <w:right w:type="dxa" w:w="100"/>
            </w:tcMar>
          </w:tcPr>
          <w:p>
            <w:r>
              <w:rPr>
                <w:rFonts w:ascii="Yu Gothic" w:cs="Yu Gothic" w:eastAsia="Yu Gothic" w:hAnsi="Yu Gothic"/>
                <w:b/>
                <w:bCs/>
                <w:sz w:val="19"/>
                <w:szCs w:val="19"/>
              </w:rPr>
              <w:t xml:space="preserve">計</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序章</w:t>
            </w:r>
          </w:p>
        </w:tc>
        <w:tc>
          <w:tcPr>
            <w:tcW w:type="dxa" w:w="3000"/>
            <w:tcMar>
              <w:top w:type="dxa" w:w="60"/>
              <w:left w:type="dxa" w:w="100"/>
              <w:bottom w:type="dxa" w:w="60"/>
              <w:right w:type="dxa" w:w="100"/>
            </w:tcMar>
          </w:tcPr>
          <w:p>
            <w:r>
              <w:rPr>
                <w:rFonts w:ascii="Yu Mincho" w:cs="Yu Mincho" w:eastAsia="Yu Mincho" w:hAnsi="Yu Mincho"/>
                <w:sz w:val="19"/>
                <w:szCs w:val="19"/>
              </w:rPr>
              <w:t xml:space="preserve">2</w:t>
            </w:r>
          </w:p>
        </w:tc>
        <w:tc>
          <w:tcPr>
            <w:tcW w:type="dxa" w:w="1800"/>
            <w:tcMar>
              <w:top w:type="dxa" w:w="60"/>
              <w:left w:type="dxa" w:w="100"/>
              <w:bottom w:type="dxa" w:w="60"/>
              <w:right w:type="dxa" w:w="100"/>
            </w:tcMar>
          </w:tcPr>
          <w:p>
            <w:r>
              <w:rPr>
                <w:rFonts w:ascii="Yu Mincho" w:cs="Yu Mincho" w:eastAsia="Yu Mincho" w:hAnsi="Yu Mincho"/>
                <w:sz w:val="19"/>
                <w:szCs w:val="19"/>
              </w:rPr>
              <w:t xml:space="preserve">1</w:t>
            </w:r>
          </w:p>
        </w:tc>
        <w:tc>
          <w:tcPr>
            <w:tcW w:type="dxa" w:w="1600"/>
            <w:tcMar>
              <w:top w:type="dxa" w:w="60"/>
              <w:left w:type="dxa" w:w="100"/>
              <w:bottom w:type="dxa" w:w="60"/>
              <w:right w:type="dxa" w:w="100"/>
            </w:tcMar>
          </w:tcPr>
          <w:p>
            <w:r>
              <w:rPr>
                <w:rFonts w:ascii="Yu Mincho" w:cs="Yu Mincho" w:eastAsia="Yu Mincho" w:hAnsi="Yu Mincho"/>
                <w:sz w:val="19"/>
                <w:szCs w:val="19"/>
              </w:rPr>
              <w:t xml:space="preserve">3</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第1章 報酬契約</w:t>
            </w:r>
          </w:p>
        </w:tc>
        <w:tc>
          <w:tcPr>
            <w:tcW w:type="dxa" w:w="3000"/>
            <w:tcMar>
              <w:top w:type="dxa" w:w="60"/>
              <w:left w:type="dxa" w:w="100"/>
              <w:bottom w:type="dxa" w:w="60"/>
              <w:right w:type="dxa" w:w="100"/>
            </w:tcMar>
          </w:tcPr>
          <w:p>
            <w:r>
              <w:rPr>
                <w:rFonts w:ascii="Yu Mincho" w:cs="Yu Mincho" w:eastAsia="Yu Mincho" w:hAnsi="Yu Mincho"/>
                <w:sz w:val="19"/>
                <w:szCs w:val="19"/>
              </w:rPr>
              <w:t xml:space="preserve">3（うち統合1件＝2回出題）</w:t>
            </w:r>
          </w:p>
        </w:tc>
        <w:tc>
          <w:tcPr>
            <w:tcW w:type="dxa" w:w="1800"/>
            <w:tcMar>
              <w:top w:type="dxa" w:w="60"/>
              <w:left w:type="dxa" w:w="100"/>
              <w:bottom w:type="dxa" w:w="60"/>
              <w:right w:type="dxa" w:w="100"/>
            </w:tcMar>
          </w:tcPr>
          <w:p>
            <w:r>
              <w:rPr>
                <w:rFonts w:ascii="Yu Mincho" w:cs="Yu Mincho" w:eastAsia="Yu Mincho" w:hAnsi="Yu Mincho"/>
                <w:sz w:val="19"/>
                <w:szCs w:val="19"/>
              </w:rPr>
              <w:t xml:space="preserve">1</w:t>
            </w:r>
          </w:p>
        </w:tc>
        <w:tc>
          <w:tcPr>
            <w:tcW w:type="dxa" w:w="1600"/>
            <w:tcMar>
              <w:top w:type="dxa" w:w="60"/>
              <w:left w:type="dxa" w:w="100"/>
              <w:bottom w:type="dxa" w:w="60"/>
              <w:right w:type="dxa" w:w="100"/>
            </w:tcMar>
          </w:tcPr>
          <w:p>
            <w:r>
              <w:rPr>
                <w:rFonts w:ascii="Yu Mincho" w:cs="Yu Mincho" w:eastAsia="Yu Mincho" w:hAnsi="Yu Mincho"/>
                <w:sz w:val="19"/>
                <w:szCs w:val="19"/>
              </w:rPr>
              <w:t xml:space="preserve">4</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第2章 債務契約</w:t>
            </w:r>
          </w:p>
        </w:tc>
        <w:tc>
          <w:tcPr>
            <w:tcW w:type="dxa" w:w="3000"/>
            <w:tcMar>
              <w:top w:type="dxa" w:w="60"/>
              <w:left w:type="dxa" w:w="100"/>
              <w:bottom w:type="dxa" w:w="60"/>
              <w:right w:type="dxa" w:w="100"/>
            </w:tcMar>
          </w:tcPr>
          <w:p>
            <w:r>
              <w:rPr>
                <w:rFonts w:ascii="Yu Mincho" w:cs="Yu Mincho" w:eastAsia="Yu Mincho" w:hAnsi="Yu Mincho"/>
                <w:sz w:val="19"/>
                <w:szCs w:val="19"/>
              </w:rPr>
              <w:t xml:space="preserve">3</w:t>
            </w:r>
          </w:p>
        </w:tc>
        <w:tc>
          <w:tcPr>
            <w:tcW w:type="dxa" w:w="1800"/>
            <w:tcMar>
              <w:top w:type="dxa" w:w="60"/>
              <w:left w:type="dxa" w:w="100"/>
              <w:bottom w:type="dxa" w:w="60"/>
              <w:right w:type="dxa" w:w="100"/>
            </w:tcMar>
          </w:tcPr>
          <w:p>
            <w:r>
              <w:rPr>
                <w:rFonts w:ascii="Yu Mincho" w:cs="Yu Mincho" w:eastAsia="Yu Mincho" w:hAnsi="Yu Mincho"/>
                <w:sz w:val="19"/>
                <w:szCs w:val="19"/>
              </w:rPr>
              <w:t xml:space="preserve">2</w:t>
            </w:r>
          </w:p>
        </w:tc>
        <w:tc>
          <w:tcPr>
            <w:tcW w:type="dxa" w:w="1600"/>
            <w:tcMar>
              <w:top w:type="dxa" w:w="60"/>
              <w:left w:type="dxa" w:w="100"/>
              <w:bottom w:type="dxa" w:w="60"/>
              <w:right w:type="dxa" w:w="100"/>
            </w:tcMar>
          </w:tcPr>
          <w:p>
            <w:r>
              <w:rPr>
                <w:rFonts w:ascii="Yu Mincho" w:cs="Yu Mincho" w:eastAsia="Yu Mincho" w:hAnsi="Yu Mincho"/>
                <w:sz w:val="19"/>
                <w:szCs w:val="19"/>
              </w:rPr>
              <w:t xml:space="preserve">5</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第3章 政府契約</w:t>
            </w:r>
          </w:p>
        </w:tc>
        <w:tc>
          <w:tcPr>
            <w:tcW w:type="dxa" w:w="3000"/>
            <w:tcMar>
              <w:top w:type="dxa" w:w="60"/>
              <w:left w:type="dxa" w:w="100"/>
              <w:bottom w:type="dxa" w:w="60"/>
              <w:right w:type="dxa" w:w="100"/>
            </w:tcMar>
          </w:tcPr>
          <w:p>
            <w:r>
              <w:rPr>
                <w:rFonts w:ascii="Yu Mincho" w:cs="Yu Mincho" w:eastAsia="Yu Mincho" w:hAnsi="Yu Mincho"/>
                <w:sz w:val="19"/>
                <w:szCs w:val="19"/>
              </w:rPr>
              <w:t xml:space="preserve">3</w:t>
            </w:r>
          </w:p>
        </w:tc>
        <w:tc>
          <w:tcPr>
            <w:tcW w:type="dxa" w:w="1800"/>
            <w:tcMar>
              <w:top w:type="dxa" w:w="60"/>
              <w:left w:type="dxa" w:w="100"/>
              <w:bottom w:type="dxa" w:w="60"/>
              <w:right w:type="dxa" w:w="100"/>
            </w:tcMar>
          </w:tcPr>
          <w:p>
            <w:r>
              <w:rPr>
                <w:rFonts w:ascii="Yu Mincho" w:cs="Yu Mincho" w:eastAsia="Yu Mincho" w:hAnsi="Yu Mincho"/>
                <w:sz w:val="19"/>
                <w:szCs w:val="19"/>
              </w:rPr>
              <w:t xml:space="preserve">1</w:t>
            </w:r>
          </w:p>
        </w:tc>
        <w:tc>
          <w:tcPr>
            <w:tcW w:type="dxa" w:w="1600"/>
            <w:tcMar>
              <w:top w:type="dxa" w:w="60"/>
              <w:left w:type="dxa" w:w="100"/>
              <w:bottom w:type="dxa" w:w="60"/>
              <w:right w:type="dxa" w:w="100"/>
            </w:tcMar>
          </w:tcPr>
          <w:p>
            <w:r>
              <w:rPr>
                <w:rFonts w:ascii="Yu Mincho" w:cs="Yu Mincho" w:eastAsia="Yu Mincho" w:hAnsi="Yu Mincho"/>
                <w:sz w:val="19"/>
                <w:szCs w:val="19"/>
              </w:rPr>
              <w:t xml:space="preserve">4</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第4章 株式市場</w:t>
            </w:r>
          </w:p>
        </w:tc>
        <w:tc>
          <w:tcPr>
            <w:tcW w:type="dxa" w:w="3000"/>
            <w:tcMar>
              <w:top w:type="dxa" w:w="60"/>
              <w:left w:type="dxa" w:w="100"/>
              <w:bottom w:type="dxa" w:w="60"/>
              <w:right w:type="dxa" w:w="100"/>
            </w:tcMar>
          </w:tcPr>
          <w:p>
            <w:r>
              <w:rPr>
                <w:rFonts w:ascii="Yu Mincho" w:cs="Yu Mincho" w:eastAsia="Yu Mincho" w:hAnsi="Yu Mincho"/>
                <w:sz w:val="19"/>
                <w:szCs w:val="19"/>
              </w:rPr>
              <w:t xml:space="preserve">2</w:t>
            </w:r>
          </w:p>
        </w:tc>
        <w:tc>
          <w:tcPr>
            <w:tcW w:type="dxa" w:w="1800"/>
            <w:tcMar>
              <w:top w:type="dxa" w:w="60"/>
              <w:left w:type="dxa" w:w="100"/>
              <w:bottom w:type="dxa" w:w="60"/>
              <w:right w:type="dxa" w:w="100"/>
            </w:tcMar>
          </w:tcPr>
          <w:p>
            <w:r>
              <w:rPr>
                <w:rFonts w:ascii="Yu Mincho" w:cs="Yu Mincho" w:eastAsia="Yu Mincho" w:hAnsi="Yu Mincho"/>
                <w:sz w:val="19"/>
                <w:szCs w:val="19"/>
              </w:rPr>
              <w:t xml:space="preserve">2</w:t>
            </w:r>
          </w:p>
        </w:tc>
        <w:tc>
          <w:tcPr>
            <w:tcW w:type="dxa" w:w="1600"/>
            <w:tcMar>
              <w:top w:type="dxa" w:w="60"/>
              <w:left w:type="dxa" w:w="100"/>
              <w:bottom w:type="dxa" w:w="60"/>
              <w:right w:type="dxa" w:w="100"/>
            </w:tcMar>
          </w:tcPr>
          <w:p>
            <w:r>
              <w:rPr>
                <w:rFonts w:ascii="Yu Mincho" w:cs="Yu Mincho" w:eastAsia="Yu Mincho" w:hAnsi="Yu Mincho"/>
                <w:sz w:val="19"/>
                <w:szCs w:val="19"/>
              </w:rPr>
              <w:t xml:space="preserve">4</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第5章 IR</w:t>
            </w:r>
          </w:p>
        </w:tc>
        <w:tc>
          <w:tcPr>
            <w:tcW w:type="dxa" w:w="3000"/>
            <w:tcMar>
              <w:top w:type="dxa" w:w="60"/>
              <w:left w:type="dxa" w:w="100"/>
              <w:bottom w:type="dxa" w:w="60"/>
              <w:right w:type="dxa" w:w="100"/>
            </w:tcMar>
          </w:tcPr>
          <w:p>
            <w:r>
              <w:rPr>
                <w:rFonts w:ascii="Yu Mincho" w:cs="Yu Mincho" w:eastAsia="Yu Mincho" w:hAnsi="Yu Mincho"/>
                <w:sz w:val="19"/>
                <w:szCs w:val="19"/>
              </w:rPr>
              <w:t xml:space="preserve">1（統合＝2回出題）</w:t>
            </w:r>
          </w:p>
        </w:tc>
        <w:tc>
          <w:tcPr>
            <w:tcW w:type="dxa" w:w="1800"/>
            <w:tcMar>
              <w:top w:type="dxa" w:w="60"/>
              <w:left w:type="dxa" w:w="100"/>
              <w:bottom w:type="dxa" w:w="60"/>
              <w:right w:type="dxa" w:w="100"/>
            </w:tcMar>
          </w:tcPr>
          <w:p>
            <w:r>
              <w:rPr>
                <w:rFonts w:ascii="Yu Mincho" w:cs="Yu Mincho" w:eastAsia="Yu Mincho" w:hAnsi="Yu Mincho"/>
                <w:sz w:val="19"/>
                <w:szCs w:val="19"/>
              </w:rPr>
              <w:t xml:space="preserve">1</w:t>
            </w:r>
          </w:p>
        </w:tc>
        <w:tc>
          <w:tcPr>
            <w:tcW w:type="dxa" w:w="1600"/>
            <w:tcMar>
              <w:top w:type="dxa" w:w="60"/>
              <w:left w:type="dxa" w:w="100"/>
              <w:bottom w:type="dxa" w:w="60"/>
              <w:right w:type="dxa" w:w="100"/>
            </w:tcMar>
          </w:tcPr>
          <w:p>
            <w:r>
              <w:rPr>
                <w:rFonts w:ascii="Yu Mincho" w:cs="Yu Mincho" w:eastAsia="Yu Mincho" w:hAnsi="Yu Mincho"/>
                <w:sz w:val="19"/>
                <w:szCs w:val="19"/>
              </w:rPr>
              <w:t xml:space="preserve">2</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第6章 利益調整</w:t>
            </w:r>
          </w:p>
        </w:tc>
        <w:tc>
          <w:tcPr>
            <w:tcW w:type="dxa" w:w="3000"/>
            <w:tcMar>
              <w:top w:type="dxa" w:w="60"/>
              <w:left w:type="dxa" w:w="100"/>
              <w:bottom w:type="dxa" w:w="60"/>
              <w:right w:type="dxa" w:w="100"/>
            </w:tcMar>
          </w:tcPr>
          <w:p>
            <w:r>
              <w:rPr>
                <w:rFonts w:ascii="Yu Mincho" w:cs="Yu Mincho" w:eastAsia="Yu Mincho" w:hAnsi="Yu Mincho"/>
                <w:sz w:val="19"/>
                <w:szCs w:val="19"/>
              </w:rPr>
              <w:t xml:space="preserve">5（うち統合1件＝3回出題）</w:t>
            </w:r>
          </w:p>
        </w:tc>
        <w:tc>
          <w:tcPr>
            <w:tcW w:type="dxa" w:w="1800"/>
            <w:tcMar>
              <w:top w:type="dxa" w:w="60"/>
              <w:left w:type="dxa" w:w="100"/>
              <w:bottom w:type="dxa" w:w="60"/>
              <w:right w:type="dxa" w:w="100"/>
            </w:tcMar>
          </w:tcPr>
          <w:p>
            <w:r>
              <w:rPr>
                <w:rFonts w:ascii="Yu Mincho" w:cs="Yu Mincho" w:eastAsia="Yu Mincho" w:hAnsi="Yu Mincho"/>
                <w:sz w:val="19"/>
                <w:szCs w:val="19"/>
              </w:rPr>
              <w:t xml:space="preserve">2</w:t>
            </w:r>
          </w:p>
        </w:tc>
        <w:tc>
          <w:tcPr>
            <w:tcW w:type="dxa" w:w="1600"/>
            <w:tcMar>
              <w:top w:type="dxa" w:w="60"/>
              <w:left w:type="dxa" w:w="100"/>
              <w:bottom w:type="dxa" w:w="60"/>
              <w:right w:type="dxa" w:w="100"/>
            </w:tcMar>
          </w:tcPr>
          <w:p>
            <w:r>
              <w:rPr>
                <w:rFonts w:ascii="Yu Mincho" w:cs="Yu Mincho" w:eastAsia="Yu Mincho" w:hAnsi="Yu Mincho"/>
                <w:sz w:val="19"/>
                <w:szCs w:val="19"/>
              </w:rPr>
              <w:t xml:space="preserve">7</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合計</w:t>
            </w:r>
          </w:p>
        </w:tc>
        <w:tc>
          <w:tcPr>
            <w:tcW w:type="dxa" w:w="3000"/>
            <w:tcMar>
              <w:top w:type="dxa" w:w="60"/>
              <w:left w:type="dxa" w:w="100"/>
              <w:bottom w:type="dxa" w:w="60"/>
              <w:right w:type="dxa" w:w="100"/>
            </w:tcMar>
          </w:tcPr>
          <w:p>
            <w:r>
              <w:rPr>
                <w:rFonts w:ascii="Yu Mincho" w:cs="Yu Mincho" w:eastAsia="Yu Mincho" w:hAnsi="Yu Mincho"/>
                <w:sz w:val="19"/>
                <w:szCs w:val="19"/>
              </w:rPr>
              <w:t xml:space="preserve">19</w:t>
            </w:r>
          </w:p>
        </w:tc>
        <w:tc>
          <w:tcPr>
            <w:tcW w:type="dxa" w:w="1800"/>
            <w:tcMar>
              <w:top w:type="dxa" w:w="60"/>
              <w:left w:type="dxa" w:w="100"/>
              <w:bottom w:type="dxa" w:w="60"/>
              <w:right w:type="dxa" w:w="100"/>
            </w:tcMar>
          </w:tcPr>
          <w:p>
            <w:r>
              <w:rPr>
                <w:rFonts w:ascii="Yu Mincho" w:cs="Yu Mincho" w:eastAsia="Yu Mincho" w:hAnsi="Yu Mincho"/>
                <w:sz w:val="19"/>
                <w:szCs w:val="19"/>
              </w:rPr>
              <w:t xml:space="preserve">10</w:t>
            </w:r>
          </w:p>
        </w:tc>
        <w:tc>
          <w:tcPr>
            <w:tcW w:type="dxa" w:w="1600"/>
            <w:tcMar>
              <w:top w:type="dxa" w:w="60"/>
              <w:left w:type="dxa" w:w="100"/>
              <w:bottom w:type="dxa" w:w="60"/>
              <w:right w:type="dxa" w:w="100"/>
            </w:tcMar>
          </w:tcPr>
          <w:p>
            <w:r>
              <w:rPr>
                <w:rFonts w:ascii="Yu Mincho" w:cs="Yu Mincho" w:eastAsia="Yu Mincho" w:hAnsi="Yu Mincho"/>
                <w:sz w:val="19"/>
                <w:szCs w:val="19"/>
              </w:rPr>
              <w:t xml:space="preserve">29</w:t>
            </w:r>
          </w:p>
        </w:tc>
      </w:tr>
    </w:tbl>
    <w:p>
      <w:pPr>
        <w:spacing w:after="100"/>
      </w:pPr>
    </w:p>
    <w:p>
      <w:pPr>
        <w:spacing w:after="140" w:line="320"/>
        <w:jc w:val="left"/>
      </w:pPr>
      <w:r>
        <w:rPr>
          <w:rFonts w:ascii="Yu Mincho" w:cs="Yu Mincho" w:eastAsia="Yu Mincho" w:hAnsi="Yu Mincho"/>
          <w:sz w:val="21"/>
          <w:szCs w:val="21"/>
        </w:rPr>
        <w:t xml:space="preserve">第6章（利益調整）と第1章（報酬契約）に出題が集中している一方、第5章（IR）は令和元年度・2022年度でともに同一論点（Easley and O'Hara の情報リスク仮説）が問われているのみで、出題範囲が狭く的が絞りやすい。第2章（債務契約）は財務制限条項の理論的説明が繰り返し問われており、倒産予測モデルや保守主義など講義レジュメに記載のある関連論点も予想問題として対策に加えた。</w:t>
      </w:r>
    </w:p>
    <w:p>
      <w:pPr>
        <w:pStyle w:val="Heading2"/>
        <w:spacing w:after="160" w:before="360"/>
      </w:pPr>
      <w:r>
        <w:t xml:space="preserve">全19エントリの出典一覧</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200"/>
        <w:gridCol w:w="4200"/>
        <w:gridCol w:w="3800"/>
      </w:tblGrid>
      <w:tr>
        <w:trPr>
          <w:tblHeader/>
        </w:trPr>
        <w:tc>
          <w:tcPr>
            <w:tcW w:type="dxa" w:w="1200"/>
            <w:shd w:fill="DDE6F0" w:val="clear"/>
            <w:tcMar>
              <w:top w:type="dxa" w:w="60"/>
              <w:left w:type="dxa" w:w="100"/>
              <w:bottom w:type="dxa" w:w="60"/>
              <w:right w:type="dxa" w:w="100"/>
            </w:tcMar>
          </w:tcPr>
          <w:p>
            <w:r>
              <w:rPr>
                <w:rFonts w:ascii="Yu Gothic" w:cs="Yu Gothic" w:eastAsia="Yu Gothic" w:hAnsi="Yu Gothic"/>
                <w:b/>
                <w:bCs/>
                <w:sz w:val="19"/>
                <w:szCs w:val="19"/>
              </w:rPr>
              <w:t xml:space="preserve">章</w:t>
            </w:r>
          </w:p>
        </w:tc>
        <w:tc>
          <w:tcPr>
            <w:tcW w:type="dxa" w:w="4200"/>
            <w:shd w:fill="DDE6F0" w:val="clear"/>
            <w:tcMar>
              <w:top w:type="dxa" w:w="60"/>
              <w:left w:type="dxa" w:w="100"/>
              <w:bottom w:type="dxa" w:w="60"/>
              <w:right w:type="dxa" w:w="100"/>
            </w:tcMar>
          </w:tcPr>
          <w:p>
            <w:r>
              <w:rPr>
                <w:rFonts w:ascii="Yu Gothic" w:cs="Yu Gothic" w:eastAsia="Yu Gothic" w:hAnsi="Yu Gothic"/>
                <w:b/>
                <w:bCs/>
                <w:sz w:val="19"/>
                <w:szCs w:val="19"/>
              </w:rPr>
              <w:t xml:space="preserve">エントリ</w:t>
            </w:r>
          </w:p>
        </w:tc>
        <w:tc>
          <w:tcPr>
            <w:tcW w:type="dxa" w:w="3800"/>
            <w:shd w:fill="DDE6F0" w:val="clear"/>
            <w:tcMar>
              <w:top w:type="dxa" w:w="60"/>
              <w:left w:type="dxa" w:w="100"/>
              <w:bottom w:type="dxa" w:w="60"/>
              <w:right w:type="dxa" w:w="100"/>
            </w:tcMar>
          </w:tcPr>
          <w:p>
            <w:r>
              <w:rPr>
                <w:rFonts w:ascii="Yu Gothic" w:cs="Yu Gothic" w:eastAsia="Yu Gothic" w:hAnsi="Yu Gothic"/>
                <w:b/>
                <w:bCs/>
                <w:sz w:val="19"/>
                <w:szCs w:val="19"/>
              </w:rPr>
              <w:t xml:space="preserve">出典年度・設問</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序章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①エイジェンシー費用と3システム</w:t>
            </w:r>
          </w:p>
        </w:tc>
        <w:tc>
          <w:tcPr>
            <w:tcW w:type="dxa" w:w="3800"/>
            <w:tcMar>
              <w:top w:type="dxa" w:w="60"/>
              <w:left w:type="dxa" w:w="100"/>
              <w:bottom w:type="dxa" w:w="60"/>
              <w:right w:type="dxa" w:w="100"/>
            </w:tcMar>
          </w:tcPr>
          <w:p>
            <w:r>
              <w:rPr>
                <w:rFonts w:ascii="Yu Mincho" w:cs="Yu Mincho" w:eastAsia="Yu Mincho" w:hAnsi="Yu Mincho"/>
                <w:sz w:val="19"/>
                <w:szCs w:val="19"/>
              </w:rPr>
              <w:t xml:space="preserve">平成30年度 問1</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序章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②情報の非対称性と2機能の関係</w:t>
            </w:r>
          </w:p>
        </w:tc>
        <w:tc>
          <w:tcPr>
            <w:tcW w:type="dxa" w:w="3800"/>
            <w:tcMar>
              <w:top w:type="dxa" w:w="60"/>
              <w:left w:type="dxa" w:w="100"/>
              <w:bottom w:type="dxa" w:w="60"/>
              <w:right w:type="dxa" w:w="100"/>
            </w:tcMar>
          </w:tcPr>
          <w:p>
            <w:r>
              <w:rPr>
                <w:rFonts w:ascii="Yu Mincho" w:cs="Yu Mincho" w:eastAsia="Yu Mincho" w:hAnsi="Yu Mincho"/>
                <w:sz w:val="19"/>
                <w:szCs w:val="19"/>
              </w:rPr>
              <w:t xml:space="preserve">A2ターム問題 問1</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第1章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③A社報酬制度評価（全額SO）</w:t>
            </w:r>
          </w:p>
        </w:tc>
        <w:tc>
          <w:tcPr>
            <w:tcW w:type="dxa" w:w="3800"/>
            <w:tcMar>
              <w:top w:type="dxa" w:w="60"/>
              <w:left w:type="dxa" w:w="100"/>
              <w:bottom w:type="dxa" w:w="60"/>
              <w:right w:type="dxa" w:w="100"/>
            </w:tcMar>
          </w:tcPr>
          <w:p>
            <w:r>
              <w:rPr>
                <w:rFonts w:ascii="Yu Mincho" w:cs="Yu Mincho" w:eastAsia="Yu Mincho" w:hAnsi="Yu Mincho"/>
                <w:sz w:val="19"/>
                <w:szCs w:val="19"/>
              </w:rPr>
              <w:t xml:space="preserve">平成28年度 問1</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第1章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④A社報酬制度評価（利益連動＋PU）</w:t>
            </w:r>
          </w:p>
        </w:tc>
        <w:tc>
          <w:tcPr>
            <w:tcW w:type="dxa" w:w="3800"/>
            <w:tcMar>
              <w:top w:type="dxa" w:w="60"/>
              <w:left w:type="dxa" w:w="100"/>
              <w:bottom w:type="dxa" w:w="60"/>
              <w:right w:type="dxa" w:w="100"/>
            </w:tcMar>
          </w:tcPr>
          <w:p>
            <w:r>
              <w:rPr>
                <w:rFonts w:ascii="Yu Mincho" w:cs="Yu Mincho" w:eastAsia="Yu Mincho" w:hAnsi="Yu Mincho"/>
                <w:sz w:val="19"/>
                <w:szCs w:val="19"/>
              </w:rPr>
              <w:t xml:space="preserve">平成29年度 問1</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第1章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⑤近視眼的意思決定問題の緩和策</w:t>
            </w:r>
          </w:p>
        </w:tc>
        <w:tc>
          <w:tcPr>
            <w:tcW w:type="dxa" w:w="3800"/>
            <w:tcMar>
              <w:top w:type="dxa" w:w="60"/>
              <w:left w:type="dxa" w:w="100"/>
              <w:bottom w:type="dxa" w:w="60"/>
              <w:right w:type="dxa" w:w="100"/>
            </w:tcMar>
          </w:tcPr>
          <w:p>
            <w:r>
              <w:rPr>
                <w:rFonts w:ascii="Yu Mincho" w:cs="Yu Mincho" w:eastAsia="Yu Mincho" w:hAnsi="Yu Mincho"/>
                <w:sz w:val="19"/>
                <w:szCs w:val="19"/>
              </w:rPr>
              <w:t xml:space="preserve">令和元年度 問1／2021年度 問2</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第2章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⑥運転資本制限条項</w:t>
            </w:r>
          </w:p>
        </w:tc>
        <w:tc>
          <w:tcPr>
            <w:tcW w:type="dxa" w:w="3800"/>
            <w:tcMar>
              <w:top w:type="dxa" w:w="60"/>
              <w:left w:type="dxa" w:w="100"/>
              <w:bottom w:type="dxa" w:w="60"/>
              <w:right w:type="dxa" w:w="100"/>
            </w:tcMar>
          </w:tcPr>
          <w:p>
            <w:r>
              <w:rPr>
                <w:rFonts w:ascii="Yu Mincho" w:cs="Yu Mincho" w:eastAsia="Yu Mincho" w:hAnsi="Yu Mincho"/>
                <w:sz w:val="19"/>
                <w:szCs w:val="19"/>
              </w:rPr>
              <w:t xml:space="preserve">A2ターム問題 問3</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第2章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⑦負債比率制限条項</w:t>
            </w:r>
          </w:p>
        </w:tc>
        <w:tc>
          <w:tcPr>
            <w:tcW w:type="dxa" w:w="3800"/>
            <w:tcMar>
              <w:top w:type="dxa" w:w="60"/>
              <w:left w:type="dxa" w:w="100"/>
              <w:bottom w:type="dxa" w:w="60"/>
              <w:right w:type="dxa" w:w="100"/>
            </w:tcMar>
          </w:tcPr>
          <w:p>
            <w:r>
              <w:rPr>
                <w:rFonts w:ascii="Yu Mincho" w:cs="Yu Mincho" w:eastAsia="Yu Mincho" w:hAnsi="Yu Mincho"/>
                <w:sz w:val="19"/>
                <w:szCs w:val="19"/>
              </w:rPr>
              <w:t xml:space="preserve">2021年度 問1</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第2章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⑧企業Bの財務制限条項選定</w:t>
            </w:r>
          </w:p>
        </w:tc>
        <w:tc>
          <w:tcPr>
            <w:tcW w:type="dxa" w:w="3800"/>
            <w:tcMar>
              <w:top w:type="dxa" w:w="60"/>
              <w:left w:type="dxa" w:w="100"/>
              <w:bottom w:type="dxa" w:w="60"/>
              <w:right w:type="dxa" w:w="100"/>
            </w:tcMar>
          </w:tcPr>
          <w:p>
            <w:r>
              <w:rPr>
                <w:rFonts w:ascii="Yu Mincho" w:cs="Yu Mincho" w:eastAsia="Yu Mincho" w:hAnsi="Yu Mincho"/>
                <w:sz w:val="19"/>
                <w:szCs w:val="19"/>
              </w:rPr>
              <w:t xml:space="preserve">2022年度 問2</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第3章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⑨間接的規制と利益調整インセンティブ</w:t>
            </w:r>
          </w:p>
        </w:tc>
        <w:tc>
          <w:tcPr>
            <w:tcW w:type="dxa" w:w="3800"/>
            <w:tcMar>
              <w:top w:type="dxa" w:w="60"/>
              <w:left w:type="dxa" w:w="100"/>
              <w:bottom w:type="dxa" w:w="60"/>
              <w:right w:type="dxa" w:w="100"/>
            </w:tcMar>
          </w:tcPr>
          <w:p>
            <w:r>
              <w:rPr>
                <w:rFonts w:ascii="Yu Mincho" w:cs="Yu Mincho" w:eastAsia="Yu Mincho" w:hAnsi="Yu Mincho"/>
                <w:sz w:val="19"/>
                <w:szCs w:val="19"/>
              </w:rPr>
              <w:t xml:space="preserve">平成28年度 問2</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第3章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⑩直接的規制における会計情報の意義</w:t>
            </w:r>
          </w:p>
        </w:tc>
        <w:tc>
          <w:tcPr>
            <w:tcW w:type="dxa" w:w="3800"/>
            <w:tcMar>
              <w:top w:type="dxa" w:w="60"/>
              <w:left w:type="dxa" w:w="100"/>
              <w:bottom w:type="dxa" w:w="60"/>
              <w:right w:type="dxa" w:w="100"/>
            </w:tcMar>
          </w:tcPr>
          <w:p>
            <w:r>
              <w:rPr>
                <w:rFonts w:ascii="Yu Mincho" w:cs="Yu Mincho" w:eastAsia="Yu Mincho" w:hAnsi="Yu Mincho"/>
                <w:sz w:val="19"/>
                <w:szCs w:val="19"/>
              </w:rPr>
              <w:t xml:space="preserve">A2ターム問題 問2</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第3章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⑪日本の徴税システム（3ポイント）</w:t>
            </w:r>
          </w:p>
        </w:tc>
        <w:tc>
          <w:tcPr>
            <w:tcW w:type="dxa" w:w="3800"/>
            <w:tcMar>
              <w:top w:type="dxa" w:w="60"/>
              <w:left w:type="dxa" w:w="100"/>
              <w:bottom w:type="dxa" w:w="60"/>
              <w:right w:type="dxa" w:w="100"/>
            </w:tcMar>
          </w:tcPr>
          <w:p>
            <w:r>
              <w:rPr>
                <w:rFonts w:ascii="Yu Mincho" w:cs="Yu Mincho" w:eastAsia="Yu Mincho" w:hAnsi="Yu Mincho"/>
                <w:sz w:val="19"/>
                <w:szCs w:val="19"/>
              </w:rPr>
              <w:t xml:space="preserve">平成30年度 問2</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第4章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⑫Ball and Brown / Beaver</w:t>
            </w:r>
          </w:p>
        </w:tc>
        <w:tc>
          <w:tcPr>
            <w:tcW w:type="dxa" w:w="3800"/>
            <w:tcMar>
              <w:top w:type="dxa" w:w="60"/>
              <w:left w:type="dxa" w:w="100"/>
              <w:bottom w:type="dxa" w:w="60"/>
              <w:right w:type="dxa" w:w="100"/>
            </w:tcMar>
          </w:tcPr>
          <w:p>
            <w:r>
              <w:rPr>
                <w:rFonts w:ascii="Yu Mincho" w:cs="Yu Mincho" w:eastAsia="Yu Mincho" w:hAnsi="Yu Mincho"/>
                <w:sz w:val="19"/>
                <w:szCs w:val="19"/>
              </w:rPr>
              <w:t xml:space="preserve">平成28年度 問3</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第4章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⑬実際的有用性を示唆する投資戦略</w:t>
            </w:r>
          </w:p>
        </w:tc>
        <w:tc>
          <w:tcPr>
            <w:tcW w:type="dxa" w:w="3800"/>
            <w:tcMar>
              <w:top w:type="dxa" w:w="60"/>
              <w:left w:type="dxa" w:w="100"/>
              <w:bottom w:type="dxa" w:w="60"/>
              <w:right w:type="dxa" w:w="100"/>
            </w:tcMar>
          </w:tcPr>
          <w:p>
            <w:r>
              <w:rPr>
                <w:rFonts w:ascii="Yu Mincho" w:cs="Yu Mincho" w:eastAsia="Yu Mincho" w:hAnsi="Yu Mincho"/>
                <w:sz w:val="19"/>
                <w:szCs w:val="19"/>
              </w:rPr>
              <w:t xml:space="preserve">平成30年度 問3</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第5章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⑭情報の非対称性理論と資本コスト</w:t>
            </w:r>
          </w:p>
        </w:tc>
        <w:tc>
          <w:tcPr>
            <w:tcW w:type="dxa" w:w="3800"/>
            <w:tcMar>
              <w:top w:type="dxa" w:w="60"/>
              <w:left w:type="dxa" w:w="100"/>
              <w:bottom w:type="dxa" w:w="60"/>
              <w:right w:type="dxa" w:w="100"/>
            </w:tcMar>
          </w:tcPr>
          <w:p>
            <w:r>
              <w:rPr>
                <w:rFonts w:ascii="Yu Mincho" w:cs="Yu Mincho" w:eastAsia="Yu Mincho" w:hAnsi="Yu Mincho"/>
                <w:sz w:val="19"/>
                <w:szCs w:val="19"/>
              </w:rPr>
              <w:t xml:space="preserve">令和元年度 問3／2022年度 問3</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第6章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⑮LIFO税コスト仮説と市場反応</w:t>
            </w:r>
          </w:p>
        </w:tc>
        <w:tc>
          <w:tcPr>
            <w:tcW w:type="dxa" w:w="3800"/>
            <w:tcMar>
              <w:top w:type="dxa" w:w="60"/>
              <w:left w:type="dxa" w:w="100"/>
              <w:bottom w:type="dxa" w:w="60"/>
              <w:right w:type="dxa" w:w="100"/>
            </w:tcMar>
          </w:tcPr>
          <w:p>
            <w:r>
              <w:rPr>
                <w:rFonts w:ascii="Yu Mincho" w:cs="Yu Mincho" w:eastAsia="Yu Mincho" w:hAnsi="Yu Mincho"/>
                <w:sz w:val="19"/>
                <w:szCs w:val="19"/>
              </w:rPr>
              <w:t xml:space="preserve">令和元年度 問2／A2ターム問題 問4／2021年度 問3</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第6章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⑯定率法→定額法の日米比較</w:t>
            </w:r>
          </w:p>
        </w:tc>
        <w:tc>
          <w:tcPr>
            <w:tcW w:type="dxa" w:w="3800"/>
            <w:tcMar>
              <w:top w:type="dxa" w:w="60"/>
              <w:left w:type="dxa" w:w="100"/>
              <w:bottom w:type="dxa" w:w="60"/>
              <w:right w:type="dxa" w:w="100"/>
            </w:tcMar>
          </w:tcPr>
          <w:p>
            <w:r>
              <w:rPr>
                <w:rFonts w:ascii="Yu Mincho" w:cs="Yu Mincho" w:eastAsia="Yu Mincho" w:hAnsi="Yu Mincho"/>
                <w:sz w:val="19"/>
                <w:szCs w:val="19"/>
              </w:rPr>
              <w:t xml:space="preserve">平成29年度 問2</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第6章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⑰ビッグ・バスの動機</w:t>
            </w:r>
          </w:p>
        </w:tc>
        <w:tc>
          <w:tcPr>
            <w:tcW w:type="dxa" w:w="3800"/>
            <w:tcMar>
              <w:top w:type="dxa" w:w="60"/>
              <w:left w:type="dxa" w:w="100"/>
              <w:bottom w:type="dxa" w:w="60"/>
              <w:right w:type="dxa" w:w="100"/>
            </w:tcMar>
          </w:tcPr>
          <w:p>
            <w:r>
              <w:rPr>
                <w:rFonts w:ascii="Yu Mincho" w:cs="Yu Mincho" w:eastAsia="Yu Mincho" w:hAnsi="Yu Mincho"/>
                <w:sz w:val="19"/>
                <w:szCs w:val="19"/>
              </w:rPr>
              <w:t xml:space="preserve">平成29年度 問3</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第6章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⑱会計発生高の反転性を利用した利益調整</w:t>
            </w:r>
          </w:p>
        </w:tc>
        <w:tc>
          <w:tcPr>
            <w:tcW w:type="dxa" w:w="3800"/>
            <w:tcMar>
              <w:top w:type="dxa" w:w="60"/>
              <w:left w:type="dxa" w:w="100"/>
              <w:bottom w:type="dxa" w:w="60"/>
              <w:right w:type="dxa" w:w="100"/>
            </w:tcMar>
          </w:tcPr>
          <w:p>
            <w:r>
              <w:rPr>
                <w:rFonts w:ascii="Yu Mincho" w:cs="Yu Mincho" w:eastAsia="Yu Mincho" w:hAnsi="Yu Mincho"/>
                <w:sz w:val="19"/>
                <w:szCs w:val="19"/>
              </w:rPr>
              <w:t xml:space="preserve">A2ターム問題 問5</w:t>
            </w:r>
          </w:p>
        </w:tc>
      </w:tr>
      <w:tr>
        <w:trPr>
          <w:cantSplit/>
        </w:trPr>
        <w:tc>
          <w:tcPr>
            <w:tcW w:type="dxa" w:w="1200"/>
            <w:tcMar>
              <w:top w:type="dxa" w:w="60"/>
              <w:left w:type="dxa" w:w="100"/>
              <w:bottom w:type="dxa" w:w="60"/>
              <w:right w:type="dxa" w:w="100"/>
            </w:tcMar>
          </w:tcPr>
          <w:p>
            <w:r>
              <w:rPr>
                <w:rFonts w:ascii="Yu Mincho" w:cs="Yu Mincho" w:eastAsia="Yu Mincho" w:hAnsi="Yu Mincho"/>
                <w:sz w:val="19"/>
                <w:szCs w:val="19"/>
              </w:rPr>
              <w:t xml:space="preserve">第6章</w:t>
            </w:r>
          </w:p>
        </w:tc>
        <w:tc>
          <w:tcPr>
            <w:tcW w:type="dxa" w:w="4200"/>
            <w:tcMar>
              <w:top w:type="dxa" w:w="60"/>
              <w:left w:type="dxa" w:w="100"/>
              <w:bottom w:type="dxa" w:w="60"/>
              <w:right w:type="dxa" w:w="100"/>
            </w:tcMar>
          </w:tcPr>
          <w:p>
            <w:r>
              <w:rPr>
                <w:rFonts w:ascii="Yu Mincho" w:cs="Yu Mincho" w:eastAsia="Yu Mincho" w:hAnsi="Yu Mincho"/>
                <w:sz w:val="19"/>
                <w:szCs w:val="19"/>
              </w:rPr>
              <w:t xml:space="preserve">⑲3手続き変更の総合的な株価反応</w:t>
            </w:r>
          </w:p>
        </w:tc>
        <w:tc>
          <w:tcPr>
            <w:tcW w:type="dxa" w:w="3800"/>
            <w:tcMar>
              <w:top w:type="dxa" w:w="60"/>
              <w:left w:type="dxa" w:w="100"/>
              <w:bottom w:type="dxa" w:w="60"/>
              <w:right w:type="dxa" w:w="100"/>
            </w:tcMar>
          </w:tcPr>
          <w:p>
            <w:r>
              <w:rPr>
                <w:rFonts w:ascii="Yu Mincho" w:cs="Yu Mincho" w:eastAsia="Yu Mincho" w:hAnsi="Yu Mincho"/>
                <w:sz w:val="19"/>
                <w:szCs w:val="19"/>
              </w:rPr>
              <w:t xml:space="preserve">2022年度 問1</w:t>
            </w:r>
          </w:p>
        </w:tc>
      </w:tr>
    </w:tbl>
    <w:p>
      <w:r>
        <w:br w:type="page"/>
      </w:r>
    </w:p>
    <w:p>
      <w:pPr>
        <w:pStyle w:val="Heading1"/>
        <w:pageBreakBefore/>
        <w:spacing w:after="240" w:before="480"/>
      </w:pPr>
      <w:r>
        <w:t xml:space="preserve">序章　会計情報の機能に関する設問</w:t>
      </w:r>
    </w:p>
    <w:p>
      <w:pPr>
        <w:spacing w:after="140" w:line="320"/>
        <w:jc w:val="left"/>
      </w:pPr>
      <w:r>
        <w:rPr>
          <w:rFonts w:ascii="Yu Mincho" w:cs="Yu Mincho" w:eastAsia="Yu Mincho" w:hAnsi="Yu Mincho"/>
          <w:sz w:val="21"/>
          <w:szCs w:val="21"/>
        </w:rPr>
        <w:t xml:space="preserve">講義レジュメ「序章：本講義の全体像と会計情報の機能」に対応する過去問・予想問題。</w:t>
      </w:r>
    </w:p>
    <w:p>
      <w:pPr>
        <w:pStyle w:val="Heading3"/>
        <w:spacing w:after="120" w:before="240"/>
      </w:pPr>
      <w:r>
        <w:t xml:space="preserve">①エイジェンシー費用と3システム＋会計情報の役割　〔平成30年度 問1〕</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エイジェンシー費用とは何かを説明し，その費用を削減する3つのシステムの内容を要約した上で，エイジェンシー費用削減のために会計情報が果たす役割を説明しなさい。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エイジェンシー費用とは、契約関係を本人（プリンシパル）と代理人（エージェント）の関係として捉えたとき、代理人が本人の利害と異なる利己的行動（モラル・ハザード）をとることによって生じる機会費用である。これを削減するシステムには、①モニタリング・システム（ディスクロージャー制度・監査制度・銀行の役員派遣等で代理人の行動を監視する）、②インセンティブ・システム（業績連動型報酬制度やストック・オプション等で代理人と本人の利害を一致させる）、③ボンディング・システム（財務制限条項やIR活動等で代理人自らが誠実な行動を約束・保証する）の3つがある。これら3つのシステムはいずれも会計利益・財務諸表数値を監視・業績評価・条項設定の基礎として利用しており、会計情報はエイジェンシー費用を削減し企業価値を高める「効率的な契約」の実現に不可欠な役割を果たしてい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エイジェンシー費用の定義（プリンシパル-エージェント関係、モラル・ハザードに伴う機会費用）を明示すること。</w:t>
      </w:r>
    </w:p>
    <w:p>
      <w:pPr>
        <w:pStyle w:val="ListParagraph"/>
        <w:numPr>
          <w:ilvl w:val="0"/>
          <w:numId w:val="2"/>
        </w:numPr>
        <w:spacing w:after="80" w:line="300"/>
      </w:pPr>
      <w:r>
        <w:rPr>
          <w:rFonts w:ascii="Yu Mincho" w:cs="Yu Mincho" w:eastAsia="Yu Mincho" w:hAnsi="Yu Mincho"/>
          <w:sz w:val="21"/>
          <w:szCs w:val="21"/>
        </w:rPr>
        <w:t xml:space="preserve">3システムを漏れなく（モニタリング・インセンティブ・ボンディング）、それぞれ具体例とセットで説明すること。</w:t>
      </w:r>
    </w:p>
    <w:p>
      <w:pPr>
        <w:pStyle w:val="ListParagraph"/>
        <w:numPr>
          <w:ilvl w:val="0"/>
          <w:numId w:val="2"/>
        </w:numPr>
        <w:spacing w:after="80" w:line="300"/>
      </w:pPr>
      <w:r>
        <w:rPr>
          <w:rFonts w:ascii="Yu Mincho" w:cs="Yu Mincho" w:eastAsia="Yu Mincho" w:hAnsi="Yu Mincho"/>
          <w:sz w:val="21"/>
          <w:szCs w:val="21"/>
        </w:rPr>
        <w:t xml:space="preserve">各システムで会計情報がどう使われるか（監視の材料、報酬算定基礎、契約条項の基準）を対応させて書くこと。</w:t>
      </w:r>
    </w:p>
    <w:p>
      <w:pPr>
        <w:pStyle w:val="ListParagraph"/>
        <w:numPr>
          <w:ilvl w:val="0"/>
          <w:numId w:val="2"/>
        </w:numPr>
        <w:spacing w:after="80" w:line="300"/>
      </w:pPr>
      <w:r>
        <w:rPr>
          <w:rFonts w:ascii="Yu Mincho" w:cs="Yu Mincho" w:eastAsia="Yu Mincho" w:hAnsi="Yu Mincho"/>
          <w:sz w:val="21"/>
          <w:szCs w:val="21"/>
        </w:rPr>
        <w:t xml:space="preserve">出典：序章0.5節「エイジェンシー理論」。</w:t>
      </w:r>
    </w:p>
    <w:p>
      <w:pPr>
        <w:spacing w:after="100"/>
      </w:pPr>
    </w:p>
    <w:p>
      <w:pPr>
        <w:pStyle w:val="Heading3"/>
        <w:spacing w:after="120" w:before="240"/>
      </w:pPr>
      <w:r>
        <w:t xml:space="preserve">②情報の非対称性と財務会計2機能の関係　〔現代財務諸表分析 A2ターム問題 問1〕</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情報の非対称性と財務会計に期待される2つの機能の関係について説明しなさい。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経済取引において当事者間で必要な情報が偏在する状態を情報の非対称性という。これは、財の品質に関する情報格差から生じる逆選択（低品質の財が市場を支配し市場が崩壊する現象）と、取引相手の行動に関する情報格差から生じるモラル・ハザード（契約後に相手が利己的に行動し当事者全体が損失を被る現象）という2つの問題を引き起こす。財務会計はこの2つの問題を緩和するために2つの機能を果たす。第一に、投資家の意思決定に有用な会計情報を提供し証券市場の逆選択を防ぐ意思決定支援機能である。第二に、契約の監視と履行を促進し契約当事者の利害対立を減少させることでモラル・ハザードを抑制する契約支援機能であ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情報の非対称性の定義（須田, 2000）を明記すること。</w:t>
      </w:r>
    </w:p>
    <w:p>
      <w:pPr>
        <w:pStyle w:val="ListParagraph"/>
        <w:numPr>
          <w:ilvl w:val="0"/>
          <w:numId w:val="2"/>
        </w:numPr>
        <w:spacing w:after="80" w:line="300"/>
      </w:pPr>
      <w:r>
        <w:rPr>
          <w:rFonts w:ascii="Yu Mincho" w:cs="Yu Mincho" w:eastAsia="Yu Mincho" w:hAnsi="Yu Mincho"/>
          <w:sz w:val="21"/>
          <w:szCs w:val="21"/>
        </w:rPr>
        <w:t xml:space="preserve">逆選択とモラル・ハザードをそれぞれ「何の情報格差から生じるか」を区別して説明すること。</w:t>
      </w:r>
    </w:p>
    <w:p>
      <w:pPr>
        <w:pStyle w:val="ListParagraph"/>
        <w:numPr>
          <w:ilvl w:val="0"/>
          <w:numId w:val="2"/>
        </w:numPr>
        <w:spacing w:after="80" w:line="300"/>
      </w:pPr>
      <w:r>
        <w:rPr>
          <w:rFonts w:ascii="Yu Mincho" w:cs="Yu Mincho" w:eastAsia="Yu Mincho" w:hAnsi="Yu Mincho"/>
          <w:sz w:val="21"/>
          <w:szCs w:val="21"/>
        </w:rPr>
        <w:t xml:space="preserve">意思決定支援機能↔逆選択、契約支援機能↔モラル・ハザード、という対応関係を明示すること。</w:t>
      </w:r>
    </w:p>
    <w:p>
      <w:pPr>
        <w:pStyle w:val="ListParagraph"/>
        <w:numPr>
          <w:ilvl w:val="0"/>
          <w:numId w:val="2"/>
        </w:numPr>
        <w:spacing w:after="80" w:line="300"/>
      </w:pPr>
      <w:r>
        <w:rPr>
          <w:rFonts w:ascii="Yu Mincho" w:cs="Yu Mincho" w:eastAsia="Yu Mincho" w:hAnsi="Yu Mincho"/>
          <w:sz w:val="21"/>
          <w:szCs w:val="21"/>
        </w:rPr>
        <w:t xml:space="preserve">出典：序章0.3・0.4節。</w:t>
      </w:r>
    </w:p>
    <w:p>
      <w:pPr>
        <w:spacing w:after="100"/>
      </w:pPr>
    </w:p>
    <w:p>
      <w:pPr>
        <w:pStyle w:val="Heading3"/>
        <w:spacing w:after="120" w:before="240"/>
      </w:pPr>
      <w:r>
        <w:t xml:space="preserve">P1. 逆選択とモラル・ハザードの相違〔予想問題〕</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設問（予想）</w:t>
            </w:r>
          </w:p>
          <w:p>
            <w:pPr>
              <w:spacing w:after="0" w:line="300"/>
            </w:pPr>
            <w:r>
              <w:rPr>
                <w:rFonts w:ascii="Yu Mincho" w:cs="Yu Mincho" w:eastAsia="Yu Mincho" w:hAnsi="Yu Mincho"/>
                <w:i/>
                <w:iCs/>
                <w:sz w:val="20"/>
                <w:szCs w:val="20"/>
              </w:rPr>
              <w:t xml:space="preserve">情報の非対称性がもたらす逆選択とモラル・ハザードの相違について，具体例を挙げて説明しなさい。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逆選択とモラル・ハザードはいずれも情報の非対称性から生じる問題だが、情報格差の対象が異なる。逆選択は取引される「財の品質」に関する情報の非対称性から生じ、低品質の財しか市場に出回らなくなり市場が崩壊する現象である（例：中古車市場のレモンの原理〔Akerlof, 1970〕。証券市場では発行企業が証券の品質について情報優位にあるため、低品質の証券のみが出回る危険がある）。一方モラル・ハザードは「取引相手の行動」に関する情報の非対称性から生じ、契約締結後に相手が利己的に行動し契約当事者全体が損失を被る現象である（例：医療保険加入後に通院頻度が増える、経営者が株主の利益に反する経営を行う等）。前者は契約前の品質選別の失敗、後者は契約後の行動観察の失敗という点で区別され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逆選択＝財の品質に関する情報非対称性、モラル・ハザード＝行動に関する情報非対称性、という区別を明示すること。</w:t>
      </w:r>
    </w:p>
    <w:p>
      <w:pPr>
        <w:pStyle w:val="ListParagraph"/>
        <w:numPr>
          <w:ilvl w:val="0"/>
          <w:numId w:val="2"/>
        </w:numPr>
        <w:spacing w:after="80" w:line="300"/>
      </w:pPr>
      <w:r>
        <w:rPr>
          <w:rFonts w:ascii="Yu Mincho" w:cs="Yu Mincho" w:eastAsia="Yu Mincho" w:hAnsi="Yu Mincho"/>
          <w:sz w:val="21"/>
          <w:szCs w:val="21"/>
        </w:rPr>
        <w:t xml:space="preserve">それぞれ具体例（レモンの原理／医療保険や経営者行動）を挙げること。</w:t>
      </w:r>
    </w:p>
    <w:p>
      <w:pPr>
        <w:pStyle w:val="ListParagraph"/>
        <w:numPr>
          <w:ilvl w:val="0"/>
          <w:numId w:val="2"/>
        </w:numPr>
        <w:spacing w:after="80" w:line="300"/>
      </w:pPr>
      <w:r>
        <w:rPr>
          <w:rFonts w:ascii="Yu Mincho" w:cs="Yu Mincho" w:eastAsia="Yu Mincho" w:hAnsi="Yu Mincho"/>
          <w:sz w:val="21"/>
          <w:szCs w:val="21"/>
        </w:rPr>
        <w:t xml:space="preserve">「事前」の問題か「事後」の問題かという時間軸の違いに触れられると加点。</w:t>
      </w:r>
    </w:p>
    <w:p>
      <w:pPr>
        <w:pStyle w:val="ListParagraph"/>
        <w:numPr>
          <w:ilvl w:val="0"/>
          <w:numId w:val="2"/>
        </w:numPr>
        <w:spacing w:after="80" w:line="300"/>
      </w:pPr>
      <w:r>
        <w:rPr>
          <w:rFonts w:ascii="Yu Mincho" w:cs="Yu Mincho" w:eastAsia="Yu Mincho" w:hAnsi="Yu Mincho"/>
          <w:sz w:val="21"/>
          <w:szCs w:val="21"/>
        </w:rPr>
        <w:t xml:space="preserve">出典：序章0.3節。</w:t>
      </w:r>
    </w:p>
    <w:p>
      <w:pPr>
        <w:spacing w:after="100"/>
      </w:pPr>
    </w:p>
    <w:p>
      <w:pPr>
        <w:pStyle w:val="Heading1"/>
        <w:pageBreakBefore/>
        <w:spacing w:after="240" w:before="480"/>
      </w:pPr>
      <w:r>
        <w:t xml:space="preserve">第1章　報酬契約に関する設問</w:t>
      </w:r>
    </w:p>
    <w:p>
      <w:pPr>
        <w:spacing w:after="140" w:line="320"/>
        <w:jc w:val="left"/>
      </w:pPr>
      <w:r>
        <w:rPr>
          <w:rFonts w:ascii="Yu Mincho" w:cs="Yu Mincho" w:eastAsia="Yu Mincho" w:hAnsi="Yu Mincho"/>
          <w:sz w:val="21"/>
          <w:szCs w:val="21"/>
        </w:rPr>
        <w:t xml:space="preserve">講義レジュメ「第1章：報酬契約と会計情報」に対応する過去問・予想問題。</w:t>
      </w:r>
    </w:p>
    <w:p>
      <w:pPr>
        <w:pStyle w:val="Heading3"/>
        <w:spacing w:after="120" w:before="240"/>
      </w:pPr>
      <w:r>
        <w:t xml:space="preserve">③A社報酬制度評価（全額ストック・オプション＋固定給廃止）　〔平成28年度 問1〕</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100" w:line="300"/>
            </w:pPr>
            <w:r>
              <w:rPr>
                <w:rFonts w:ascii="Yu Mincho" w:cs="Yu Mincho" w:eastAsia="Yu Mincho" w:hAnsi="Yu Mincho"/>
                <w:i/>
                <w:iCs/>
                <w:sz w:val="20"/>
                <w:szCs w:val="20"/>
              </w:rPr>
              <w:t xml:space="preserve">以下のA社の経営者報酬制度を効率的な報酬契約の理論にもとづいて評価しなさい。</w:t>
            </w:r>
          </w:p>
          <w:p>
            <w:pPr>
              <w:spacing w:after="0" w:line="300"/>
            </w:pPr>
            <w:r>
              <w:rPr>
                <w:rFonts w:ascii="Yu Mincho" w:cs="Yu Mincho" w:eastAsia="Yu Mincho" w:hAnsi="Yu Mincho"/>
                <w:i/>
                <w:iCs/>
                <w:sz w:val="20"/>
                <w:szCs w:val="20"/>
              </w:rPr>
              <w:t xml:space="preserve">〔日本企業のA社は，これまでの硬直的な経営者報酬制度を見直し，インセンティブ報酬制度を導入することにした。具体的には，役員に支払う報酬について，すべてストック・オプションにもとづいて支払われるものとして，固定給と退任後報酬（退任慰労金）は廃止した。〕</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効率的な報酬契約の3ポイント（①リスクシェアリング、②インセンティブの及ぶ範囲、③業績測定尺度）に沿って評価する。①A社は報酬をすべてストック・オプションとし固定給を廃止したため、経営者はリスクをほぼ全面的に負担することになり、株主とのリスク・シェアリングが崩れている。過大なリスク負担はかえって経営者にリスク回避的な保守的経営を促す可能性がある。②ストック・オプションは長期インセンティブのみであり、短期の業績連動報酬が存在しないため短期の経営努力を評価する仕組みが欠けている。③業績尺度も株価に偏っており、株価は経営者の努力以外のノイズの影響を受けやすい。固定給と業績連動報酬（短期・長期）を組み合わせ、会計利益も併用する設計に改善すべきであ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3ポイントの型（リスクシェアリング／インセンティブの範囲／業績尺度）を必ず使うこと。</w:t>
      </w:r>
    </w:p>
    <w:p>
      <w:pPr>
        <w:pStyle w:val="ListParagraph"/>
        <w:numPr>
          <w:ilvl w:val="0"/>
          <w:numId w:val="2"/>
        </w:numPr>
        <w:spacing w:after="80" w:line="300"/>
      </w:pPr>
      <w:r>
        <w:rPr>
          <w:rFonts w:ascii="Yu Mincho" w:cs="Yu Mincho" w:eastAsia="Yu Mincho" w:hAnsi="Yu Mincho"/>
          <w:sz w:val="21"/>
          <w:szCs w:val="21"/>
        </w:rPr>
        <w:t xml:space="preserve">「固定給を廃止した」→リスクシェアリングが崩れる、を明示すること。</w:t>
      </w:r>
    </w:p>
    <w:p>
      <w:pPr>
        <w:pStyle w:val="ListParagraph"/>
        <w:numPr>
          <w:ilvl w:val="0"/>
          <w:numId w:val="2"/>
        </w:numPr>
        <w:spacing w:after="80" w:line="300"/>
      </w:pPr>
      <w:r>
        <w:rPr>
          <w:rFonts w:ascii="Yu Mincho" w:cs="Yu Mincho" w:eastAsia="Yu Mincho" w:hAnsi="Yu Mincho"/>
          <w:sz w:val="21"/>
          <w:szCs w:val="21"/>
        </w:rPr>
        <w:t xml:space="preserve">「ストック・オプションのみ」→短期インセンティブの欠如を指摘すること。</w:t>
      </w:r>
    </w:p>
    <w:p>
      <w:pPr>
        <w:pStyle w:val="ListParagraph"/>
        <w:numPr>
          <w:ilvl w:val="0"/>
          <w:numId w:val="2"/>
        </w:numPr>
        <w:spacing w:after="80" w:line="300"/>
      </w:pPr>
      <w:r>
        <w:rPr>
          <w:rFonts w:ascii="Yu Mincho" w:cs="Yu Mincho" w:eastAsia="Yu Mincho" w:hAnsi="Yu Mincho"/>
          <w:sz w:val="21"/>
          <w:szCs w:val="21"/>
        </w:rPr>
        <w:t xml:space="preserve">退職慰労金廃止の評価（長期インセンティブ・在任中専念効果の喪失という論点）にも触れられると加点。</w:t>
      </w:r>
    </w:p>
    <w:p>
      <w:pPr>
        <w:pStyle w:val="ListParagraph"/>
        <w:numPr>
          <w:ilvl w:val="0"/>
          <w:numId w:val="2"/>
        </w:numPr>
        <w:spacing w:after="80" w:line="300"/>
      </w:pPr>
      <w:r>
        <w:rPr>
          <w:rFonts w:ascii="Yu Mincho" w:cs="Yu Mincho" w:eastAsia="Yu Mincho" w:hAnsi="Yu Mincho"/>
          <w:sz w:val="21"/>
          <w:szCs w:val="21"/>
        </w:rPr>
        <w:t xml:space="preserve">出典：第1章1.2〜1.4節、1.9節ケーススタディの型を応用。</w:t>
      </w:r>
    </w:p>
    <w:p>
      <w:pPr>
        <w:spacing w:after="100"/>
      </w:pPr>
    </w:p>
    <w:p>
      <w:pPr>
        <w:pStyle w:val="Heading3"/>
        <w:spacing w:after="120" w:before="240"/>
      </w:pPr>
      <w:r>
        <w:t xml:space="preserve">④A社報酬制度評価（利益連動型＋パフォーマンス・ユニット）　〔平成29年度 問1〕</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100" w:line="300"/>
            </w:pPr>
            <w:r>
              <w:rPr>
                <w:rFonts w:ascii="Yu Mincho" w:cs="Yu Mincho" w:eastAsia="Yu Mincho" w:hAnsi="Yu Mincho"/>
                <w:i/>
                <w:iCs/>
                <w:sz w:val="20"/>
                <w:szCs w:val="20"/>
              </w:rPr>
              <w:t xml:space="preserve">以下のA社の経営者報酬契約を評価しなさい。</w:t>
            </w:r>
          </w:p>
          <w:p>
            <w:pPr>
              <w:spacing w:after="0" w:line="300"/>
            </w:pPr>
            <w:r>
              <w:rPr>
                <w:rFonts w:ascii="Yu Mincho" w:cs="Yu Mincho" w:eastAsia="Yu Mincho" w:hAnsi="Yu Mincho"/>
                <w:i/>
                <w:iCs/>
                <w:sz w:val="20"/>
                <w:szCs w:val="20"/>
              </w:rPr>
              <w:t xml:space="preserve">〔日本企業のA社は，これまでの硬直的な経営者報酬制度を見直し，インセンティブ報酬制度を導入することにした。具体的には，連結当期純利益にもとづく利益連動型報酬契約とパフォーマンス・ユニットを導入した。この他には，月次の固定給として給与が支払われている。給与の額は，従来通り，業界の平均値を参考にして決定されている。〕</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効率的な報酬契約の3ポイントに沿って評価する。①リスクシェアリング：固定給（業界平均参考）と業績連動報酬を組み合わせており、リスク分担とインセンティブ提供のバランスが取れている点は評価できる。②インセンティブの及ぶ範囲：利益連動型報酬は単年度の会計利益に連動する短期インセンティブ、パフォーマンス・ユニットは複数年の財務目標に連動する長期インセンティブであり、短期と長期を併用している点も適切である。③業績尺度：ただし両者とも会計利益（連結ベース）に依拠しており、株価という別の尺度が併用されていない。会計利益は経営者による裁量的操作の余地があるため、株価を用いた指標も併用し複数尺度で相互補完させることが望ましい。ボーナス制度に上限・下限（cap・bogey）が設定されているかも検討が必要であ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3ポイントすべてに触れ、①②は良い設計、③に改善余地、という評価構造にすること。</w:t>
      </w:r>
    </w:p>
    <w:p>
      <w:pPr>
        <w:pStyle w:val="ListParagraph"/>
        <w:numPr>
          <w:ilvl w:val="0"/>
          <w:numId w:val="2"/>
        </w:numPr>
        <w:spacing w:after="80" w:line="300"/>
      </w:pPr>
      <w:r>
        <w:rPr>
          <w:rFonts w:ascii="Yu Mincho" w:cs="Yu Mincho" w:eastAsia="Yu Mincho" w:hAnsi="Yu Mincho"/>
          <w:sz w:val="21"/>
          <w:szCs w:val="21"/>
        </w:rPr>
        <w:t xml:space="preserve">「連結当期純利益」を使っている点（個別ではなく連結）はグループ経営責任の観点から適切、と触れられると加点。</w:t>
      </w:r>
    </w:p>
    <w:p>
      <w:pPr>
        <w:pStyle w:val="ListParagraph"/>
        <w:numPr>
          <w:ilvl w:val="0"/>
          <w:numId w:val="2"/>
        </w:numPr>
        <w:spacing w:after="80" w:line="300"/>
      </w:pPr>
      <w:r>
        <w:rPr>
          <w:rFonts w:ascii="Yu Mincho" w:cs="Yu Mincho" w:eastAsia="Yu Mincho" w:hAnsi="Yu Mincho"/>
          <w:sz w:val="21"/>
          <w:szCs w:val="21"/>
        </w:rPr>
        <w:t xml:space="preserve">会計利益偏重のリスク（利益調整の余地）を指摘できるとよい。</w:t>
      </w:r>
    </w:p>
    <w:p>
      <w:pPr>
        <w:pStyle w:val="ListParagraph"/>
        <w:numPr>
          <w:ilvl w:val="0"/>
          <w:numId w:val="2"/>
        </w:numPr>
        <w:spacing w:after="80" w:line="300"/>
      </w:pPr>
      <w:r>
        <w:rPr>
          <w:rFonts w:ascii="Yu Mincho" w:cs="Yu Mincho" w:eastAsia="Yu Mincho" w:hAnsi="Yu Mincho"/>
          <w:sz w:val="21"/>
          <w:szCs w:val="21"/>
        </w:rPr>
        <w:t xml:space="preserve">出典：第1章1.2〜1.4節、1.9節ケーススタディ（B社評価の型が近い）。</w:t>
      </w:r>
    </w:p>
    <w:p>
      <w:pPr>
        <w:spacing w:after="100"/>
      </w:pPr>
    </w:p>
    <w:p>
      <w:pPr>
        <w:pStyle w:val="Heading3"/>
        <w:spacing w:after="120" w:before="240"/>
      </w:pPr>
      <w:r>
        <w:t xml:space="preserve">⑤近視眼的意思決定問題の緩和策　〔令和元年度 問1／2021年度 問2（同一論点、計2回）〕</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100" w:line="300"/>
            </w:pPr>
            <w:r>
              <w:rPr>
                <w:rFonts w:ascii="Yu Mincho" w:cs="Yu Mincho" w:eastAsia="Yu Mincho" w:hAnsi="Yu Mincho"/>
                <w:i/>
                <w:iCs/>
                <w:sz w:val="20"/>
                <w:szCs w:val="20"/>
              </w:rPr>
              <w:t xml:space="preserve">〔令和元年度〕経営者報酬契約において，経営者の近視眼的意思決定の問題を緩和するために取られる仕組みについて説明せよ。</w:t>
            </w:r>
          </w:p>
          <w:p>
            <w:pPr>
              <w:spacing w:after="0" w:line="300"/>
            </w:pPr>
            <w:r>
              <w:rPr>
                <w:rFonts w:ascii="Yu Mincho" w:cs="Yu Mincho" w:eastAsia="Yu Mincho" w:hAnsi="Yu Mincho"/>
                <w:i/>
                <w:iCs/>
                <w:sz w:val="20"/>
                <w:szCs w:val="20"/>
              </w:rPr>
              <w:t xml:space="preserve">〔2021年度〕経営者の近視眼的な意思決定の問題を緩和するために，経営者報酬契約においてできる仕組みをすべて説明せよ。</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近視眼的な意思決定の問題とは、経営者が短期の業績連動報酬のみで評価される場合、研究開発費の削減など長期的な収益性を犠牲にして短期の利益を捻出する行動をとってしまう問題である。これを緩和する仕組みは、短期インセンティブ契約（年次の会計利益に連動するボーナス）と長期インセンティブ契約（複数年の企業業績や株価に連動するストック・オプション、パフォーマンス・ユニット等）を組み合わせることである。長期インセンティブを併用すれば、経営者は長期的な企業価値の毀損が自らの将来の報酬減少に直結するため、短期の利益追求に偏った行動を抑制される。加えて、業績測定尺度として会計利益（短期）と株価（長期の企業価値を反映）を複数併用することも、近視眼的な意思決定を防ぐ効果があ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「近視眼的な意思決定」の内容（R&amp;D削減等で短期利益を捻出する行動）を定義すること。</w:t>
      </w:r>
    </w:p>
    <w:p>
      <w:pPr>
        <w:pStyle w:val="ListParagraph"/>
        <w:numPr>
          <w:ilvl w:val="0"/>
          <w:numId w:val="2"/>
        </w:numPr>
        <w:spacing w:after="80" w:line="300"/>
      </w:pPr>
      <w:r>
        <w:rPr>
          <w:rFonts w:ascii="Yu Mincho" w:cs="Yu Mincho" w:eastAsia="Yu Mincho" w:hAnsi="Yu Mincho"/>
          <w:sz w:val="21"/>
          <w:szCs w:val="21"/>
        </w:rPr>
        <w:t xml:space="preserve">「短期・長期インセンティブの併用」を核心として明示すること（第1章1.3節）。</w:t>
      </w:r>
    </w:p>
    <w:p>
      <w:pPr>
        <w:pStyle w:val="ListParagraph"/>
        <w:numPr>
          <w:ilvl w:val="0"/>
          <w:numId w:val="2"/>
        </w:numPr>
        <w:spacing w:after="80" w:line="300"/>
      </w:pPr>
      <w:r>
        <w:rPr>
          <w:rFonts w:ascii="Yu Mincho" w:cs="Yu Mincho" w:eastAsia="Yu Mincho" w:hAnsi="Yu Mincho"/>
          <w:sz w:val="21"/>
          <w:szCs w:val="21"/>
        </w:rPr>
        <w:t xml:space="preserve">業績尺度（会計利益・株価）の併用にも触れられると加点。</w:t>
      </w:r>
    </w:p>
    <w:p>
      <w:pPr>
        <w:pStyle w:val="ListParagraph"/>
        <w:numPr>
          <w:ilvl w:val="0"/>
          <w:numId w:val="2"/>
        </w:numPr>
        <w:spacing w:after="80" w:line="300"/>
      </w:pPr>
      <w:r>
        <w:rPr>
          <w:rFonts w:ascii="Yu Mincho" w:cs="Yu Mincho" w:eastAsia="Yu Mincho" w:hAnsi="Yu Mincho"/>
          <w:sz w:val="21"/>
          <w:szCs w:val="21"/>
        </w:rPr>
        <w:t xml:space="preserve">2021年度は「すべて説明せよ」なので、複数の仕組みを網羅的に列挙する意識を持つこと。</w:t>
      </w:r>
    </w:p>
    <w:p>
      <w:pPr>
        <w:pStyle w:val="ListParagraph"/>
        <w:numPr>
          <w:ilvl w:val="0"/>
          <w:numId w:val="2"/>
        </w:numPr>
        <w:spacing w:after="80" w:line="300"/>
      </w:pPr>
      <w:r>
        <w:rPr>
          <w:rFonts w:ascii="Yu Mincho" w:cs="Yu Mincho" w:eastAsia="Yu Mincho" w:hAnsi="Yu Mincho"/>
          <w:sz w:val="21"/>
          <w:szCs w:val="21"/>
        </w:rPr>
        <w:t xml:space="preserve">出典：第1章1.3節「Point2：インセンティブ効果の及ぶ範囲」。</w:t>
      </w:r>
    </w:p>
    <w:p>
      <w:pPr>
        <w:spacing w:after="100"/>
      </w:pPr>
    </w:p>
    <w:p>
      <w:pPr>
        <w:pStyle w:val="Heading3"/>
        <w:spacing w:after="120" w:before="240"/>
      </w:pPr>
      <w:r>
        <w:t xml:space="preserve">P2. 業績測定尺度としての会計利益と株価〔予想問題〕</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設問（予想）</w:t>
            </w:r>
          </w:p>
          <w:p>
            <w:pPr>
              <w:spacing w:after="0" w:line="300"/>
            </w:pPr>
            <w:r>
              <w:rPr>
                <w:rFonts w:ascii="Yu Mincho" w:cs="Yu Mincho" w:eastAsia="Yu Mincho" w:hAnsi="Yu Mincho"/>
                <w:i/>
                <w:iCs/>
                <w:sz w:val="20"/>
                <w:szCs w:val="20"/>
              </w:rPr>
              <w:t xml:space="preserve">経営者報酬制度における業績測定尺度として会計利益と株価をそれぞれ用いることの長所と短所を説明しなさい。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会計利益を業績尺度として用いる長所は、経営者がほぼ管理可能な指標であり努力との相関が高いことである。短所は、経営者が裁量的に利益を操作できる余地がある（利益調整）ことである。株価を用いる長所は、恣意的な操作が困難であることである。短所は、経済環境の変化や需給要因など経営者の努力以外のノイズの影響を強く受けるため、努力との相関が必ずしも高くないことである。いずれの尺度も一長一短があり、両者を併用することで各指標の欠点を相互に補完し、より正確に経営者の努力を評価できる報酬制度を設計することが効率的である。実際、米国企業の報酬制度では会計利益（短期インセンティブ）と株価（長期インセンティブ）が併用されてい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会計利益：操作可能性（－）、努力との相関（＋）を両方書くこと。</w:t>
      </w:r>
    </w:p>
    <w:p>
      <w:pPr>
        <w:pStyle w:val="ListParagraph"/>
        <w:numPr>
          <w:ilvl w:val="0"/>
          <w:numId w:val="2"/>
        </w:numPr>
        <w:spacing w:after="80" w:line="300"/>
      </w:pPr>
      <w:r>
        <w:rPr>
          <w:rFonts w:ascii="Yu Mincho" w:cs="Yu Mincho" w:eastAsia="Yu Mincho" w:hAnsi="Yu Mincho"/>
          <w:sz w:val="21"/>
          <w:szCs w:val="21"/>
        </w:rPr>
        <w:t xml:space="preserve">株価：操作可能性（＋）、努力との相関（－、ノイズの影響）を両方書くこと。</w:t>
      </w:r>
    </w:p>
    <w:p>
      <w:pPr>
        <w:pStyle w:val="ListParagraph"/>
        <w:numPr>
          <w:ilvl w:val="0"/>
          <w:numId w:val="2"/>
        </w:numPr>
        <w:spacing w:after="80" w:line="300"/>
      </w:pPr>
      <w:r>
        <w:rPr>
          <w:rFonts w:ascii="Yu Mincho" w:cs="Yu Mincho" w:eastAsia="Yu Mincho" w:hAnsi="Yu Mincho"/>
          <w:sz w:val="21"/>
          <w:szCs w:val="21"/>
        </w:rPr>
        <w:t xml:space="preserve">「併用が望ましい」という結論に導くこと。</w:t>
      </w:r>
    </w:p>
    <w:p>
      <w:pPr>
        <w:pStyle w:val="ListParagraph"/>
        <w:numPr>
          <w:ilvl w:val="0"/>
          <w:numId w:val="2"/>
        </w:numPr>
        <w:spacing w:after="80" w:line="300"/>
      </w:pPr>
      <w:r>
        <w:rPr>
          <w:rFonts w:ascii="Yu Mincho" w:cs="Yu Mincho" w:eastAsia="Yu Mincho" w:hAnsi="Yu Mincho"/>
          <w:sz w:val="21"/>
          <w:szCs w:val="21"/>
        </w:rPr>
        <w:t xml:space="preserve">出典：第1章1.4節「Point3：経営者の努力を測定する尺度」。</w:t>
      </w:r>
    </w:p>
    <w:p>
      <w:pPr>
        <w:spacing w:after="100"/>
      </w:pPr>
    </w:p>
    <w:p>
      <w:pPr>
        <w:pStyle w:val="Heading1"/>
        <w:pageBreakBefore/>
        <w:spacing w:after="240" w:before="480"/>
      </w:pPr>
      <w:r>
        <w:t xml:space="preserve">第2章　債務契約に関する設問</w:t>
      </w:r>
    </w:p>
    <w:p>
      <w:pPr>
        <w:spacing w:after="140" w:line="320"/>
        <w:jc w:val="left"/>
      </w:pPr>
      <w:r>
        <w:rPr>
          <w:rFonts w:ascii="Yu Mincho" w:cs="Yu Mincho" w:eastAsia="Yu Mincho" w:hAnsi="Yu Mincho"/>
          <w:sz w:val="21"/>
          <w:szCs w:val="21"/>
        </w:rPr>
        <w:t xml:space="preserve">講義レジュメ「第2章：債務契約と会計情報」に対応する過去問・予想問題。</w:t>
      </w:r>
    </w:p>
    <w:p>
      <w:pPr>
        <w:pStyle w:val="Heading3"/>
        <w:spacing w:after="120" w:before="240"/>
      </w:pPr>
      <w:r>
        <w:t xml:space="preserve">⑥運転資本制限条項とエイジェンシー費用削減の理論的背景　〔現代財務諸表分析 A2ターム問題 問3〕</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運転資本制限条項が負債のエイジェンシー費用を削減する理論的背景について説明しなさい。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社債発行後、オーナー経営者は社債権者を犠牲にして株主（自己）の富を増加させるモラル・ハザード（リスク・シフティング、負債の増加、配当の増加）を行う誘因を持つ。資本市場が効率的であれば、社債投資家はこの動機を事前に織り込み高い利息を要求するため、企業は負債のエイジェンシー費用（資本コストの増加）を負担することになる。運転資本制限条項は、一定限度の運転資本が維持されない場合に、社債の追加発行・配当支払い・企業買収などの特定活動を禁止する条項であり、経営者が社債権者の富を害する行動（過大な配当支出や無謀な投資による資金流出）をとる前に歯止めをかける。これにより社債権者は事前にモラル・ハザードのリスクが抑制されていることを認識でき、要求する利息を引き下げることができるため、企業は資本コストの上昇を回避でき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「負債のエイジェンシー費用」の定義（社債投資家が事前にモラル・ハザードを織り込み高い利息を要求すること）を明示すること。</w:t>
      </w:r>
    </w:p>
    <w:p>
      <w:pPr>
        <w:pStyle w:val="ListParagraph"/>
        <w:numPr>
          <w:ilvl w:val="0"/>
          <w:numId w:val="2"/>
        </w:numPr>
        <w:spacing w:after="80" w:line="300"/>
      </w:pPr>
      <w:r>
        <w:rPr>
          <w:rFonts w:ascii="Yu Mincho" w:cs="Yu Mincho" w:eastAsia="Yu Mincho" w:hAnsi="Yu Mincho"/>
          <w:sz w:val="21"/>
          <w:szCs w:val="21"/>
        </w:rPr>
        <w:t xml:space="preserve">運転資本制限条項の内容（一定水準を割ると特定活動＝配当・追加発行・M&amp;A等を禁止）を正確に説明すること。</w:t>
      </w:r>
    </w:p>
    <w:p>
      <w:pPr>
        <w:pStyle w:val="ListParagraph"/>
        <w:numPr>
          <w:ilvl w:val="0"/>
          <w:numId w:val="2"/>
        </w:numPr>
        <w:spacing w:after="80" w:line="300"/>
      </w:pPr>
      <w:r>
        <w:rPr>
          <w:rFonts w:ascii="Yu Mincho" w:cs="Yu Mincho" w:eastAsia="Yu Mincho" w:hAnsi="Yu Mincho"/>
          <w:sz w:val="21"/>
          <w:szCs w:val="21"/>
        </w:rPr>
        <w:t xml:space="preserve">「事前の抑止効果→利息低下→資本コスト削減」という因果の流れを書くこと。</w:t>
      </w:r>
    </w:p>
    <w:p>
      <w:pPr>
        <w:pStyle w:val="ListParagraph"/>
        <w:numPr>
          <w:ilvl w:val="0"/>
          <w:numId w:val="2"/>
        </w:numPr>
        <w:spacing w:after="80" w:line="300"/>
      </w:pPr>
      <w:r>
        <w:rPr>
          <w:rFonts w:ascii="Yu Mincho" w:cs="Yu Mincho" w:eastAsia="Yu Mincho" w:hAnsi="Yu Mincho"/>
          <w:sz w:val="21"/>
          <w:szCs w:val="21"/>
        </w:rPr>
        <w:t xml:space="preserve">出典：第2章2.1〜2.2節。</w:t>
      </w:r>
    </w:p>
    <w:p>
      <w:pPr>
        <w:spacing w:after="100"/>
      </w:pPr>
    </w:p>
    <w:p>
      <w:pPr>
        <w:pStyle w:val="Heading3"/>
        <w:spacing w:after="120" w:before="240"/>
      </w:pPr>
      <w:r>
        <w:t xml:space="preserve">⑦負債比率制限条項とエイジェンシー費用削減メカニズム　〔2021年度 問1〕</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米国の一般的な財務制限条項の1つである負債比率制限条項が負債のエイジェンシー費用を削減するメカニズムを説明せよ。なお解答にあたっては，負債のエイジェンシー費用の定義を明確にすること。</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負債のエイジェンシー費用とは、社債発行後にオーナー経営者が社債権者の富を犠牲にして自己（株主）の富を増加させる3つのモラル・ハザード（①ハイリスク・ハイリターン投資へのリスク・シフティング、②負債の追加発行、③配当の増加）を行う可能性を、資本市場が効率的に事前予見して高い利息を要求することにより企業が負担する資本コストの増加のことである。負債比率制限条項は、社債の追加発行が計画されていても、それにより一定限度の負債比率を超過するようであれば追加発行を認めないとする条項である。これにより、経営者が社債の追加発行によって既存社債権者の請求権を希薄化させる行動（モラル・ハザード②）が事前に禁止されるため、社債権者は追加発行リスクを心配せず低い利息で資金を提供できるようになり、企業の資本コスト＝負債のエイジェンシー費用が削減され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「負債のエイジェンシー費用」の定義を明確に、という指示があるので必ず定義文を書くこと。</w:t>
      </w:r>
    </w:p>
    <w:p>
      <w:pPr>
        <w:pStyle w:val="ListParagraph"/>
        <w:numPr>
          <w:ilvl w:val="0"/>
          <w:numId w:val="2"/>
        </w:numPr>
        <w:spacing w:after="80" w:line="300"/>
      </w:pPr>
      <w:r>
        <w:rPr>
          <w:rFonts w:ascii="Yu Mincho" w:cs="Yu Mincho" w:eastAsia="Yu Mincho" w:hAnsi="Yu Mincho"/>
          <w:sz w:val="21"/>
          <w:szCs w:val="21"/>
        </w:rPr>
        <w:t xml:space="preserve">3つのモラル・ハザードのうち「負債の増加」に対応する条項であることを明示すること。</w:t>
      </w:r>
    </w:p>
    <w:p>
      <w:pPr>
        <w:pStyle w:val="ListParagraph"/>
        <w:numPr>
          <w:ilvl w:val="0"/>
          <w:numId w:val="2"/>
        </w:numPr>
        <w:spacing w:after="80" w:line="300"/>
      </w:pPr>
      <w:r>
        <w:rPr>
          <w:rFonts w:ascii="Yu Mincho" w:cs="Yu Mincho" w:eastAsia="Yu Mincho" w:hAnsi="Yu Mincho"/>
          <w:sz w:val="21"/>
          <w:szCs w:val="21"/>
        </w:rPr>
        <w:t xml:space="preserve">「追加発行の禁止→希薄化リスクの抑制→利息低下」という因果を書くこと。</w:t>
      </w:r>
    </w:p>
    <w:p>
      <w:pPr>
        <w:pStyle w:val="ListParagraph"/>
        <w:numPr>
          <w:ilvl w:val="0"/>
          <w:numId w:val="2"/>
        </w:numPr>
        <w:spacing w:after="80" w:line="300"/>
      </w:pPr>
      <w:r>
        <w:rPr>
          <w:rFonts w:ascii="Yu Mincho" w:cs="Yu Mincho" w:eastAsia="Yu Mincho" w:hAnsi="Yu Mincho"/>
          <w:sz w:val="21"/>
          <w:szCs w:val="21"/>
        </w:rPr>
        <w:t xml:space="preserve">出典：第2章2.1〜2.2節。</w:t>
      </w:r>
    </w:p>
    <w:p>
      <w:pPr>
        <w:spacing w:after="100"/>
      </w:pPr>
    </w:p>
    <w:p>
      <w:pPr>
        <w:pStyle w:val="Heading3"/>
        <w:spacing w:after="120" w:before="240"/>
      </w:pPr>
      <w:r>
        <w:t xml:space="preserve">⑧企業Bの特徴から財務制限条項を2つ選定　〔2022年度 問2〕</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100" w:line="300"/>
            </w:pPr>
            <w:r>
              <w:rPr>
                <w:rFonts w:ascii="Yu Mincho" w:cs="Yu Mincho" w:eastAsia="Yu Mincho" w:hAnsi="Yu Mincho"/>
                <w:i/>
                <w:iCs/>
                <w:sz w:val="20"/>
                <w:szCs w:val="20"/>
              </w:rPr>
              <w:t xml:space="preserve">無担保普通社債を発行する上場企業Bの特徴は下記のとおりである。エイジェンシー問題を緩和するために設定すべき財務制限条項（財務上の特約）を2つ指摘しなさい（担保提供制限条項を除く）。解答にあたっては，(1)設定する財務制限条項の内容を説明し，(2)そのような財務制限条項がなぜエイジェンシー問題を緩和するのかを企業Bの特徴を勘案した上で理論的に説明しなさい。</w:t>
            </w:r>
          </w:p>
          <w:p>
            <w:pPr>
              <w:spacing w:after="0" w:line="300"/>
            </w:pPr>
            <w:r>
              <w:rPr>
                <w:rFonts w:ascii="Yu Mincho" w:cs="Yu Mincho" w:eastAsia="Yu Mincho" w:hAnsi="Yu Mincho"/>
                <w:i/>
                <w:iCs/>
                <w:sz w:val="20"/>
                <w:szCs w:val="20"/>
              </w:rPr>
              <w:t xml:space="preserve">〔企業Bの特徴：成長企業であり，すでに多額の有利子負債がある。M&amp;A戦略により，事業拡大を行っている。流動比率や手元流動性比率が低い。利益の変動性は低く，安定した利益を報告している。株主還元には消極的であり，極端なペイアウトを行う心配はな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本問は「財務制限条項（財務上の特約）」という日本特有の呼称を用い「米国の」との限定もないことから、日本の財務制限条項（大蔵省ルールに由来する4種：①担保提供制限条項②純資産額維持条項③配当制限条項④利益維持条項）を前提とする設問と解される。①は除外指定のため、残り3種から2つを選ぶ。企業Bはすでに多額の有利子負債を抱え、M&amp;A戦略によりさらなる借入・のれん計上等でレバレッジが高まりやすく、加えて流動比率・手元流動性比率が低く財務的な緩衝に乏しい。この状態で自己資本（純資産）が毀損すれば債務超過・デフォルトのリスクが急速に高まるため、①純資産額維持条項（純資産を発行直前期の75％以上に維持）が有効である。純資産の下限を契約上拘束することで、経営者が過度な負債調達やリスクの高いM&amp;Aによって財務基盤を毀損する行動を事前に抑制できる。また、企業Bは現状「利益変動性が低く安定した利益」を計上しているため、②利益維持条項（経常損益が3期連続で損失となった場合に期限の利益を喪失させる）を設定しても平時の発動リスクは低く、社債権者にとって設定コストが小さい一方、多額の負債とM&amp;Aによる急速な事業拡大という潜在リスクが顕在化し実際に業績が悪化した際には早期にデフォルトの引き金を引ける安全弁として機能する。なお、企業Bは「株主還元に消極的で極端なペイアウトの心配はない」と明記されており、配当を通じた社外流出リスクは元来小さいため、③配当制限条項をあえて設定する限界的便益は小さく、優先度は相対的に低いと判断でき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設問文が「財務上の特約」という日本特有の呼称を用い「米国の」との限定がないことから、日本の財務制限条項4種（①担保提供制限条項②純資産額維持条項③配当制限条項④利益維持条項、第2章2.3節）が前提であると気づくこと。負債比率制限条項・運転資本制限条項は米国の財務制限条項（2.2節）であり本問の対象外。</w:t>
      </w:r>
    </w:p>
    <w:p>
      <w:pPr>
        <w:pStyle w:val="ListParagraph"/>
        <w:numPr>
          <w:ilvl w:val="0"/>
          <w:numId w:val="2"/>
        </w:numPr>
        <w:spacing w:after="80" w:line="300"/>
      </w:pPr>
      <w:r>
        <w:rPr>
          <w:rFonts w:ascii="Yu Mincho" w:cs="Yu Mincho" w:eastAsia="Yu Mincho" w:hAnsi="Yu Mincho"/>
          <w:sz w:val="21"/>
          <w:szCs w:val="21"/>
        </w:rPr>
        <w:t xml:space="preserve">企業Bの5つの特徴を漏れなく参照し、条項選択の理由づけに使うこと（多額の負債・M&amp;A・低流動性→純資産額維持条項、利益が安定＝設定コストが低い→利益維持条項、株主還元消極的→配当制限条項は優先度低いという消去法）。</w:t>
      </w:r>
    </w:p>
    <w:p>
      <w:pPr>
        <w:pStyle w:val="ListParagraph"/>
        <w:numPr>
          <w:ilvl w:val="0"/>
          <w:numId w:val="2"/>
        </w:numPr>
        <w:spacing w:after="80" w:line="300"/>
      </w:pPr>
      <w:r>
        <w:rPr>
          <w:rFonts w:ascii="Yu Mincho" w:cs="Yu Mincho" w:eastAsia="Yu Mincho" w:hAnsi="Yu Mincho"/>
          <w:sz w:val="21"/>
          <w:szCs w:val="21"/>
        </w:rPr>
        <w:t xml:space="preserve">選んだ2条項について「内容」と「なぜエイジェンシー問題を緩和するか」を分けて書くこと。</w:t>
      </w:r>
    </w:p>
    <w:p>
      <w:pPr>
        <w:pStyle w:val="ListParagraph"/>
        <w:numPr>
          <w:ilvl w:val="0"/>
          <w:numId w:val="2"/>
        </w:numPr>
        <w:spacing w:after="80" w:line="300"/>
      </w:pPr>
      <w:r>
        <w:rPr>
          <w:rFonts w:ascii="Yu Mincho" w:cs="Yu Mincho" w:eastAsia="Yu Mincho" w:hAnsi="Yu Mincho"/>
          <w:sz w:val="21"/>
          <w:szCs w:val="21"/>
        </w:rPr>
        <w:t xml:space="preserve">担保提供制限条項は指定により除外すること。</w:t>
      </w:r>
    </w:p>
    <w:p>
      <w:pPr>
        <w:pStyle w:val="ListParagraph"/>
        <w:numPr>
          <w:ilvl w:val="0"/>
          <w:numId w:val="2"/>
        </w:numPr>
        <w:spacing w:after="80" w:line="300"/>
      </w:pPr>
      <w:r>
        <w:rPr>
          <w:rFonts w:ascii="Yu Mincho" w:cs="Yu Mincho" w:eastAsia="Yu Mincho" w:hAnsi="Yu Mincho"/>
          <w:sz w:val="21"/>
          <w:szCs w:val="21"/>
        </w:rPr>
        <w:t xml:space="preserve">出典：第2章2.3節（日本の財務制限条項4種）。</w:t>
      </w:r>
    </w:p>
    <w:p>
      <w:pPr>
        <w:spacing w:after="100"/>
      </w:pPr>
    </w:p>
    <w:p>
      <w:pPr>
        <w:pStyle w:val="Heading3"/>
        <w:spacing w:after="120" w:before="240"/>
      </w:pPr>
      <w:r>
        <w:t xml:space="preserve">P3. Altman ZスコアとOhlson Oスコアによる倒産予測〔予想問題〕</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設問（予想）</w:t>
            </w:r>
          </w:p>
          <w:p>
            <w:pPr>
              <w:spacing w:after="0" w:line="300"/>
            </w:pPr>
            <w:r>
              <w:rPr>
                <w:rFonts w:ascii="Yu Mincho" w:cs="Yu Mincho" w:eastAsia="Yu Mincho" w:hAnsi="Yu Mincho"/>
                <w:i/>
                <w:iCs/>
                <w:sz w:val="20"/>
                <w:szCs w:val="20"/>
              </w:rPr>
              <w:t xml:space="preserve">Altman ZスコアとOhlson Oスコアによる倒産予測において，会計情報が果たす役割を説明しなさい。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倒産予測モデルは、会計数値を用いて企業の倒産可能性を定量的に推計するモデルである。AltmanのZスコアは、運転資本・留保利益・利子税引前利益・株式時価総額・売上高をそれぞれ総資産等で基準化した5つの財務指標を線形結合するモデルで、値が小さいほど（2.675を下回ると）倒産の可能性が高いと判定される。OhlsonのOスコアは総資産・負債比率・流動性・当期純利益等9つの変数から構成され、値が大きいほど倒産の可能性が高いと判定される。いずれも貸借対照表・損益計算書に由来する会計情報を用いて算定される点で共通しており、実際の倒産企業を対象とした検証でも高い予測力を示すことが確認されている。これは、会計情報がデフォルト・リスクの事前予測という債務契約における意思決定支援に有用であることを示す証拠であ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両モデルとも「会計数値にもとづく」点を明示すること。</w:t>
      </w:r>
    </w:p>
    <w:p>
      <w:pPr>
        <w:pStyle w:val="ListParagraph"/>
        <w:numPr>
          <w:ilvl w:val="0"/>
          <w:numId w:val="2"/>
        </w:numPr>
        <w:spacing w:after="80" w:line="300"/>
      </w:pPr>
      <w:r>
        <w:rPr>
          <w:rFonts w:ascii="Yu Mincho" w:cs="Yu Mincho" w:eastAsia="Yu Mincho" w:hAnsi="Yu Mincho"/>
          <w:sz w:val="21"/>
          <w:szCs w:val="21"/>
        </w:rPr>
        <w:t xml:space="preserve">Zスコアは値が小さい（2.675未満）ほど倒産可能性大、Oスコアは値が大きいほど倒産可能性大、という符号の違いに注意して書くこと。</w:t>
      </w:r>
    </w:p>
    <w:p>
      <w:pPr>
        <w:pStyle w:val="ListParagraph"/>
        <w:numPr>
          <w:ilvl w:val="0"/>
          <w:numId w:val="2"/>
        </w:numPr>
        <w:spacing w:after="80" w:line="300"/>
      </w:pPr>
      <w:r>
        <w:rPr>
          <w:rFonts w:ascii="Yu Mincho" w:cs="Yu Mincho" w:eastAsia="Yu Mincho" w:hAnsi="Yu Mincho"/>
          <w:sz w:val="21"/>
          <w:szCs w:val="21"/>
        </w:rPr>
        <w:t xml:space="preserve">「事前的な会計情報の有用性（意思決定支援機能）」という文脈に位置づけること。</w:t>
      </w:r>
    </w:p>
    <w:p>
      <w:pPr>
        <w:pStyle w:val="ListParagraph"/>
        <w:numPr>
          <w:ilvl w:val="0"/>
          <w:numId w:val="2"/>
        </w:numPr>
        <w:spacing w:after="80" w:line="300"/>
      </w:pPr>
      <w:r>
        <w:rPr>
          <w:rFonts w:ascii="Yu Mincho" w:cs="Yu Mincho" w:eastAsia="Yu Mincho" w:hAnsi="Yu Mincho"/>
          <w:sz w:val="21"/>
          <w:szCs w:val="21"/>
        </w:rPr>
        <w:t xml:space="preserve">出典：第2章2.7節。</w:t>
      </w:r>
    </w:p>
    <w:p>
      <w:pPr>
        <w:spacing w:after="100"/>
      </w:pPr>
    </w:p>
    <w:p>
      <w:pPr>
        <w:pStyle w:val="Heading3"/>
        <w:spacing w:after="120" w:before="240"/>
      </w:pPr>
      <w:r>
        <w:t xml:space="preserve">P4. 保守主義と負債契約の効率性〔予想問題〕</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設問（予想）</w:t>
            </w:r>
          </w:p>
          <w:p>
            <w:pPr>
              <w:spacing w:after="0" w:line="300"/>
            </w:pPr>
            <w:r>
              <w:rPr>
                <w:rFonts w:ascii="Yu Mincho" w:cs="Yu Mincho" w:eastAsia="Yu Mincho" w:hAnsi="Yu Mincho"/>
                <w:i/>
                <w:iCs/>
                <w:sz w:val="20"/>
                <w:szCs w:val="20"/>
              </w:rPr>
              <w:t xml:space="preserve">保守主義の採用が負債契約の効率性を高めるメカニズムについて，実証研究に依拠して説明しなさい。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保守主義とは、損失や負債を早期に認識する一方、利益や資産の認識は慎重に行う会計処理の傾向である。Ahmed et al.(2002)は、株主との利害対立が大きい企業ほど保守的な会計を採用しており、保守的な会計を採用している企業ほど負債コストが低下する（格付けが上位になる）ことを示した。これは、保守主義が社債権者と株主の利害対立を緩和し、負債契約の効率性を高めていることを意味する。またZhang(2008)は、保守主義が事後（財務制限条項への抵触可能性を高めデフォルト・リスクの適時なシグナルとなり貸し手にベネフィットをもたらす）と事前（負債コストの低下という形で借り手にベネフィットをもたらす）の両面で契約の効率性を高めることを示した。以上より、保守主義は債務契約の事前・事後を通じて会計情報の契約支援機能を強化す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保守主義の定義（損失・負債の早期認識、利益・資産の慎重な認識）を書くこと。</w:t>
      </w:r>
    </w:p>
    <w:p>
      <w:pPr>
        <w:pStyle w:val="ListParagraph"/>
        <w:numPr>
          <w:ilvl w:val="0"/>
          <w:numId w:val="2"/>
        </w:numPr>
        <w:spacing w:after="80" w:line="300"/>
      </w:pPr>
      <w:r>
        <w:rPr>
          <w:rFonts w:ascii="Yu Mincho" w:cs="Yu Mincho" w:eastAsia="Yu Mincho" w:hAnsi="Yu Mincho"/>
          <w:sz w:val="21"/>
          <w:szCs w:val="21"/>
        </w:rPr>
        <w:t xml:space="preserve">Ahmed et al.(2002)とZhang(2008)の両方の知見を（できれば）盛り込むこと。</w:t>
      </w:r>
    </w:p>
    <w:p>
      <w:pPr>
        <w:pStyle w:val="ListParagraph"/>
        <w:numPr>
          <w:ilvl w:val="0"/>
          <w:numId w:val="2"/>
        </w:numPr>
        <w:spacing w:after="80" w:line="300"/>
      </w:pPr>
      <w:r>
        <w:rPr>
          <w:rFonts w:ascii="Yu Mincho" w:cs="Yu Mincho" w:eastAsia="Yu Mincho" w:hAnsi="Yu Mincho"/>
          <w:sz w:val="21"/>
          <w:szCs w:val="21"/>
        </w:rPr>
        <w:t xml:space="preserve">「事前」と「事後」のベネフィットを区別して説明できると高評価。</w:t>
      </w:r>
    </w:p>
    <w:p>
      <w:pPr>
        <w:pStyle w:val="ListParagraph"/>
        <w:numPr>
          <w:ilvl w:val="0"/>
          <w:numId w:val="2"/>
        </w:numPr>
        <w:spacing w:after="80" w:line="300"/>
      </w:pPr>
      <w:r>
        <w:rPr>
          <w:rFonts w:ascii="Yu Mincho" w:cs="Yu Mincho" w:eastAsia="Yu Mincho" w:hAnsi="Yu Mincho"/>
          <w:sz w:val="21"/>
          <w:szCs w:val="21"/>
        </w:rPr>
        <w:t xml:space="preserve">出典：第2章2.4節。</w:t>
      </w:r>
    </w:p>
    <w:p>
      <w:pPr>
        <w:spacing w:after="100"/>
      </w:pPr>
    </w:p>
    <w:p>
      <w:pPr>
        <w:pStyle w:val="Heading1"/>
        <w:pageBreakBefore/>
        <w:spacing w:after="240" w:before="480"/>
      </w:pPr>
      <w:r>
        <w:t xml:space="preserve">第3章　政府契約に関する設問</w:t>
      </w:r>
    </w:p>
    <w:p>
      <w:pPr>
        <w:spacing w:after="140" w:line="320"/>
        <w:jc w:val="left"/>
      </w:pPr>
      <w:r>
        <w:rPr>
          <w:rFonts w:ascii="Yu Mincho" w:cs="Yu Mincho" w:eastAsia="Yu Mincho" w:hAnsi="Yu Mincho"/>
          <w:sz w:val="21"/>
          <w:szCs w:val="21"/>
        </w:rPr>
        <w:t xml:space="preserve">講義レジュメ「第3章：政府契約と会計情報」に対応する過去問・予想問題。</w:t>
      </w:r>
    </w:p>
    <w:p>
      <w:pPr>
        <w:pStyle w:val="Heading3"/>
        <w:spacing w:after="120" w:before="240"/>
      </w:pPr>
      <w:r>
        <w:t xml:space="preserve">⑨間接的規制の契約支援機能と利益調整インセンティブ　〔平成28年度 問2〕</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政府の間接的規制における財務会計の契約支援機能について要約した上で，これが経営者にどのような利益調整インセンティブを与えるのかを説明しなさい。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間接的規制とは、政府が経済主体に遵守すべきルールを明示し、違反時に事後的な制裁を科す規制方式である。独占禁止法違反の審査では市場占有率や資本利益率、売上高・製造原価などの財務会計数値が違反の証拠として活用されており、財務会計は違反というモラル・ハザードを抑止するシステムに組み込まれている（契約支援機能）。この結果、政治的コスト（独占禁止法違反による課徴金や訴訟コスト）が大きい企業の経営者ほど、利益の水準を低く見せることで規制当局の目を逃れようとする利益減少型の利益調整を行うインセンティブを持つ（政治費用仮説）。実際、独占禁止法の調査期間中には対象企業が利益減少型の裁量的発生高を計上することが実証されている（Jones, 1991；Cahan, 1992）。</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「間接的規制」の定義（事後的制裁）を明示すること。</w:t>
      </w:r>
    </w:p>
    <w:p>
      <w:pPr>
        <w:pStyle w:val="ListParagraph"/>
        <w:numPr>
          <w:ilvl w:val="0"/>
          <w:numId w:val="2"/>
        </w:numPr>
        <w:spacing w:after="80" w:line="300"/>
      </w:pPr>
      <w:r>
        <w:rPr>
          <w:rFonts w:ascii="Yu Mincho" w:cs="Yu Mincho" w:eastAsia="Yu Mincho" w:hAnsi="Yu Mincho"/>
          <w:sz w:val="21"/>
          <w:szCs w:val="21"/>
        </w:rPr>
        <w:t xml:space="preserve">間接規制における会計情報の使われ方（独禁法の審査で財務数値が証拠になる）に触れること。</w:t>
      </w:r>
    </w:p>
    <w:p>
      <w:pPr>
        <w:pStyle w:val="ListParagraph"/>
        <w:numPr>
          <w:ilvl w:val="0"/>
          <w:numId w:val="2"/>
        </w:numPr>
        <w:spacing w:after="80" w:line="300"/>
      </w:pPr>
      <w:r>
        <w:rPr>
          <w:rFonts w:ascii="Yu Mincho" w:cs="Yu Mincho" w:eastAsia="Yu Mincho" w:hAnsi="Yu Mincho"/>
          <w:sz w:val="21"/>
          <w:szCs w:val="21"/>
        </w:rPr>
        <w:t xml:space="preserve">「政治費用仮説」という用語とその内容（利益減少型の調整）を明示すること。</w:t>
      </w:r>
    </w:p>
    <w:p>
      <w:pPr>
        <w:pStyle w:val="ListParagraph"/>
        <w:numPr>
          <w:ilvl w:val="0"/>
          <w:numId w:val="2"/>
        </w:numPr>
        <w:spacing w:after="80" w:line="300"/>
      </w:pPr>
      <w:r>
        <w:rPr>
          <w:rFonts w:ascii="Yu Mincho" w:cs="Yu Mincho" w:eastAsia="Yu Mincho" w:hAnsi="Yu Mincho"/>
          <w:sz w:val="21"/>
          <w:szCs w:val="21"/>
        </w:rPr>
        <w:t xml:space="preserve">出典：第3章3.1節＋第6章6.7節（政治費用仮説）の複合問題。</w:t>
      </w:r>
    </w:p>
    <w:p>
      <w:pPr>
        <w:spacing w:after="100"/>
      </w:pPr>
    </w:p>
    <w:p>
      <w:pPr>
        <w:pStyle w:val="Heading3"/>
        <w:spacing w:after="120" w:before="240"/>
      </w:pPr>
      <w:r>
        <w:t xml:space="preserve">⑩政府の直接的規制における会計情報の意義　〔現代財務諸表分析 A2ターム問題 問2〕</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政府の直接的規制における会計情報の意義について説明しなさい。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直接的規制とは、経済主体がある種の意思決定を行う段階で政府が許認可制度をもって直接的に規制することであり、公益事業の料金決定がその典型例である。米国の公益事業の期待収益は「営業費用＋減価償却費＋税金＋規制当局が認可した資本利益率×基準資産額」という式で決定され、この算定にはGAAPにもとづく会計数値が用いられる。公益企業の経営者は、より高い料金を得るために費用や基準資産額を過大に計上する動機（モラル・ハザード）を持つが、公認会計士監査を受けた客観的な会計基準にもとづいて期待収益を算定することで、このモラル・ハザードを抑止できる。すなわち会計情報は、直接的規制において料金設定の客観的な基礎を提供し、規制当局と被規制企業の間のモラル・ハザードを抑制する契約支援機能を果たしてい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直接的規制の定義（事前の許認可制度）を明示すること。</w:t>
      </w:r>
    </w:p>
    <w:p>
      <w:pPr>
        <w:pStyle w:val="ListParagraph"/>
        <w:numPr>
          <w:ilvl w:val="0"/>
          <w:numId w:val="2"/>
        </w:numPr>
        <w:spacing w:after="80" w:line="300"/>
      </w:pPr>
      <w:r>
        <w:rPr>
          <w:rFonts w:ascii="Yu Mincho" w:cs="Yu Mincho" w:eastAsia="Yu Mincho" w:hAnsi="Yu Mincho"/>
          <w:sz w:val="21"/>
          <w:szCs w:val="21"/>
        </w:rPr>
        <w:t xml:space="preserve">公益事業の料金決定式を示せると高評価。</w:t>
      </w:r>
    </w:p>
    <w:p>
      <w:pPr>
        <w:pStyle w:val="ListParagraph"/>
        <w:numPr>
          <w:ilvl w:val="0"/>
          <w:numId w:val="2"/>
        </w:numPr>
        <w:spacing w:after="80" w:line="300"/>
      </w:pPr>
      <w:r>
        <w:rPr>
          <w:rFonts w:ascii="Yu Mincho" w:cs="Yu Mincho" w:eastAsia="Yu Mincho" w:hAnsi="Yu Mincho"/>
          <w:sz w:val="21"/>
          <w:szCs w:val="21"/>
        </w:rPr>
        <w:t xml:space="preserve">経営者のモラル・ハザード（費用の過大計上）とそれを会計情報が抑止する仕組みを説明すること。</w:t>
      </w:r>
    </w:p>
    <w:p>
      <w:pPr>
        <w:pStyle w:val="ListParagraph"/>
        <w:numPr>
          <w:ilvl w:val="0"/>
          <w:numId w:val="2"/>
        </w:numPr>
        <w:spacing w:after="80" w:line="300"/>
      </w:pPr>
      <w:r>
        <w:rPr>
          <w:rFonts w:ascii="Yu Mincho" w:cs="Yu Mincho" w:eastAsia="Yu Mincho" w:hAnsi="Yu Mincho"/>
          <w:sz w:val="21"/>
          <w:szCs w:val="21"/>
        </w:rPr>
        <w:t xml:space="preserve">出典：第3章3.1節。</w:t>
      </w:r>
    </w:p>
    <w:p>
      <w:pPr>
        <w:spacing w:after="100"/>
      </w:pPr>
    </w:p>
    <w:p>
      <w:pPr>
        <w:pStyle w:val="Heading3"/>
        <w:spacing w:after="120" w:before="240"/>
      </w:pPr>
      <w:r>
        <w:t xml:space="preserve">⑪日本の徴税システムと財務会計（3ポイント）　〔平成30年度 問2〕</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日本の徴税システムに財務会計が組み込まれていることの意義について3つのポイントから要約しなさい。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わが国の法人税法は、株主総会で承認された損益計算書の当期利益から誘導的に課税所得を計算する確定決算基準を採用している。この意義は3点ある。第一に、モニタリング・コストの削減である。財務会計の当期利益は公正妥当な会計基準に従い監査を受けているため、これを課税所得計算の基礎とすれば課税当局は税務調査を大幅に節約できる。第二に、モラル・ハザードの抑止力の内蔵である。損金として認められるには財務会計上も費用計上されている必要があるため、節税のためには財務会計上の利益も削減しなければならず、脱税への抑止力となる。第三に、政策目的の達成である。特別償却等の租税特別措置は財務会計と課税所得計算を連動させることで、企業に資本蓄積・投資促進のインセンティブを適切に与えることができ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確定決算基準の定義を明示すること。</w:t>
      </w:r>
    </w:p>
    <w:p>
      <w:pPr>
        <w:pStyle w:val="ListParagraph"/>
        <w:numPr>
          <w:ilvl w:val="0"/>
          <w:numId w:val="2"/>
        </w:numPr>
        <w:spacing w:after="80" w:line="300"/>
      </w:pPr>
      <w:r>
        <w:rPr>
          <w:rFonts w:ascii="Yu Mincho" w:cs="Yu Mincho" w:eastAsia="Yu Mincho" w:hAnsi="Yu Mincho"/>
          <w:sz w:val="21"/>
          <w:szCs w:val="21"/>
        </w:rPr>
        <w:t xml:space="preserve">3ポイント（モニタリング・コスト削減／モラル・ハザード抑止力の内蔵／政策目的の達成）を漏れなく書くこと。</w:t>
      </w:r>
    </w:p>
    <w:p>
      <w:pPr>
        <w:pStyle w:val="ListParagraph"/>
        <w:numPr>
          <w:ilvl w:val="0"/>
          <w:numId w:val="2"/>
        </w:numPr>
        <w:spacing w:after="80" w:line="300"/>
      </w:pPr>
      <w:r>
        <w:rPr>
          <w:rFonts w:ascii="Yu Mincho" w:cs="Yu Mincho" w:eastAsia="Yu Mincho" w:hAnsi="Yu Mincho"/>
          <w:sz w:val="21"/>
          <w:szCs w:val="21"/>
        </w:rPr>
        <w:t xml:space="preserve">それぞれの因果メカニズムを簡潔に説明すること。</w:t>
      </w:r>
    </w:p>
    <w:p>
      <w:pPr>
        <w:pStyle w:val="ListParagraph"/>
        <w:numPr>
          <w:ilvl w:val="0"/>
          <w:numId w:val="2"/>
        </w:numPr>
        <w:spacing w:after="80" w:line="300"/>
      </w:pPr>
      <w:r>
        <w:rPr>
          <w:rFonts w:ascii="Yu Mincho" w:cs="Yu Mincho" w:eastAsia="Yu Mincho" w:hAnsi="Yu Mincho"/>
          <w:sz w:val="21"/>
          <w:szCs w:val="21"/>
        </w:rPr>
        <w:t xml:space="preserve">出典：第3章3.2節。</w:t>
      </w:r>
    </w:p>
    <w:p>
      <w:pPr>
        <w:spacing w:after="100"/>
      </w:pPr>
    </w:p>
    <w:p>
      <w:pPr>
        <w:pStyle w:val="Heading3"/>
        <w:spacing w:after="120" w:before="240"/>
      </w:pPr>
      <w:r>
        <w:t xml:space="preserve">P5. 政府調達契約（コスト・プラス契約）〔予想問題〕</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設問（予想）</w:t>
            </w:r>
          </w:p>
          <w:p>
            <w:pPr>
              <w:spacing w:after="0" w:line="300"/>
            </w:pPr>
            <w:r>
              <w:rPr>
                <w:rFonts w:ascii="Yu Mincho" w:cs="Yu Mincho" w:eastAsia="Yu Mincho" w:hAnsi="Yu Mincho"/>
                <w:i/>
                <w:iCs/>
                <w:sz w:val="20"/>
                <w:szCs w:val="20"/>
              </w:rPr>
              <w:t xml:space="preserve">政府調達契約（コスト・プラス契約）における財務会計の役割について，日米を比較して説明しなさい。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武器装備品のような市場価格のない財を政府が調達する場合、製造原価に適正利益を加算するコスト・プラス契約が用いられる。米国では原価計算基準審議会（CASB）が設定した原価計算基準（CAS）にもとづき契約額が決定され、財務会計記録との整合性が重視される。日本では防衛省の調達の大半が随意契約であり、企業が提示した費用を防衛省装備施設本部が監査したうえで原価を見積もる「監査付き型」原価計算方式が採用されている。いずれの国でも、既存の財務会計システム（原価元帳等）を調達契約に活用することで、別途の備忘記録を整備・モニタリングするコストを節約でき、エイジェンシー費用の削減につながる。ただし日本のNEC事件（1998年）のように、二重帳簿による水増し請求が行われれば、会計情報を用いてもモラル・ハザードの抑止には限界があることが示されてい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コスト・プラス契約の定義（市場価格のない財に製造原価＋適正利益で契約額を決める）を書くこと。</w:t>
      </w:r>
    </w:p>
    <w:p>
      <w:pPr>
        <w:pStyle w:val="ListParagraph"/>
        <w:numPr>
          <w:ilvl w:val="0"/>
          <w:numId w:val="2"/>
        </w:numPr>
        <w:spacing w:after="80" w:line="300"/>
      </w:pPr>
      <w:r>
        <w:rPr>
          <w:rFonts w:ascii="Yu Mincho" w:cs="Yu Mincho" w:eastAsia="Yu Mincho" w:hAnsi="Yu Mincho"/>
          <w:sz w:val="21"/>
          <w:szCs w:val="21"/>
        </w:rPr>
        <w:t xml:space="preserve">米国＝CASB/CAS、日本＝監査付き型原価計算方式、という日米比較の軸を明示すること。</w:t>
      </w:r>
    </w:p>
    <w:p>
      <w:pPr>
        <w:pStyle w:val="ListParagraph"/>
        <w:numPr>
          <w:ilvl w:val="0"/>
          <w:numId w:val="2"/>
        </w:numPr>
        <w:spacing w:after="80" w:line="300"/>
      </w:pPr>
      <w:r>
        <w:rPr>
          <w:rFonts w:ascii="Yu Mincho" w:cs="Yu Mincho" w:eastAsia="Yu Mincho" w:hAnsi="Yu Mincho"/>
          <w:sz w:val="21"/>
          <w:szCs w:val="21"/>
        </w:rPr>
        <w:t xml:space="preserve">「既存の財務会計システムの活用によるエイジェンシー費用削減」という理論的根拠を書くこと。</w:t>
      </w:r>
    </w:p>
    <w:p>
      <w:pPr>
        <w:pStyle w:val="ListParagraph"/>
        <w:numPr>
          <w:ilvl w:val="0"/>
          <w:numId w:val="2"/>
        </w:numPr>
        <w:spacing w:after="80" w:line="300"/>
      </w:pPr>
      <w:r>
        <w:rPr>
          <w:rFonts w:ascii="Yu Mincho" w:cs="Yu Mincho" w:eastAsia="Yu Mincho" w:hAnsi="Yu Mincho"/>
          <w:sz w:val="21"/>
          <w:szCs w:val="21"/>
        </w:rPr>
        <w:t xml:space="preserve">NEC事件などの限界に触れられると加点。</w:t>
      </w:r>
    </w:p>
    <w:p>
      <w:pPr>
        <w:pStyle w:val="ListParagraph"/>
        <w:numPr>
          <w:ilvl w:val="0"/>
          <w:numId w:val="2"/>
        </w:numPr>
        <w:spacing w:after="80" w:line="300"/>
      </w:pPr>
      <w:r>
        <w:rPr>
          <w:rFonts w:ascii="Yu Mincho" w:cs="Yu Mincho" w:eastAsia="Yu Mincho" w:hAnsi="Yu Mincho"/>
          <w:sz w:val="21"/>
          <w:szCs w:val="21"/>
        </w:rPr>
        <w:t xml:space="preserve">出典：第3章3.3節。</w:t>
      </w:r>
    </w:p>
    <w:p>
      <w:pPr>
        <w:spacing w:after="100"/>
      </w:pPr>
    </w:p>
    <w:p>
      <w:pPr>
        <w:pStyle w:val="Heading1"/>
        <w:pageBreakBefore/>
        <w:spacing w:after="240" w:before="480"/>
      </w:pPr>
      <w:r>
        <w:t xml:space="preserve">第4章　株式市場に関する設問</w:t>
      </w:r>
    </w:p>
    <w:p>
      <w:pPr>
        <w:spacing w:after="140" w:line="320"/>
        <w:jc w:val="left"/>
      </w:pPr>
      <w:r>
        <w:rPr>
          <w:rFonts w:ascii="Yu Mincho" w:cs="Yu Mincho" w:eastAsia="Yu Mincho" w:hAnsi="Yu Mincho"/>
          <w:sz w:val="21"/>
          <w:szCs w:val="21"/>
        </w:rPr>
        <w:t xml:space="preserve">講義レジュメ「第4章：株式市場と会計情報」に対応する過去問・予想問題。</w:t>
      </w:r>
    </w:p>
    <w:p>
      <w:pPr>
        <w:pStyle w:val="Heading3"/>
        <w:spacing w:after="120" w:before="240"/>
      </w:pPr>
      <w:r>
        <w:t xml:space="preserve">⑫Ball and Brown(1968)とBeaver(1968)の要約と会計情報の有用性　〔平成28年度 問3〕</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Ball and Brown (1968)とBeaver (1968)の主要な結果を要約した上で，それにもとづいて会計情報の有用性について説明しなさい。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Ball and Brown(1968)は、NYSE上場企業を対象に「期待外利益」と「異常投資収益率」の関係を分析し、利益公表後の累積異常投資収益率がほとんど変動しないことを発見した。これは利益情報の公表とほぼ同時に市場がその情報を株価に織り込んだことを意味する。Beaver(1968)は、利益公表週の異常投資収益率の分散が検定期間中で最大になることを発見し、年次利益の公表時に異常な株価反応が生じることを示した。両研究はいずれも会計利益の公表に株価が反応することを示しており、会計情報が投資家の意思決定にとって有用な情報内容（information content）を持つことを裏付けている。ただしこの有用性は、情報を事前に入手した場合に成立する「潜在的有用性」にとどまり、公表後にそれを用いて継続的に市場平均を上回るリターンを得られる「実際的有用性」までは示していない。</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2つの研究それぞれの分析対象（期待外利益vs異常収益率の相関、公表週の反応の分散）を区別して要約すること。</w:t>
      </w:r>
    </w:p>
    <w:p>
      <w:pPr>
        <w:pStyle w:val="ListParagraph"/>
        <w:numPr>
          <w:ilvl w:val="0"/>
          <w:numId w:val="2"/>
        </w:numPr>
        <w:spacing w:after="80" w:line="300"/>
      </w:pPr>
      <w:r>
        <w:rPr>
          <w:rFonts w:ascii="Yu Mincho" w:cs="Yu Mincho" w:eastAsia="Yu Mincho" w:hAnsi="Yu Mincho"/>
          <w:sz w:val="21"/>
          <w:szCs w:val="21"/>
        </w:rPr>
        <w:t xml:space="preserve">「潜在的有用性」という結論に必ず言及すること（頻出のオチ）。</w:t>
      </w:r>
    </w:p>
    <w:p>
      <w:pPr>
        <w:pStyle w:val="ListParagraph"/>
        <w:numPr>
          <w:ilvl w:val="0"/>
          <w:numId w:val="2"/>
        </w:numPr>
        <w:spacing w:after="80" w:line="300"/>
      </w:pPr>
      <w:r>
        <w:rPr>
          <w:rFonts w:ascii="Yu Mincho" w:cs="Yu Mincho" w:eastAsia="Yu Mincho" w:hAnsi="Yu Mincho"/>
          <w:sz w:val="21"/>
          <w:szCs w:val="21"/>
        </w:rPr>
        <w:t xml:space="preserve">「情報内容(information content)」という用語を使えると加点。</w:t>
      </w:r>
    </w:p>
    <w:p>
      <w:pPr>
        <w:pStyle w:val="ListParagraph"/>
        <w:numPr>
          <w:ilvl w:val="0"/>
          <w:numId w:val="2"/>
        </w:numPr>
        <w:spacing w:after="80" w:line="300"/>
      </w:pPr>
      <w:r>
        <w:rPr>
          <w:rFonts w:ascii="Yu Mincho" w:cs="Yu Mincho" w:eastAsia="Yu Mincho" w:hAnsi="Yu Mincho"/>
          <w:sz w:val="21"/>
          <w:szCs w:val="21"/>
        </w:rPr>
        <w:t xml:space="preserve">出典：第4章4.3〜4.5節。</w:t>
      </w:r>
    </w:p>
    <w:p>
      <w:pPr>
        <w:spacing w:after="100"/>
      </w:pPr>
    </w:p>
    <w:p>
      <w:pPr>
        <w:pStyle w:val="Heading3"/>
        <w:spacing w:after="120" w:before="240"/>
      </w:pPr>
      <w:r>
        <w:t xml:space="preserve">⑬会計情報の実際的有用性を示唆する投資戦略　〔平成30年度 問3〕</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会計情報の実際的有用性を示唆する投資戦略について説明しなさい。なお解答にあたっては，①会計情報の実際的有用性とは何か，②アクティブ戦略において会計情報に期待される役割は何か，③会計数値を用いたアクティブ戦略の具体的な内容，について説明すること。</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①実際的有用性とは、会計情報の公表後にそれを用いて投資活動を行うことで市場平均を上回る異常投資収益率を継続的に獲得できることをいう。②アクティブ戦略において会計情報に期待される役割は、会計数値公表直後の分析で期待外に良い（悪い）業績であれば迅速に購入（売却）すること、および公表財務諸表から将来の業績・利益数値を予測することの2つである。③具体的な戦略として、PEAD（利益発表後の株価のドリフト）を利用し期待外利益が上位の銘柄を買い下位の銘柄を空売りする戦略（Foster et al., 1984）、Ou and Penman(1989)の財務比率にもとづく利益予測モデルによるファンダメンタル分析、Ohlsonの残余利益モデルにもとづき企業価値と株価の乖離を用いる戦略（Frankel and Lee, 1998）などがあり、いずれも市場平均を上回る超過リターンの獲得が実証されている。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①②③の3構成に沿って答えること（設問の指示通りの構造）。</w:t>
      </w:r>
    </w:p>
    <w:p>
      <w:pPr>
        <w:pStyle w:val="ListParagraph"/>
        <w:numPr>
          <w:ilvl w:val="0"/>
          <w:numId w:val="2"/>
        </w:numPr>
        <w:spacing w:after="80" w:line="300"/>
      </w:pPr>
      <w:r>
        <w:rPr>
          <w:rFonts w:ascii="Yu Mincho" w:cs="Yu Mincho" w:eastAsia="Yu Mincho" w:hAnsi="Yu Mincho"/>
          <w:sz w:val="21"/>
          <w:szCs w:val="21"/>
        </w:rPr>
        <w:t xml:space="preserve">PEAD・ファンダメンタル分析・残余利益モデルの3つを漏れなく挙げること。</w:t>
      </w:r>
    </w:p>
    <w:p>
      <w:pPr>
        <w:pStyle w:val="ListParagraph"/>
        <w:numPr>
          <w:ilvl w:val="0"/>
          <w:numId w:val="2"/>
        </w:numPr>
        <w:spacing w:after="80" w:line="300"/>
      </w:pPr>
      <w:r>
        <w:rPr>
          <w:rFonts w:ascii="Yu Mincho" w:cs="Yu Mincho" w:eastAsia="Yu Mincho" w:hAnsi="Yu Mincho"/>
          <w:sz w:val="21"/>
          <w:szCs w:val="21"/>
        </w:rPr>
        <w:t xml:space="preserve">各戦略について代表的な研究者名を添えると加点。</w:t>
      </w:r>
    </w:p>
    <w:p>
      <w:pPr>
        <w:pStyle w:val="ListParagraph"/>
        <w:numPr>
          <w:ilvl w:val="0"/>
          <w:numId w:val="2"/>
        </w:numPr>
        <w:spacing w:after="80" w:line="300"/>
      </w:pPr>
      <w:r>
        <w:rPr>
          <w:rFonts w:ascii="Yu Mincho" w:cs="Yu Mincho" w:eastAsia="Yu Mincho" w:hAnsi="Yu Mincho"/>
          <w:sz w:val="21"/>
          <w:szCs w:val="21"/>
        </w:rPr>
        <w:t xml:space="preserve">出典：第4章4.6節。</w:t>
      </w:r>
    </w:p>
    <w:p>
      <w:pPr>
        <w:spacing w:after="100"/>
      </w:pPr>
    </w:p>
    <w:p>
      <w:pPr>
        <w:pStyle w:val="Heading3"/>
        <w:spacing w:after="120" w:before="240"/>
      </w:pPr>
      <w:r>
        <w:t xml:space="preserve">P6. CAPMと会計上のリスク指標〔予想問題〕</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設問（予想）</w:t>
            </w:r>
          </w:p>
          <w:p>
            <w:pPr>
              <w:spacing w:after="0" w:line="300"/>
            </w:pPr>
            <w:r>
              <w:rPr>
                <w:rFonts w:ascii="Yu Mincho" w:cs="Yu Mincho" w:eastAsia="Yu Mincho" w:hAnsi="Yu Mincho"/>
                <w:i/>
                <w:iCs/>
                <w:sz w:val="20"/>
                <w:szCs w:val="20"/>
              </w:rPr>
              <w:t xml:space="preserve">CAPMにもとづく期待収益率の推定と，会計上のリスク指標との関係について説明しなさい。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CAPM（資本資産評価モデル）は、E(Ri)=Rf+βi[E(Rm)−Rf]という式で個別証券の期待収益率を推定するモデルであり、βは市場全体の変動に対する感応度（システマティック・リスク）を示す。パッシブ戦略をとる投資家は自ら負担できるリスク水準に見合った銘柄選択を行うため、投資リスクの推定に会計情報が役立つ。実証研究（石川, 2000）によれば、損益分岐点比率・負債比率・利益変動性（経常利益の標準偏差）・会計β値は投資リスクと正の相関を持ち、自己資本比率は負の相関を持つ。すなわち、これらの会計上のリスク指標はCAPMのβが直接観察できない場合にも、財務諸表分析を通じて投資リスクを代理的に把握する手段となり、会計情報が意思決定支援機能を果たしていることを示してい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CAPMの式を正確に書くこと。</w:t>
      </w:r>
    </w:p>
    <w:p>
      <w:pPr>
        <w:pStyle w:val="ListParagraph"/>
        <w:numPr>
          <w:ilvl w:val="0"/>
          <w:numId w:val="2"/>
        </w:numPr>
        <w:spacing w:after="80" w:line="300"/>
      </w:pPr>
      <w:r>
        <w:rPr>
          <w:rFonts w:ascii="Yu Mincho" w:cs="Yu Mincho" w:eastAsia="Yu Mincho" w:hAnsi="Yu Mincho"/>
          <w:sz w:val="21"/>
          <w:szCs w:val="21"/>
        </w:rPr>
        <w:t xml:space="preserve">パッシブ戦略における会計情報の役割（リスクの推定）という位置づけを明示すること。</w:t>
      </w:r>
    </w:p>
    <w:p>
      <w:pPr>
        <w:pStyle w:val="ListParagraph"/>
        <w:numPr>
          <w:ilvl w:val="0"/>
          <w:numId w:val="2"/>
        </w:numPr>
        <w:spacing w:after="80" w:line="300"/>
      </w:pPr>
      <w:r>
        <w:rPr>
          <w:rFonts w:ascii="Yu Mincho" w:cs="Yu Mincho" w:eastAsia="Yu Mincho" w:hAnsi="Yu Mincho"/>
          <w:sz w:val="21"/>
          <w:szCs w:val="21"/>
        </w:rPr>
        <w:t xml:space="preserve">5つの会計リスク指標のうち少なくとも2〜3つとその符号（＋／－）を挙げること。</w:t>
      </w:r>
    </w:p>
    <w:p>
      <w:pPr>
        <w:pStyle w:val="ListParagraph"/>
        <w:numPr>
          <w:ilvl w:val="0"/>
          <w:numId w:val="2"/>
        </w:numPr>
        <w:spacing w:after="80" w:line="300"/>
      </w:pPr>
      <w:r>
        <w:rPr>
          <w:rFonts w:ascii="Yu Mincho" w:cs="Yu Mincho" w:eastAsia="Yu Mincho" w:hAnsi="Yu Mincho"/>
          <w:sz w:val="21"/>
          <w:szCs w:val="21"/>
        </w:rPr>
        <w:t xml:space="preserve">出典：第4章4.1節・4.6節。</w:t>
      </w:r>
    </w:p>
    <w:p>
      <w:pPr>
        <w:spacing w:after="100"/>
      </w:pPr>
    </w:p>
    <w:p>
      <w:pPr>
        <w:pStyle w:val="Heading3"/>
        <w:spacing w:after="120" w:before="240"/>
      </w:pPr>
      <w:r>
        <w:t xml:space="preserve">P7. PEADと効率的市場仮説の不整合〔予想問題〕</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設問（予想）</w:t>
            </w:r>
          </w:p>
          <w:p>
            <w:pPr>
              <w:spacing w:after="0" w:line="300"/>
            </w:pPr>
            <w:r>
              <w:rPr>
                <w:rFonts w:ascii="Yu Mincho" w:cs="Yu Mincho" w:eastAsia="Yu Mincho" w:hAnsi="Yu Mincho"/>
                <w:i/>
                <w:iCs/>
                <w:sz w:val="20"/>
                <w:szCs w:val="20"/>
              </w:rPr>
              <w:t xml:space="preserve">PEAD（利益発表後の株価のドリフト）とは何かを説明した上で，これが効率的市場仮説とどのように整合しないかを述べなさい。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PEADとは、利益発表に対する株価の反応が発表時点で完了せず、予想外に良好な利益を発表した企業の株価はその後の期間にわたって上昇し続け、逆に予想外に低調な利益を発表した企業の株価は下落し続けるという現象である。Foster, Olsen and Shevlin(1984)は、期待外利益が上位10％の銘柄を買い下位10％の銘柄を空売りし60日間保有すると平均6.31％の超過リターンを獲得できることを示した。効率的市場仮説（特に半強度の効率性）は、公表された情報は即座に株価に織り込まれ、事後にその情報を用いても継続的に市場平均を上回るリターンは得られないと予測する。しかしPEADは、利益発表という一般に利用可能な情報が発表後も株価に完全には反映されておらず、事後的な投資戦略によって超過リターンを獲得できることを示しており、効率的市場仮説の予測と整合しない「アノマリー」であ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PEADの定義（株価反応が発表時点で完結しない現象）を正確に書くこと。</w:t>
      </w:r>
    </w:p>
    <w:p>
      <w:pPr>
        <w:pStyle w:val="ListParagraph"/>
        <w:numPr>
          <w:ilvl w:val="0"/>
          <w:numId w:val="2"/>
        </w:numPr>
        <w:spacing w:after="80" w:line="300"/>
      </w:pPr>
      <w:r>
        <w:rPr>
          <w:rFonts w:ascii="Yu Mincho" w:cs="Yu Mincho" w:eastAsia="Yu Mincho" w:hAnsi="Yu Mincho"/>
          <w:sz w:val="21"/>
          <w:szCs w:val="21"/>
        </w:rPr>
        <w:t xml:space="preserve">Foster, Olsen and Shevlinの数値（6.31%等）を挙げられると高評価。</w:t>
      </w:r>
    </w:p>
    <w:p>
      <w:pPr>
        <w:pStyle w:val="ListParagraph"/>
        <w:numPr>
          <w:ilvl w:val="0"/>
          <w:numId w:val="2"/>
        </w:numPr>
        <w:spacing w:after="80" w:line="300"/>
      </w:pPr>
      <w:r>
        <w:rPr>
          <w:rFonts w:ascii="Yu Mincho" w:cs="Yu Mincho" w:eastAsia="Yu Mincho" w:hAnsi="Yu Mincho"/>
          <w:sz w:val="21"/>
          <w:szCs w:val="21"/>
        </w:rPr>
        <w:t xml:space="preserve">「半強度の効率的市場仮説の予測」と「実際の観察結果」を対比させて「整合しない」ことを明示すること。</w:t>
      </w:r>
    </w:p>
    <w:p>
      <w:pPr>
        <w:pStyle w:val="ListParagraph"/>
        <w:numPr>
          <w:ilvl w:val="0"/>
          <w:numId w:val="2"/>
        </w:numPr>
        <w:spacing w:after="80" w:line="300"/>
      </w:pPr>
      <w:r>
        <w:rPr>
          <w:rFonts w:ascii="Yu Mincho" w:cs="Yu Mincho" w:eastAsia="Yu Mincho" w:hAnsi="Yu Mincho"/>
          <w:sz w:val="21"/>
          <w:szCs w:val="21"/>
        </w:rPr>
        <w:t xml:space="preserve">出典：第4章4.6節。</w:t>
      </w:r>
    </w:p>
    <w:p>
      <w:pPr>
        <w:spacing w:after="100"/>
      </w:pPr>
    </w:p>
    <w:p>
      <w:pPr>
        <w:pStyle w:val="Heading1"/>
        <w:pageBreakBefore/>
        <w:spacing w:after="240" w:before="480"/>
      </w:pPr>
      <w:r>
        <w:t xml:space="preserve">第5章　自発的情報開示（IR）に関する設問</w:t>
      </w:r>
    </w:p>
    <w:p>
      <w:pPr>
        <w:spacing w:after="140" w:line="320"/>
        <w:jc w:val="left"/>
      </w:pPr>
      <w:r>
        <w:rPr>
          <w:rFonts w:ascii="Yu Mincho" w:cs="Yu Mincho" w:eastAsia="Yu Mincho" w:hAnsi="Yu Mincho"/>
          <w:sz w:val="21"/>
          <w:szCs w:val="21"/>
        </w:rPr>
        <w:t xml:space="preserve">講義レジュメ「第5章：自発的情報開示（IR）」に対応する過去問・予想問題。</w:t>
      </w:r>
    </w:p>
    <w:p>
      <w:pPr>
        <w:pStyle w:val="Heading3"/>
        <w:spacing w:after="120" w:before="240"/>
      </w:pPr>
      <w:r>
        <w:t xml:space="preserve">⑭情報の非対称性理論と資本コスト（Easley and O'Hara）　〔令和元年度 問3／2022年度 問3（同一論点、計2回）〕</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100" w:line="300"/>
            </w:pPr>
            <w:r>
              <w:rPr>
                <w:rFonts w:ascii="Yu Mincho" w:cs="Yu Mincho" w:eastAsia="Yu Mincho" w:hAnsi="Yu Mincho"/>
                <w:i/>
                <w:iCs/>
                <w:sz w:val="20"/>
                <w:szCs w:val="20"/>
              </w:rPr>
              <w:t xml:space="preserve">〔令和元年度〕Easley and O'Hara (2004)に依拠して，会計情報の質が資本コストに与える影響を要約せよ。</w:t>
            </w:r>
          </w:p>
          <w:p>
            <w:pPr>
              <w:spacing w:after="0" w:line="300"/>
            </w:pPr>
            <w:r>
              <w:rPr>
                <w:rFonts w:ascii="Yu Mincho" w:cs="Yu Mincho" w:eastAsia="Yu Mincho" w:hAnsi="Yu Mincho"/>
                <w:i/>
                <w:iCs/>
                <w:sz w:val="20"/>
                <w:szCs w:val="20"/>
              </w:rPr>
              <w:t xml:space="preserve">〔2022年度〕強制的ディスクロージャーの質が資本コストに与える影響について，投資家間の情報の非対称性に関する理論研究に依拠して説明しなさい。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Easley and O'Hara(2004)は、私的情報を有する情報優位な投資家（informed investors）と情報劣位な投資家（uninformed investors）との間の情報の非対称性から生じるリスクを「情報リスク」と定義した。情報劣位の投資家はこのリスクに見合う高いリターンを企業に要求するため、情報リスクの大きさは企業の資本コストの増加につながる。情報リスクの大きさは、私的情報の量・精度に加え、公的情報（会計情報を含む強制的ディスクロージャー）の精度にも依存する。情報劣位の投資家は公的情報自体にはアクセスできるため「量」は問題にならないが、その「質（精度）」が低い場合には追加的なリスクを負う。したがって、強制的ディスクロージャーの質が高いほど情報劣位投資家の情報リスクが低下し、企業の資本コストは低減する。この理論的予測は須田・首藤・太田(2004)等の実証研究でも支持されてい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informed investors / uninformed investors の区別と「情報リスク」の定義を明示すること。</w:t>
      </w:r>
    </w:p>
    <w:p>
      <w:pPr>
        <w:pStyle w:val="ListParagraph"/>
        <w:numPr>
          <w:ilvl w:val="0"/>
          <w:numId w:val="2"/>
        </w:numPr>
        <w:spacing w:after="80" w:line="300"/>
      </w:pPr>
      <w:r>
        <w:rPr>
          <w:rFonts w:ascii="Yu Mincho" w:cs="Yu Mincho" w:eastAsia="Yu Mincho" w:hAnsi="Yu Mincho"/>
          <w:sz w:val="21"/>
          <w:szCs w:val="21"/>
        </w:rPr>
        <w:t xml:space="preserve">「公的情報の量ではなく質（精度）が問題」という理論の核心を書くこと。</w:t>
      </w:r>
    </w:p>
    <w:p>
      <w:pPr>
        <w:pStyle w:val="ListParagraph"/>
        <w:numPr>
          <w:ilvl w:val="0"/>
          <w:numId w:val="2"/>
        </w:numPr>
        <w:spacing w:after="80" w:line="300"/>
      </w:pPr>
      <w:r>
        <w:rPr>
          <w:rFonts w:ascii="Yu Mincho" w:cs="Yu Mincho" w:eastAsia="Yu Mincho" w:hAnsi="Yu Mincho"/>
          <w:sz w:val="21"/>
          <w:szCs w:val="21"/>
        </w:rPr>
        <w:t xml:space="preserve">「情報リスク↑→要求リターン↑→資本コスト↑」という因果関係を明示すること。</w:t>
      </w:r>
    </w:p>
    <w:p>
      <w:pPr>
        <w:pStyle w:val="ListParagraph"/>
        <w:numPr>
          <w:ilvl w:val="0"/>
          <w:numId w:val="2"/>
        </w:numPr>
        <w:spacing w:after="80" w:line="300"/>
      </w:pPr>
      <w:r>
        <w:rPr>
          <w:rFonts w:ascii="Yu Mincho" w:cs="Yu Mincho" w:eastAsia="Yu Mincho" w:hAnsi="Yu Mincho"/>
          <w:sz w:val="21"/>
          <w:szCs w:val="21"/>
        </w:rPr>
        <w:t xml:space="preserve">実証研究（須田・首藤・太田等）に触れられると加点。</w:t>
      </w:r>
    </w:p>
    <w:p>
      <w:pPr>
        <w:pStyle w:val="ListParagraph"/>
        <w:numPr>
          <w:ilvl w:val="0"/>
          <w:numId w:val="2"/>
        </w:numPr>
        <w:spacing w:after="80" w:line="300"/>
      </w:pPr>
      <w:r>
        <w:rPr>
          <w:rFonts w:ascii="Yu Mincho" w:cs="Yu Mincho" w:eastAsia="Yu Mincho" w:hAnsi="Yu Mincho"/>
          <w:sz w:val="21"/>
          <w:szCs w:val="21"/>
        </w:rPr>
        <w:t xml:space="preserve">出典：第5章5.2節。</w:t>
      </w:r>
    </w:p>
    <w:p>
      <w:pPr>
        <w:spacing w:after="100"/>
      </w:pPr>
    </w:p>
    <w:p>
      <w:pPr>
        <w:pStyle w:val="Heading3"/>
        <w:spacing w:after="120" w:before="240"/>
      </w:pPr>
      <w:r>
        <w:t xml:space="preserve">P8. 有事における情報開示の効果〔予想問題〕</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設問（予想）</w:t>
            </w:r>
          </w:p>
          <w:p>
            <w:pPr>
              <w:spacing w:after="0" w:line="300"/>
            </w:pPr>
            <w:r>
              <w:rPr>
                <w:rFonts w:ascii="Yu Mincho" w:cs="Yu Mincho" w:eastAsia="Yu Mincho" w:hAnsi="Yu Mincho"/>
                <w:i/>
                <w:iCs/>
                <w:sz w:val="20"/>
                <w:szCs w:val="20"/>
              </w:rPr>
              <w:t xml:space="preserve">有事（企業不祥事等）における情報開示の効果について，実証研究に依拠して説明しなさい。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リスク情報や環境情報の継続的な開示は、平時には株価に直接的な影響を与えているか観察しにくいが、リスクが顕在化した有事の局面では、従前から積極的に開示を行ってきた企業とそうでない企業とで市場の反応に差異が生じる。Blacconiere and Patten(1994)は、1984年のボーパール化学工場事故を契機に化学会社の株価が下落した局面を分析し、事件前から積極的に環境会計情報を開示していた企業ほど、事件後の株価下落幅が同業他社より小さかったことを示した。日本でも伊藤・加賀谷(2006)が、企業不祥事の公表後7日間ほど株価下落が続き株式価値が大きく減少することを確認している。これらの結果は、堅実な情報開示が平時には短期的な企業利益にマイナスに見えても、有事における企業価値毀損を最小限に抑える効果を持つことを示唆しており、継続的なIR戦略の重要性を裏付けてい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Blacconiere and Patten(1994)の具体的な分析結果（開示企業ほど下落幅が小さい）を書くこと。</w:t>
      </w:r>
    </w:p>
    <w:p>
      <w:pPr>
        <w:pStyle w:val="ListParagraph"/>
        <w:numPr>
          <w:ilvl w:val="0"/>
          <w:numId w:val="2"/>
        </w:numPr>
        <w:spacing w:after="80" w:line="300"/>
      </w:pPr>
      <w:r>
        <w:rPr>
          <w:rFonts w:ascii="Yu Mincho" w:cs="Yu Mincho" w:eastAsia="Yu Mincho" w:hAnsi="Yu Mincho"/>
          <w:sz w:val="21"/>
          <w:szCs w:val="21"/>
        </w:rPr>
        <w:t xml:space="preserve">「平時には観察しにくいが有事に差が出る」という論点構造を明示すること。</w:t>
      </w:r>
    </w:p>
    <w:p>
      <w:pPr>
        <w:pStyle w:val="ListParagraph"/>
        <w:numPr>
          <w:ilvl w:val="0"/>
          <w:numId w:val="2"/>
        </w:numPr>
        <w:spacing w:after="80" w:line="300"/>
      </w:pPr>
      <w:r>
        <w:rPr>
          <w:rFonts w:ascii="Yu Mincho" w:cs="Yu Mincho" w:eastAsia="Yu Mincho" w:hAnsi="Yu Mincho"/>
          <w:sz w:val="21"/>
          <w:szCs w:val="21"/>
        </w:rPr>
        <w:t xml:space="preserve">日本の実証研究（伊藤・加賀谷）にも触れられると加点。</w:t>
      </w:r>
    </w:p>
    <w:p>
      <w:pPr>
        <w:pStyle w:val="ListParagraph"/>
        <w:numPr>
          <w:ilvl w:val="0"/>
          <w:numId w:val="2"/>
        </w:numPr>
        <w:spacing w:after="80" w:line="300"/>
      </w:pPr>
      <w:r>
        <w:rPr>
          <w:rFonts w:ascii="Yu Mincho" w:cs="Yu Mincho" w:eastAsia="Yu Mincho" w:hAnsi="Yu Mincho"/>
          <w:sz w:val="21"/>
          <w:szCs w:val="21"/>
        </w:rPr>
        <w:t xml:space="preserve">出典：第5章5.3節。</w:t>
      </w:r>
    </w:p>
    <w:p>
      <w:pPr>
        <w:spacing w:after="100"/>
      </w:pPr>
    </w:p>
    <w:p>
      <w:pPr>
        <w:pStyle w:val="Heading1"/>
        <w:pageBreakBefore/>
        <w:spacing w:after="240" w:before="480"/>
      </w:pPr>
      <w:r>
        <w:t xml:space="preserve">第6章　利益調整に関する設問</w:t>
      </w:r>
    </w:p>
    <w:p>
      <w:pPr>
        <w:spacing w:after="140" w:line="320"/>
        <w:jc w:val="left"/>
      </w:pPr>
      <w:r>
        <w:rPr>
          <w:rFonts w:ascii="Yu Mincho" w:cs="Yu Mincho" w:eastAsia="Yu Mincho" w:hAnsi="Yu Mincho"/>
          <w:sz w:val="21"/>
          <w:szCs w:val="21"/>
        </w:rPr>
        <w:t xml:space="preserve">講義レジュメ「第6章：利益調整」に対応する過去問・予想問題。過去問7年分の中で最も出題が集中している章である。</w:t>
      </w:r>
    </w:p>
    <w:p>
      <w:pPr>
        <w:pStyle w:val="Heading3"/>
        <w:spacing w:after="120" w:before="240"/>
      </w:pPr>
      <w:r>
        <w:t xml:space="preserve">⑮LIFO税コスト仮説と半強度市場の反応　〔令和元年度 問2／A2ターム問題 問4／2021年度 問3（同一論点、計3回・最頻出）〕</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100" w:line="300"/>
            </w:pPr>
            <w:r>
              <w:rPr>
                <w:rFonts w:ascii="Yu Mincho" w:cs="Yu Mincho" w:eastAsia="Yu Mincho" w:hAnsi="Yu Mincho"/>
                <w:i/>
                <w:iCs/>
                <w:sz w:val="20"/>
                <w:szCs w:val="20"/>
              </w:rPr>
              <w:t xml:space="preserve">〔令和元年度〕米国において税コストを削減したいと考える経営者は，(1)棚卸資産の会計手続きに関してどのような選択を行うか，(2)そのような会計手続きによって変動した会計利益に対して，半強度の効率性を有する株式市場はどのような反応をするかを説明せよ。</w:t>
            </w:r>
          </w:p>
          <w:p>
            <w:pPr>
              <w:spacing w:after="100" w:line="300"/>
            </w:pPr>
            <w:r>
              <w:rPr>
                <w:rFonts w:ascii="Yu Mincho" w:cs="Yu Mincho" w:eastAsia="Yu Mincho" w:hAnsi="Yu Mincho"/>
                <w:i/>
                <w:iCs/>
                <w:sz w:val="20"/>
                <w:szCs w:val="20"/>
              </w:rPr>
              <w:t xml:space="preserve">〔A2ターム問題〕米国の株式市場において，物価上昇期に経営者が先入先出法から後入先出法に会計手続きを変更した場合，当該変更に起因する会計利益の変化が株価に与える影響について説明しなさい。なおその他の条件は等しいと仮定する。</w:t>
            </w:r>
          </w:p>
          <w:p>
            <w:pPr>
              <w:spacing w:after="0" w:line="300"/>
            </w:pPr>
            <w:r>
              <w:rPr>
                <w:rFonts w:ascii="Yu Mincho" w:cs="Yu Mincho" w:eastAsia="Yu Mincho" w:hAnsi="Yu Mincho"/>
                <w:i/>
                <w:iCs/>
                <w:sz w:val="20"/>
                <w:szCs w:val="20"/>
              </w:rPr>
              <w:t xml:space="preserve">〔2021年度〕米国の上場企業の経営者が，棚卸資産の会計手続き選択を先入先出法から後入先出法へ変更し報告利益を調整した。半強度の証券市場の効率性を仮定した場合，米国の証券市場は，この利益変動部分に対してどのような反応をするかを説明せよ。</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米国の法人税法では、課税所得計算で後入先出法（LIFO）を採用する場合、財務会計でもLIFOを用いなければならない（内国歳入法第472条-c）という制約があるため、税コストを削減したい経営者は先入先出法（FIFO）から後入先出法（LIFO）へ棚卸資産の会計手続きを変更する。物価上昇期には、LIFOは直近の高い仕入原価を売上原価に計上するため、FIFOに比べて報告利益は減少するが、その分課税所得も減少し、実際に支払う法人税（キャッシュ・アウトフロー）は減少する。半強度の効率的市場仮説のもとでは、投資家は表面上の会計利益の減少だけでなく、その背後にあるキャッシュフローの増加（節税効果）という実質的な経済的価値を見抜くため、株式市場は報告利益の減少にもかかわらず株価を下落させない、もしくはキャッシュフロー増加を好感して株価を上昇させると考えられる。これはWatts and Zimmerman(1986)の税コスト仮説と整合的である。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米国税制の制約（LIFO採用には財務会計でもLIFOを使う必要がある）を明示すること。</w:t>
      </w:r>
    </w:p>
    <w:p>
      <w:pPr>
        <w:pStyle w:val="ListParagraph"/>
        <w:numPr>
          <w:ilvl w:val="0"/>
          <w:numId w:val="2"/>
        </w:numPr>
        <w:spacing w:after="80" w:line="300"/>
      </w:pPr>
      <w:r>
        <w:rPr>
          <w:rFonts w:ascii="Yu Mincho" w:cs="Yu Mincho" w:eastAsia="Yu Mincho" w:hAnsi="Yu Mincho"/>
          <w:sz w:val="21"/>
          <w:szCs w:val="21"/>
        </w:rPr>
        <w:t xml:space="preserve">「LIFO→報告利益は減少するが税コストも減少しキャッシュフローは増加する」というメカニズムを正確に説明すること。</w:t>
      </w:r>
    </w:p>
    <w:p>
      <w:pPr>
        <w:pStyle w:val="ListParagraph"/>
        <w:numPr>
          <w:ilvl w:val="0"/>
          <w:numId w:val="2"/>
        </w:numPr>
        <w:spacing w:after="80" w:line="300"/>
      </w:pPr>
      <w:r>
        <w:rPr>
          <w:rFonts w:ascii="Yu Mincho" w:cs="Yu Mincho" w:eastAsia="Yu Mincho" w:hAnsi="Yu Mincho"/>
          <w:sz w:val="21"/>
          <w:szCs w:val="21"/>
        </w:rPr>
        <w:t xml:space="preserve">半強度効率的市場は「会計利益の変動」ではなく「その背後のキャッシュフロー変化」に反応する、という論理を明示すること（無効果仮説／機械的反応仮説との対比）。</w:t>
      </w:r>
    </w:p>
    <w:p>
      <w:pPr>
        <w:pStyle w:val="ListParagraph"/>
        <w:numPr>
          <w:ilvl w:val="0"/>
          <w:numId w:val="2"/>
        </w:numPr>
        <w:spacing w:after="80" w:line="300"/>
      </w:pPr>
      <w:r>
        <w:rPr>
          <w:rFonts w:ascii="Yu Mincho" w:cs="Yu Mincho" w:eastAsia="Yu Mincho" w:hAnsi="Yu Mincho"/>
          <w:sz w:val="21"/>
          <w:szCs w:val="21"/>
        </w:rPr>
        <w:t xml:space="preserve">出典：第6章6.1節・6.7節（税コスト仮説）。</w:t>
      </w:r>
    </w:p>
    <w:p>
      <w:pPr>
        <w:spacing w:after="100"/>
      </w:pPr>
    </w:p>
    <w:p>
      <w:pPr>
        <w:pStyle w:val="Heading3"/>
        <w:spacing w:after="120" w:before="240"/>
      </w:pPr>
      <w:r>
        <w:t xml:space="preserve">⑯定率法→定額法変更の株価反応（日米比較）　〔平成29年度 問2〕</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ある企業が，固定資産の会計方針について，償却初期に定率法から定額法へと変更を行った。株式市場はこの会計方針変更に伴う利益変動額に対してどのような反応をするかを日米企業を比較する形で説明せよ。</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定率法から定額法への変更は、償却初期において減価償却費を減少させ会計利益を増加させるが、キャッシュフローには影響を与えない（純粋な会計手続き選択の変更）。効率的市場仮説のインプリケーションである無効果仮説によれば、投資家はキャッシュフローに影響を与えない会計手続き選択の変更には反応しないと予測される。米国のように資本市場が高度に効率的（半強度の効率性）な国では、この無効果仮説が支持されやすく、株式市場は利益の増加分を機械的に評価せず、株価はほぼ変動しないと考えられる。他方、日本のように投資家が会計数値を額面通りに評価する傾向が相対的に強い場合には、機械的反応仮説（キャッシュフローと無関係な利益増加であっても株価が反応してしまう）が観察される可能性がある。したがって、同じ会計方針変更でも、市場の効率性の程度に応じて日米で株価反応が異なりう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「キャッシュフローに影響を与えない会計手続き選択」という前提を明示すること。</w:t>
      </w:r>
    </w:p>
    <w:p>
      <w:pPr>
        <w:pStyle w:val="ListParagraph"/>
        <w:numPr>
          <w:ilvl w:val="0"/>
          <w:numId w:val="2"/>
        </w:numPr>
        <w:spacing w:after="80" w:line="300"/>
      </w:pPr>
      <w:r>
        <w:rPr>
          <w:rFonts w:ascii="Yu Mincho" w:cs="Yu Mincho" w:eastAsia="Yu Mincho" w:hAnsi="Yu Mincho"/>
          <w:sz w:val="21"/>
          <w:szCs w:val="21"/>
        </w:rPr>
        <w:t xml:space="preserve">無効果仮説と機械的反応仮説の両方の用語と内容を書くこと。</w:t>
      </w:r>
    </w:p>
    <w:p>
      <w:pPr>
        <w:pStyle w:val="ListParagraph"/>
        <w:numPr>
          <w:ilvl w:val="0"/>
          <w:numId w:val="2"/>
        </w:numPr>
        <w:spacing w:after="80" w:line="300"/>
      </w:pPr>
      <w:r>
        <w:rPr>
          <w:rFonts w:ascii="Yu Mincho" w:cs="Yu Mincho" w:eastAsia="Yu Mincho" w:hAnsi="Yu Mincho"/>
          <w:sz w:val="21"/>
          <w:szCs w:val="21"/>
        </w:rPr>
        <w:t xml:space="preserve">「日米で市場効率性の程度が異なりうる」という比較軸を明示すること（設問が明示的に日米比較を要求）。</w:t>
      </w:r>
    </w:p>
    <w:p>
      <w:pPr>
        <w:pStyle w:val="ListParagraph"/>
        <w:numPr>
          <w:ilvl w:val="0"/>
          <w:numId w:val="2"/>
        </w:numPr>
        <w:spacing w:after="80" w:line="300"/>
      </w:pPr>
      <w:r>
        <w:rPr>
          <w:rFonts w:ascii="Yu Mincho" w:cs="Yu Mincho" w:eastAsia="Yu Mincho" w:hAnsi="Yu Mincho"/>
          <w:sz w:val="21"/>
          <w:szCs w:val="21"/>
        </w:rPr>
        <w:t xml:space="preserve">出典：第6章6.1節。</w:t>
      </w:r>
    </w:p>
    <w:p>
      <w:pPr>
        <w:spacing w:after="100"/>
      </w:pPr>
    </w:p>
    <w:p>
      <w:pPr>
        <w:pStyle w:val="Heading3"/>
        <w:spacing w:after="120" w:before="240"/>
      </w:pPr>
      <w:r>
        <w:t xml:space="preserve">⑰経営者がビッグ・バスを行う動機　〔平成29年度 問3〕</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経営者がビッグ・バスを行う動機について，具体例を挙げて説明しなさい。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ビッグ・バスとは、極端な利益圧縮を行い、その後の利益を増加傾向に持っていく利益調整の一形態である。代表的な動機は経営者交代である。新任経営者は就任初年度に、意図的に多額の損失や特別損失を計上して業績を大きく落ち込ませ、その悪化を前任経営者の経営責任に帰属させる一方、翌年度以降は会計発生高の反転性を利用して利益を回復させ、自らの経営手腕による業績改善を演出しようとする（経営者交代仮説）。実証研究でも、新任経営者によるビッグ・バスを支持する結果が報告されている（Strong and Meyer, 1987；Elliott and Shaw, 1988；Murphy and Zimmerman, 1993；Pourciau, 1993）。また、業績が既に著しく悪化し当期の利益連動報酬の獲得が絶望的な場合、翌期以降のボーナス基準（bogey）を有利にするため一気に損失を計上する動機も指摘される。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ビッグ・バスの定義（極端な利益圧縮→翌期以降の利益増加）を書くこと。</w:t>
      </w:r>
    </w:p>
    <w:p>
      <w:pPr>
        <w:pStyle w:val="ListParagraph"/>
        <w:numPr>
          <w:ilvl w:val="0"/>
          <w:numId w:val="2"/>
        </w:numPr>
        <w:spacing w:after="80" w:line="300"/>
      </w:pPr>
      <w:r>
        <w:rPr>
          <w:rFonts w:ascii="Yu Mincho" w:cs="Yu Mincho" w:eastAsia="Yu Mincho" w:hAnsi="Yu Mincho"/>
          <w:sz w:val="21"/>
          <w:szCs w:val="21"/>
        </w:rPr>
        <w:t xml:space="preserve">経営者交代仮説を中心に、具体的なメカニズム（前任者のせいにする、翌期にV字回復を演出）を書くこと。</w:t>
      </w:r>
    </w:p>
    <w:p>
      <w:pPr>
        <w:pStyle w:val="ListParagraph"/>
        <w:numPr>
          <w:ilvl w:val="0"/>
          <w:numId w:val="2"/>
        </w:numPr>
        <w:spacing w:after="80" w:line="300"/>
      </w:pPr>
      <w:r>
        <w:rPr>
          <w:rFonts w:ascii="Yu Mincho" w:cs="Yu Mincho" w:eastAsia="Yu Mincho" w:hAnsi="Yu Mincho"/>
          <w:sz w:val="21"/>
          <w:szCs w:val="21"/>
        </w:rPr>
        <w:t xml:space="preserve">「会計発生高の反転性」という用語を使えると加点。</w:t>
      </w:r>
    </w:p>
    <w:p>
      <w:pPr>
        <w:pStyle w:val="ListParagraph"/>
        <w:numPr>
          <w:ilvl w:val="0"/>
          <w:numId w:val="2"/>
        </w:numPr>
        <w:spacing w:after="80" w:line="300"/>
      </w:pPr>
      <w:r>
        <w:rPr>
          <w:rFonts w:ascii="Yu Mincho" w:cs="Yu Mincho" w:eastAsia="Yu Mincho" w:hAnsi="Yu Mincho"/>
          <w:sz w:val="21"/>
          <w:szCs w:val="21"/>
        </w:rPr>
        <w:t xml:space="preserve">具体例（cap/bogeyの構造での動機）にも触れられるとなお良い。</w:t>
      </w:r>
    </w:p>
    <w:p>
      <w:pPr>
        <w:pStyle w:val="ListParagraph"/>
        <w:numPr>
          <w:ilvl w:val="0"/>
          <w:numId w:val="2"/>
        </w:numPr>
        <w:spacing w:after="80" w:line="300"/>
      </w:pPr>
      <w:r>
        <w:rPr>
          <w:rFonts w:ascii="Yu Mincho" w:cs="Yu Mincho" w:eastAsia="Yu Mincho" w:hAnsi="Yu Mincho"/>
          <w:sz w:val="21"/>
          <w:szCs w:val="21"/>
        </w:rPr>
        <w:t xml:space="preserve">出典：第6章6.7節（経営者交代仮説）、6.2節（会計発生高の反転性）。</w:t>
      </w:r>
    </w:p>
    <w:p>
      <w:pPr>
        <w:spacing w:after="100"/>
      </w:pPr>
    </w:p>
    <w:p>
      <w:pPr>
        <w:pStyle w:val="Heading3"/>
        <w:spacing w:after="120" w:before="240"/>
      </w:pPr>
      <w:r>
        <w:t xml:space="preserve">⑱会計発生高の反転性を利用した利益調整の形態と動機　〔現代財務諸表分析 A2ターム問題 問5〕</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経営者が会計発生高の反転の性質を利用して行う利益調整の形態を述べ，そのような利益調整を行う動機についてすべて説明しなさい。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GAAPの範囲内で行われる利益調整は平均回帰的な性質（会計発生高の反転性）を持つため、報告利益を無制限に増加・減少させることはできない。この性質を利用した利益調整の形態には、①利益最大化（利益増加型）、②利益最小化（利益減少型）、③ビッグ・バス（極端な利益圧縮を行い翌期以降の利益を増加傾向に持っていく）、④利益平準化（業績好調時は利益減少型、業績不調時は利益増加型の調整を行う）の4形態がある。動機は、契約に基づく動機（①ボーナス制度仮説、②債務契約仮説＝財務制限条項抵触回避、③政治費用仮説、④税コスト仮説、⑤経営者交代仮説）と、株式市場に基づく動機（①IPO仮説、②SEO仮説、③エクイティ・インセンティブ仮説、④MBO仮説、⑤M&amp;A仮説、⑥利益ベンチマーク仮説）の大きく2系統に整理でき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「会計発生高の反転性」の意味（平均回帰的なので無制限に調整できない）を最初に説明すること。</w:t>
      </w:r>
    </w:p>
    <w:p>
      <w:pPr>
        <w:pStyle w:val="ListParagraph"/>
        <w:numPr>
          <w:ilvl w:val="0"/>
          <w:numId w:val="2"/>
        </w:numPr>
        <w:spacing w:after="80" w:line="300"/>
      </w:pPr>
      <w:r>
        <w:rPr>
          <w:rFonts w:ascii="Yu Mincho" w:cs="Yu Mincho" w:eastAsia="Yu Mincho" w:hAnsi="Yu Mincho"/>
          <w:sz w:val="21"/>
          <w:szCs w:val="21"/>
        </w:rPr>
        <w:t xml:space="preserve">4つの形態（利益最大化・利益最小化・ビッグ・バス・利益平準化）を漏れなく挙げること。</w:t>
      </w:r>
    </w:p>
    <w:p>
      <w:pPr>
        <w:pStyle w:val="ListParagraph"/>
        <w:numPr>
          <w:ilvl w:val="0"/>
          <w:numId w:val="2"/>
        </w:numPr>
        <w:spacing w:after="80" w:line="300"/>
      </w:pPr>
      <w:r>
        <w:rPr>
          <w:rFonts w:ascii="Yu Mincho" w:cs="Yu Mincho" w:eastAsia="Yu Mincho" w:hAnsi="Yu Mincho"/>
          <w:sz w:val="21"/>
          <w:szCs w:val="21"/>
        </w:rPr>
        <w:t xml:space="preserve">「すべて説明しなさい」なので契約系5つ＋市場系6つの動機を網羅的に列挙すること（一つ一つの詳細説明より網羅性を優先）。</w:t>
      </w:r>
    </w:p>
    <w:p>
      <w:pPr>
        <w:pStyle w:val="ListParagraph"/>
        <w:numPr>
          <w:ilvl w:val="0"/>
          <w:numId w:val="2"/>
        </w:numPr>
        <w:spacing w:after="80" w:line="300"/>
      </w:pPr>
      <w:r>
        <w:rPr>
          <w:rFonts w:ascii="Yu Mincho" w:cs="Yu Mincho" w:eastAsia="Yu Mincho" w:hAnsi="Yu Mincho"/>
          <w:sz w:val="21"/>
          <w:szCs w:val="21"/>
        </w:rPr>
        <w:t xml:space="preserve">出典：第6章6.2節、6.7〜6.8節。</w:t>
      </w:r>
    </w:p>
    <w:p>
      <w:pPr>
        <w:spacing w:after="100"/>
      </w:pPr>
    </w:p>
    <w:p>
      <w:pPr>
        <w:pStyle w:val="Heading3"/>
        <w:spacing w:after="120" w:before="240"/>
      </w:pPr>
      <w:r>
        <w:t xml:space="preserve">⑲3つの会計手続き変更の総合的な株価反応と根拠　〔2022年度 問1〕</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w:t>
            </w:r>
          </w:p>
          <w:p>
            <w:pPr>
              <w:spacing w:after="0" w:line="300"/>
            </w:pPr>
            <w:r>
              <w:rPr>
                <w:rFonts w:ascii="Yu Mincho" w:cs="Yu Mincho" w:eastAsia="Yu Mincho" w:hAnsi="Yu Mincho"/>
                <w:i/>
                <w:iCs/>
                <w:sz w:val="20"/>
                <w:szCs w:val="20"/>
              </w:rPr>
              <w:t xml:space="preserve">ある米国企業Aが以下のような3つの会計手続き選択に関する自発的な変更を行った。半強度の市場の効率性を仮定した場合，米国の株式市場はこの企業の3つの変更に対して総合的にどのように反応するかを説明せよ（なお，その他の条件は等しいとする）。解答にあたっては，(1)会計手続き選択の変更に関する利益変動に対して，株価がどのように反応するかを説明し，(2)その根拠を説明せよ。</w:t>
            </w:r>
          </w:p>
        </w:tc>
      </w:tr>
    </w:tbl>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6000"/>
        <w:gridCol w:w="3000"/>
      </w:tblGrid>
      <w:tr>
        <w:trPr>
          <w:tblHeader/>
        </w:trPr>
        <w:tc>
          <w:tcPr>
            <w:tcW w:type="dxa" w:w="6000"/>
            <w:shd w:fill="DDE6F0" w:val="clear"/>
            <w:tcMar>
              <w:top w:type="dxa" w:w="60"/>
              <w:left w:type="dxa" w:w="100"/>
              <w:bottom w:type="dxa" w:w="60"/>
              <w:right w:type="dxa" w:w="100"/>
            </w:tcMar>
          </w:tcPr>
          <w:p>
            <w:r>
              <w:rPr>
                <w:rFonts w:ascii="Yu Gothic" w:cs="Yu Gothic" w:eastAsia="Yu Gothic" w:hAnsi="Yu Gothic"/>
                <w:b/>
                <w:bCs/>
                <w:sz w:val="19"/>
                <w:szCs w:val="19"/>
              </w:rPr>
              <w:t xml:space="preserve">会計手続き選択</w:t>
            </w:r>
          </w:p>
        </w:tc>
        <w:tc>
          <w:tcPr>
            <w:tcW w:type="dxa" w:w="3000"/>
            <w:shd w:fill="DDE6F0" w:val="clear"/>
            <w:tcMar>
              <w:top w:type="dxa" w:w="60"/>
              <w:left w:type="dxa" w:w="100"/>
              <w:bottom w:type="dxa" w:w="60"/>
              <w:right w:type="dxa" w:w="100"/>
            </w:tcMar>
          </w:tcPr>
          <w:p>
            <w:r>
              <w:rPr>
                <w:rFonts w:ascii="Yu Gothic" w:cs="Yu Gothic" w:eastAsia="Yu Gothic" w:hAnsi="Yu Gothic"/>
                <w:b/>
                <w:bCs/>
                <w:sz w:val="19"/>
                <w:szCs w:val="19"/>
              </w:rPr>
              <w:t xml:space="preserve">利益額に与える影響</w:t>
            </w:r>
          </w:p>
        </w:tc>
      </w:tr>
      <w:tr>
        <w:trPr>
          <w:cantSplit/>
        </w:trPr>
        <w:tc>
          <w:tcPr>
            <w:tcW w:type="dxa" w:w="6000"/>
            <w:tcMar>
              <w:top w:type="dxa" w:w="60"/>
              <w:left w:type="dxa" w:w="100"/>
              <w:bottom w:type="dxa" w:w="60"/>
              <w:right w:type="dxa" w:w="100"/>
            </w:tcMar>
          </w:tcPr>
          <w:p>
            <w:r>
              <w:rPr>
                <w:rFonts w:ascii="Yu Mincho" w:cs="Yu Mincho" w:eastAsia="Yu Mincho" w:hAnsi="Yu Mincho"/>
                <w:sz w:val="19"/>
                <w:szCs w:val="19"/>
              </w:rPr>
              <w:t xml:space="preserve">固定資産の減価償却を定率法から定額法に変更</w:t>
            </w:r>
          </w:p>
        </w:tc>
        <w:tc>
          <w:tcPr>
            <w:tcW w:type="dxa" w:w="3000"/>
            <w:tcMar>
              <w:top w:type="dxa" w:w="60"/>
              <w:left w:type="dxa" w:w="100"/>
              <w:bottom w:type="dxa" w:w="60"/>
              <w:right w:type="dxa" w:w="100"/>
            </w:tcMar>
          </w:tcPr>
          <w:p>
            <w:r>
              <w:rPr>
                <w:rFonts w:ascii="Yu Mincho" w:cs="Yu Mincho" w:eastAsia="Yu Mincho" w:hAnsi="Yu Mincho"/>
                <w:sz w:val="19"/>
                <w:szCs w:val="19"/>
              </w:rPr>
              <w:t xml:space="preserve">400万円の利益増加</w:t>
            </w:r>
          </w:p>
        </w:tc>
      </w:tr>
      <w:tr>
        <w:trPr>
          <w:cantSplit/>
        </w:trPr>
        <w:tc>
          <w:tcPr>
            <w:tcW w:type="dxa" w:w="6000"/>
            <w:tcMar>
              <w:top w:type="dxa" w:w="60"/>
              <w:left w:type="dxa" w:w="100"/>
              <w:bottom w:type="dxa" w:w="60"/>
              <w:right w:type="dxa" w:w="100"/>
            </w:tcMar>
          </w:tcPr>
          <w:p>
            <w:r>
              <w:rPr>
                <w:rFonts w:ascii="Yu Mincho" w:cs="Yu Mincho" w:eastAsia="Yu Mincho" w:hAnsi="Yu Mincho"/>
                <w:sz w:val="19"/>
                <w:szCs w:val="19"/>
              </w:rPr>
              <w:t xml:space="preserve">棚卸資産の評価方法を先入先出法から後入先出法へ変更</w:t>
            </w:r>
          </w:p>
        </w:tc>
        <w:tc>
          <w:tcPr>
            <w:tcW w:type="dxa" w:w="3000"/>
            <w:tcMar>
              <w:top w:type="dxa" w:w="60"/>
              <w:left w:type="dxa" w:w="100"/>
              <w:bottom w:type="dxa" w:w="60"/>
              <w:right w:type="dxa" w:w="100"/>
            </w:tcMar>
          </w:tcPr>
          <w:p>
            <w:r>
              <w:rPr>
                <w:rFonts w:ascii="Yu Mincho" w:cs="Yu Mincho" w:eastAsia="Yu Mincho" w:hAnsi="Yu Mincho"/>
                <w:sz w:val="19"/>
                <w:szCs w:val="19"/>
              </w:rPr>
              <w:t xml:space="preserve">900万円の利益減少</w:t>
            </w:r>
          </w:p>
        </w:tc>
      </w:tr>
      <w:tr>
        <w:trPr>
          <w:cantSplit/>
        </w:trPr>
        <w:tc>
          <w:tcPr>
            <w:tcW w:type="dxa" w:w="6000"/>
            <w:tcMar>
              <w:top w:type="dxa" w:w="60"/>
              <w:left w:type="dxa" w:w="100"/>
              <w:bottom w:type="dxa" w:w="60"/>
              <w:right w:type="dxa" w:w="100"/>
            </w:tcMar>
          </w:tcPr>
          <w:p>
            <w:r>
              <w:rPr>
                <w:rFonts w:ascii="Yu Mincho" w:cs="Yu Mincho" w:eastAsia="Yu Mincho" w:hAnsi="Yu Mincho"/>
                <w:sz w:val="19"/>
                <w:szCs w:val="19"/>
              </w:rPr>
              <w:t xml:space="preserve">長期請負工事について工事完成基準から工事進行基準に変更</w:t>
            </w:r>
          </w:p>
        </w:tc>
        <w:tc>
          <w:tcPr>
            <w:tcW w:type="dxa" w:w="3000"/>
            <w:tcMar>
              <w:top w:type="dxa" w:w="60"/>
              <w:left w:type="dxa" w:w="100"/>
              <w:bottom w:type="dxa" w:w="60"/>
              <w:right w:type="dxa" w:w="100"/>
            </w:tcMar>
          </w:tcPr>
          <w:p>
            <w:r>
              <w:rPr>
                <w:rFonts w:ascii="Yu Mincho" w:cs="Yu Mincho" w:eastAsia="Yu Mincho" w:hAnsi="Yu Mincho"/>
                <w:sz w:val="19"/>
                <w:szCs w:val="19"/>
              </w:rPr>
              <w:t xml:space="preserve">600万円の利益増加</w:t>
            </w:r>
          </w:p>
        </w:tc>
      </w:tr>
    </w:tbl>
    <w:p>
      <w:pPr>
        <w:spacing w:after="100"/>
      </w:pPr>
    </w:p>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(1) 3つの変更を合計すると、会計利益は400－900＋600＝100万円の増加となるが、半強度の効率的市場のもとでは、株式市場はこの見かけ上の利益増加に機械的に反応せず、株価はほぼ変動しないと考えられる。(2) その根拠は、これら3つの会計手続き選択の変更がいずれもキャッシュフローに影響を与えない（無効果仮説）ためである。定率法から定額法への変更、工事完成基準から工事進行基準への変更は、いずれも利益の期間配分を変えるだけで生涯損益・キャッシュフローには影響しない。棚卸資産のFIFOからLIFOへの変更は、むしろ物価上昇下では節税を通じてキャッシュフローを増加させる。効率的市場は表面上の利益額の増減ではなく、その背後にあるキャッシュフローの実質的変化を見抜いて株価に反映するため、キャッシュフローに影響のない前2者は無視され、LIFOによる節税効果はむしろ好感される可能性があ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3つの利益変動額を実際に合計する計算（400－900＋600＝100万円増）を示すこと。</w:t>
      </w:r>
    </w:p>
    <w:p>
      <w:pPr>
        <w:pStyle w:val="ListParagraph"/>
        <w:numPr>
          <w:ilvl w:val="0"/>
          <w:numId w:val="2"/>
        </w:numPr>
        <w:spacing w:after="80" w:line="300"/>
      </w:pPr>
      <w:r>
        <w:rPr>
          <w:rFonts w:ascii="Yu Mincho" w:cs="Yu Mincho" w:eastAsia="Yu Mincho" w:hAnsi="Yu Mincho"/>
          <w:sz w:val="21"/>
          <w:szCs w:val="21"/>
        </w:rPr>
        <w:t xml:space="preserve">「無効果仮説」（キャッシュフローに影響しない変更には反応しない）を核心として説明すること。</w:t>
      </w:r>
    </w:p>
    <w:p>
      <w:pPr>
        <w:pStyle w:val="ListParagraph"/>
        <w:numPr>
          <w:ilvl w:val="0"/>
          <w:numId w:val="2"/>
        </w:numPr>
        <w:spacing w:after="80" w:line="300"/>
      </w:pPr>
      <w:r>
        <w:rPr>
          <w:rFonts w:ascii="Yu Mincho" w:cs="Yu Mincho" w:eastAsia="Yu Mincho" w:hAnsi="Yu Mincho"/>
          <w:sz w:val="21"/>
          <w:szCs w:val="21"/>
        </w:rPr>
        <w:t xml:space="preserve">LIFOへの変更だけは節税を通じてキャッシュフローに実質的な影響を与える点を区別して説明すること。</w:t>
      </w:r>
    </w:p>
    <w:p>
      <w:pPr>
        <w:pStyle w:val="ListParagraph"/>
        <w:numPr>
          <w:ilvl w:val="0"/>
          <w:numId w:val="2"/>
        </w:numPr>
        <w:spacing w:after="80" w:line="300"/>
      </w:pPr>
      <w:r>
        <w:rPr>
          <w:rFonts w:ascii="Yu Mincho" w:cs="Yu Mincho" w:eastAsia="Yu Mincho" w:hAnsi="Yu Mincho"/>
          <w:sz w:val="21"/>
          <w:szCs w:val="21"/>
        </w:rPr>
        <w:t xml:space="preserve">「総合的に」との指示なので3つをまとめて一つの結論に導くこと。</w:t>
      </w:r>
    </w:p>
    <w:p>
      <w:pPr>
        <w:pStyle w:val="ListParagraph"/>
        <w:numPr>
          <w:ilvl w:val="0"/>
          <w:numId w:val="2"/>
        </w:numPr>
        <w:spacing w:after="80" w:line="300"/>
      </w:pPr>
      <w:r>
        <w:rPr>
          <w:rFonts w:ascii="Yu Mincho" w:cs="Yu Mincho" w:eastAsia="Yu Mincho" w:hAnsi="Yu Mincho"/>
          <w:sz w:val="21"/>
          <w:szCs w:val="21"/>
        </w:rPr>
        <w:t xml:space="preserve">出典：第6章6.1節。エントリ⑮（LIFO税コスト仮説）と同じ論点の応用。</w:t>
      </w:r>
    </w:p>
    <w:p>
      <w:pPr>
        <w:spacing w:after="100"/>
      </w:pPr>
    </w:p>
    <w:p>
      <w:pPr>
        <w:pStyle w:val="Heading3"/>
        <w:spacing w:after="120" w:before="240"/>
      </w:pPr>
      <w:r>
        <w:t xml:space="preserve">P9. Jonesモデル・修正Jonesモデルによる裁量的発生高の推定〔予想問題〕</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設問（予想）</w:t>
            </w:r>
          </w:p>
          <w:p>
            <w:pPr>
              <w:spacing w:after="0" w:line="300"/>
            </w:pPr>
            <w:r>
              <w:rPr>
                <w:rFonts w:ascii="Yu Mincho" w:cs="Yu Mincho" w:eastAsia="Yu Mincho" w:hAnsi="Yu Mincho"/>
                <w:i/>
                <w:iCs/>
                <w:sz w:val="20"/>
                <w:szCs w:val="20"/>
              </w:rPr>
              <w:t xml:space="preserve">Jonesモデル・修正Jonesモデルによる裁量的発生高の推定について説明しなさい。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裁量的発生高を把握するには、まず非裁量的発生高を推定する必要がある。Jonesモデル(1991)は、会計発生高＝α＋α1Δ売上高＋α2償却性固定資産＋εという回帰式で非裁量的発生高を推定する。売上高は運転資本に関する発生高を、償却性固定資産は減価償却費をコントロールするために用いられる。この推定値（期待値）を実際の会計発生高から差し引くことで裁量的発生高を算定する。修正Jonesモデル(Dechow et al., 1995)は、売上高の変化額からさらに売上債権の変化額を差し引くことで、売上高自体が調整不可能という仮定を緩和し、売上債権を通じた裁量の可能性を織り込んでいる。修正Jonesモデルはこれまでの研究で最もよく使われるモデルとなっている。なお、営業キャッシュ・フローを説明変数に加えたCFO修正Jonesモデル（Kasznick, 1999）も、決定係数が改善するとして用いられている。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会計発生高＝営業CF＋非裁量的発生高＋裁量的発生高、という構造をまず示せると良い。</w:t>
      </w:r>
    </w:p>
    <w:p>
      <w:pPr>
        <w:pStyle w:val="ListParagraph"/>
        <w:numPr>
          <w:ilvl w:val="0"/>
          <w:numId w:val="2"/>
        </w:numPr>
        <w:spacing w:after="80" w:line="300"/>
      </w:pPr>
      <w:r>
        <w:rPr>
          <w:rFonts w:ascii="Yu Mincho" w:cs="Yu Mincho" w:eastAsia="Yu Mincho" w:hAnsi="Yu Mincho"/>
          <w:sz w:val="21"/>
          <w:szCs w:val="21"/>
        </w:rPr>
        <w:t xml:space="preserve">Jonesモデルの式を正確に書くこと。</w:t>
      </w:r>
    </w:p>
    <w:p>
      <w:pPr>
        <w:pStyle w:val="ListParagraph"/>
        <w:numPr>
          <w:ilvl w:val="0"/>
          <w:numId w:val="2"/>
        </w:numPr>
        <w:spacing w:after="80" w:line="300"/>
      </w:pPr>
      <w:r>
        <w:rPr>
          <w:rFonts w:ascii="Yu Mincho" w:cs="Yu Mincho" w:eastAsia="Yu Mincho" w:hAnsi="Yu Mincho"/>
          <w:sz w:val="21"/>
          <w:szCs w:val="21"/>
        </w:rPr>
        <w:t xml:space="preserve">修正Jonesモデルの改良点（売上債権の調整）を明示すること。</w:t>
      </w:r>
    </w:p>
    <w:p>
      <w:pPr>
        <w:pStyle w:val="ListParagraph"/>
        <w:numPr>
          <w:ilvl w:val="0"/>
          <w:numId w:val="2"/>
        </w:numPr>
        <w:spacing w:after="80" w:line="300"/>
      </w:pPr>
      <w:r>
        <w:rPr>
          <w:rFonts w:ascii="Yu Mincho" w:cs="Yu Mincho" w:eastAsia="Yu Mincho" w:hAnsi="Yu Mincho"/>
          <w:sz w:val="21"/>
          <w:szCs w:val="21"/>
        </w:rPr>
        <w:t xml:space="preserve">出典：第6章6.5節。</w:t>
      </w:r>
    </w:p>
    <w:p>
      <w:pPr>
        <w:spacing w:after="100"/>
      </w:pPr>
    </w:p>
    <w:p>
      <w:pPr>
        <w:pStyle w:val="Heading3"/>
        <w:spacing w:after="120" w:before="240"/>
      </w:pPr>
      <w:r>
        <w:t xml:space="preserve">P10. 利益調整を抑制する決定要因〔予想問題〕</w:t>
      </w:r>
    </w:p>
    <w:tbl>
      <w:tblPr>
        <w:tblW w:type="pct" w:w="100%"/>
        <w:tblBorders>
          <w:top w:val="single" w:color="5B7FBB" w:sz="6"/>
          <w:left w:val="single" w:color="5B7FBB" w:sz="6"/>
          <w:bottom w:val="single" w:color="5B7FBB" w:sz="6"/>
          <w:right w:val="single" w:color="5B7FBB" w:sz="6"/>
          <w:insideH w:val="single" w:color="auto" w:sz="4"/>
          <w:insideV w:val="single" w:color="auto" w:sz="4"/>
        </w:tblBorders>
      </w:tblPr>
      <w:tblGrid>
        <w:gridCol w:w="100"/>
      </w:tblGrid>
      <w:tr>
        <w:tc>
          <w:tcPr>
            <w:shd w:fill="EAF0FA" w:val="clear"/>
            <w:tcMar>
              <w:top w:type="dxa" w:w="120"/>
              <w:left w:type="dxa" w:w="160"/>
              <w:bottom w:type="dxa" w:w="120"/>
              <w:right w:type="dxa" w:w="160"/>
            </w:tcMar>
          </w:tcPr>
          <w:p>
            <w:pPr>
              <w:spacing w:after="80"/>
            </w:pPr>
            <w:r>
              <w:rPr>
                <w:rFonts w:ascii="Yu Gothic" w:cs="Yu Gothic" w:eastAsia="Yu Gothic" w:hAnsi="Yu Gothic"/>
                <w:b/>
                <w:bCs/>
                <w:color w:val="2E5395"/>
                <w:sz w:val="19"/>
                <w:szCs w:val="19"/>
              </w:rPr>
              <w:t xml:space="preserve">設問（予想）</w:t>
            </w:r>
          </w:p>
          <w:p>
            <w:pPr>
              <w:spacing w:after="0" w:line="300"/>
            </w:pPr>
            <w:r>
              <w:rPr>
                <w:rFonts w:ascii="Yu Mincho" w:cs="Yu Mincho" w:eastAsia="Yu Mincho" w:hAnsi="Yu Mincho"/>
                <w:i/>
                <w:iCs/>
                <w:sz w:val="20"/>
                <w:szCs w:val="20"/>
              </w:rPr>
              <w:t xml:space="preserve">利益調整を抑制する決定要因について，取締役会の構成やSOX法の観点から説明しなさい。</w:t>
            </w:r>
          </w:p>
        </w:tc>
      </w:tr>
    </w:tbl>
    <w:p>
      <w:pPr>
        <w:spacing w:after="60" w:before="120"/>
      </w:pPr>
      <w:r>
        <w:rPr>
          <w:rFonts w:ascii="Yu Gothic" w:cs="Yu Gothic" w:eastAsia="Yu Gothic" w:hAnsi="Yu Gothic"/>
          <w:b/>
          <w:bCs/>
          <w:color w:val="B05A2E"/>
          <w:sz w:val="19"/>
          <w:szCs w:val="19"/>
        </w:rPr>
        <w:t xml:space="preserve">解答例</w:t>
      </w:r>
    </w:p>
    <w:p>
      <w:pPr>
        <w:spacing w:after="140" w:line="320"/>
        <w:jc w:val="left"/>
      </w:pPr>
      <w:r>
        <w:rPr>
          <w:rFonts w:ascii="Yu Mincho" w:cs="Yu Mincho" w:eastAsia="Yu Mincho" w:hAnsi="Yu Mincho"/>
          <w:sz w:val="21"/>
          <w:szCs w:val="21"/>
        </w:rPr>
        <w:t xml:space="preserve">利益調整を抑制する決定要因として、第一に取締役会の構成が挙げられる。取締役の独立性（社外取締役の比率）が高い企業ほど利益調整が抑制されることが示されている（Klein, 2002）。また企業経営・会計財務の専門性を持つ取締役の割合が高い企業ほど裁量的発生高が小さくなる（Xie et al., 2003）。第二にSOX法（2002年制定）である。エンロン事件等の会計不正を受けて制定されたSOX法は、内部統制に対する経営者の評価と監査人による監査（第404条）、監査委員会の独立性・専門性（第407条）を要求しており、施行後は会計的裁量行動が抑制される一方、実体的裁量行動が増加する（Cohen et al., 2008）という手段の移行が観察されている。このほか、監査の質（業種専門性・監査法人の規模）やモニタリング能力の高い機関投資家による株式保有も利益調整を抑制する要因として指摘される。</w:t>
      </w:r>
    </w:p>
    <w:p>
      <w:pPr>
        <w:spacing w:after="60" w:before="120"/>
      </w:pPr>
      <w:r>
        <w:rPr>
          <w:rFonts w:ascii="Yu Gothic" w:cs="Yu Gothic" w:eastAsia="Yu Gothic" w:hAnsi="Yu Gothic"/>
          <w:b/>
          <w:bCs/>
          <w:color w:val="B05A2E"/>
          <w:sz w:val="19"/>
          <w:szCs w:val="19"/>
        </w:rPr>
        <w:t xml:space="preserve">解答のポイント・根拠</w:t>
      </w:r>
    </w:p>
    <w:p>
      <w:pPr>
        <w:pStyle w:val="ListParagraph"/>
        <w:numPr>
          <w:ilvl w:val="0"/>
          <w:numId w:val="2"/>
        </w:numPr>
        <w:spacing w:after="80" w:line="300"/>
      </w:pPr>
      <w:r>
        <w:rPr>
          <w:rFonts w:ascii="Yu Mincho" w:cs="Yu Mincho" w:eastAsia="Yu Mincho" w:hAnsi="Yu Mincho"/>
          <w:sz w:val="21"/>
          <w:szCs w:val="21"/>
        </w:rPr>
        <w:t xml:space="preserve">取締役会の独立性・専門性という2つの軸を区別して説明すること（Klein 2002／Xie et al. 2003）。</w:t>
      </w:r>
    </w:p>
    <w:p>
      <w:pPr>
        <w:pStyle w:val="ListParagraph"/>
        <w:numPr>
          <w:ilvl w:val="0"/>
          <w:numId w:val="2"/>
        </w:numPr>
        <w:spacing w:after="80" w:line="300"/>
      </w:pPr>
      <w:r>
        <w:rPr>
          <w:rFonts w:ascii="Yu Mincho" w:cs="Yu Mincho" w:eastAsia="Yu Mincho" w:hAnsi="Yu Mincho"/>
          <w:sz w:val="21"/>
          <w:szCs w:val="21"/>
        </w:rPr>
        <w:t xml:space="preserve">SOX法の内容（内部統制の評価・監査、監査委員会の独立性）に触れること。</w:t>
      </w:r>
    </w:p>
    <w:p>
      <w:pPr>
        <w:pStyle w:val="ListParagraph"/>
        <w:numPr>
          <w:ilvl w:val="0"/>
          <w:numId w:val="2"/>
        </w:numPr>
        <w:spacing w:after="80" w:line="300"/>
      </w:pPr>
      <w:r>
        <w:rPr>
          <w:rFonts w:ascii="Yu Mincho" w:cs="Yu Mincho" w:eastAsia="Yu Mincho" w:hAnsi="Yu Mincho"/>
          <w:sz w:val="21"/>
          <w:szCs w:val="21"/>
        </w:rPr>
        <w:t xml:space="preserve">SOX法後に「会計的裁量→実体的裁量」への手段移行が起きた、という発展的な論点を書けると高評価。</w:t>
      </w:r>
    </w:p>
    <w:p>
      <w:pPr>
        <w:pStyle w:val="ListParagraph"/>
        <w:numPr>
          <w:ilvl w:val="0"/>
          <w:numId w:val="2"/>
        </w:numPr>
        <w:spacing w:after="80" w:line="300"/>
      </w:pPr>
      <w:r>
        <w:rPr>
          <w:rFonts w:ascii="Yu Mincho" w:cs="Yu Mincho" w:eastAsia="Yu Mincho" w:hAnsi="Yu Mincho"/>
          <w:sz w:val="21"/>
          <w:szCs w:val="21"/>
        </w:rPr>
        <w:t xml:space="preserve">出典：第6章6.9節。</w:t>
      </w:r>
    </w:p>
    <w:p>
      <w:pPr>
        <w:spacing w:after="10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sz w:val="18"/>
        <w:szCs w:val="18"/>
      </w:rPr>
      <w:fldChar w:fldCharType="begin"/>
      <w:instrText xml:space="preserve">PAGE</w:instrText>
      <w:fldChar w:fldCharType="separate"/>
      <w:fldChar w:fldCharType="end"/>
    </w:r>
    <w:r>
      <w:rPr>
        <w:rFonts w:ascii="Yu Mincho" w:cs="Yu Mincho" w:eastAsia="Yu Mincho" w:hAnsi="Yu Mincho"/>
        <w:sz w:val="18"/>
        <w:szCs w:val="18"/>
      </w:rPr>
      <w:t xml:space="preserve"> / </w:t>
    </w:r>
    <w:r>
      <w:rPr>
        <w:rFonts w:ascii="Yu Mincho" w:cs="Yu Mincho" w:eastAsia="Yu Mincho" w:hAnsi="Yu Mincho"/>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Mincho" w:cs="Yu Mincho" w:eastAsia="Yu Mincho" w:hAnsi="Yu Mincho"/>
        <w:color w:val="888888"/>
        <w:sz w:val="16"/>
        <w:szCs w:val="16"/>
      </w:rPr>
      <w:t xml:space="preserve">経営分析Ⅱ　過去問レジュメ（頻出論点・解答例編）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480"/>
    </w:pPr>
    <w:rPr>
      <w:rFonts w:ascii="Yu Gothic" w:cs="Yu Gothic" w:eastAsia="Yu Gothic" w:hAnsi="Yu Gothic"/>
      <w:b/>
      <w:bCs/>
      <w:color w:val="1F3864"/>
      <w:sz w:val="32"/>
      <w:szCs w:val="32"/>
    </w:rPr>
  </w:style>
  <w:style w:type="paragraph" w:styleId="Heading2">
    <w:name w:val="Heading 2"/>
    <w:basedOn w:val="Normal"/>
    <w:next w:val="Normal"/>
    <w:qFormat/>
    <w:pPr>
      <w:spacing w:after="160" w:before="360"/>
    </w:pPr>
    <w:rPr>
      <w:rFonts w:ascii="Yu Gothic" w:cs="Yu Gothic" w:eastAsia="Yu Gothic" w:hAnsi="Yu Gothic"/>
      <w:b/>
      <w:bCs/>
      <w:color w:val="2E5395"/>
      <w:sz w:val="26"/>
      <w:szCs w:val="26"/>
    </w:rPr>
  </w:style>
  <w:style w:type="paragraph" w:styleId="Heading3">
    <w:name w:val="Heading 3"/>
    <w:basedOn w:val="Normal"/>
    <w:next w:val="Normal"/>
    <w:qFormat/>
    <w:pPr>
      <w:spacing w:after="120" w:before="240"/>
    </w:pPr>
    <w:rPr>
      <w:rFonts w:ascii="Yu Gothic" w:cs="Yu Gothic" w:eastAsia="Yu Gothic" w:hAnsi="Yu Gothic"/>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経営分析Ⅱ 過去問レジュメ（頻出論点・解答例編）</dc:title>
  <dc:creator>Study Cycle Manager</dc:creator>
  <cp:lastModifiedBy>Un-named</cp:lastModifiedBy>
  <cp:revision>1</cp:revision>
  <dcterms:created xsi:type="dcterms:W3CDTF">2026-07-23T17:47:00.198Z</dcterms:created>
  <dcterms:modified xsi:type="dcterms:W3CDTF">2026-07-23T17:47:00.212Z</dcterms:modified>
</cp:coreProperties>
</file>

<file path=docProps/custom.xml><?xml version="1.0" encoding="utf-8"?>
<Properties xmlns="http://schemas.openxmlformats.org/officeDocument/2006/custom-properties" xmlns:vt="http://schemas.openxmlformats.org/officeDocument/2006/docPropsVTypes"/>
</file>