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473C2" w14:textId="77777777" w:rsidR="004A2D81" w:rsidRDefault="004A2D81" w:rsidP="004A2D81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Budget Justification – Additional Narrative</w:t>
      </w:r>
    </w:p>
    <w:p w14:paraId="3F6993FF" w14:textId="77777777" w:rsidR="004A2D81" w:rsidRDefault="004A2D81" w:rsidP="004A2D81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Rutgers, The State University of New Jersey</w:t>
      </w:r>
    </w:p>
    <w:p w14:paraId="44C5A2BD" w14:textId="77777777" w:rsidR="004A2D81" w:rsidRDefault="004A2D81" w:rsidP="004A2D81">
      <w:pPr>
        <w:pStyle w:val="ListParagraph"/>
        <w:suppressAutoHyphens/>
        <w:ind w:left="0"/>
        <w:contextualSpacing w:val="0"/>
        <w:rPr>
          <w:rFonts w:ascii="Arial" w:hAnsi="Arial" w:cs="Arial"/>
          <w:b/>
          <w:bCs/>
        </w:rPr>
      </w:pPr>
    </w:p>
    <w:p w14:paraId="659011AC" w14:textId="69C8EF60" w:rsidR="004A2D81" w:rsidRPr="00234463" w:rsidRDefault="004A2D81" w:rsidP="004A2D81">
      <w:pPr>
        <w:pStyle w:val="ListParagraph"/>
        <w:suppressAutoHyphens/>
        <w:ind w:left="0"/>
        <w:contextualSpacing w:val="0"/>
        <w:rPr>
          <w:rFonts w:ascii="Arial" w:hAnsi="Arial" w:cs="Arial"/>
          <w:b/>
          <w:bCs/>
        </w:rPr>
      </w:pPr>
      <w:r w:rsidRPr="007C4CB1">
        <w:rPr>
          <w:rFonts w:ascii="Arial" w:hAnsi="Arial" w:cs="Arial"/>
          <w:b/>
          <w:bCs/>
        </w:rPr>
        <w:t>Equipment</w:t>
      </w:r>
      <w:r>
        <w:rPr>
          <w:rFonts w:ascii="Arial" w:hAnsi="Arial" w:cs="Arial"/>
          <w:b/>
          <w:bCs/>
        </w:rPr>
        <w:t xml:space="preserve">: </w:t>
      </w:r>
      <w:r w:rsidRPr="00234463">
        <w:rPr>
          <w:rFonts w:ascii="Arial" w:hAnsi="Arial" w:cs="Arial"/>
          <w:bCs/>
        </w:rPr>
        <w:t>$</w:t>
      </w:r>
      <w:r>
        <w:rPr>
          <w:rFonts w:ascii="Arial" w:hAnsi="Arial" w:cs="Arial"/>
          <w:bCs/>
        </w:rPr>
        <w:t>5</w:t>
      </w:r>
      <w:r w:rsidRPr="00234463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>1</w:t>
      </w:r>
      <w:r w:rsidRPr="00234463">
        <w:rPr>
          <w:rFonts w:ascii="Arial" w:hAnsi="Arial" w:cs="Arial"/>
          <w:bCs/>
        </w:rPr>
        <w:t>00 for a high-end GPU server/workstation (1</w:t>
      </w:r>
      <w:r w:rsidRPr="00234463">
        <w:rPr>
          <w:rFonts w:ascii="Arial" w:hAnsi="Arial" w:cs="Arial"/>
          <w:bCs/>
          <w:vertAlign w:val="superscript"/>
        </w:rPr>
        <w:t>st</w:t>
      </w:r>
      <w:r w:rsidRPr="00234463">
        <w:rPr>
          <w:rFonts w:ascii="Arial" w:hAnsi="Arial" w:cs="Arial"/>
          <w:bCs/>
        </w:rPr>
        <w:t xml:space="preserve"> year),</w:t>
      </w:r>
      <w:r>
        <w:rPr>
          <w:rFonts w:ascii="Arial" w:hAnsi="Arial" w:cs="Arial"/>
          <w:bCs/>
        </w:rPr>
        <w:t xml:space="preserve"> exclusively for the proposed project</w:t>
      </w:r>
      <w:r>
        <w:rPr>
          <w:rFonts w:ascii="Arial" w:hAnsi="Arial" w:cs="Arial"/>
          <w:bCs/>
        </w:rPr>
        <w:t>.</w:t>
      </w:r>
      <w:bookmarkStart w:id="0" w:name="_GoBack"/>
      <w:bookmarkEnd w:id="0"/>
      <w:r>
        <w:rPr>
          <w:rFonts w:ascii="Arial" w:hAnsi="Arial" w:cs="Arial"/>
          <w:bCs/>
        </w:rPr>
        <w:t xml:space="preserve"> and for GPU-TI code validation/test, data analysis, and preliminary benchmarking. </w:t>
      </w:r>
    </w:p>
    <w:p w14:paraId="4A57EA21" w14:textId="77777777" w:rsidR="004A2D81" w:rsidRDefault="004A2D81" w:rsidP="004A2D81">
      <w:pPr>
        <w:rPr>
          <w:rFonts w:eastAsia="Calibri"/>
          <w:color w:val="auto"/>
        </w:rPr>
      </w:pPr>
      <w:r w:rsidRPr="007C4CB1">
        <w:rPr>
          <w:b/>
          <w:bCs/>
        </w:rPr>
        <w:t>Domestic Travel:</w:t>
      </w:r>
      <w:r w:rsidRPr="007C4CB1">
        <w:t xml:space="preserve">  $</w:t>
      </w:r>
      <w:r>
        <w:t>2</w:t>
      </w:r>
      <w:r w:rsidRPr="007C4CB1">
        <w:t>,000 per year for travel to conferences</w:t>
      </w:r>
      <w:r>
        <w:t>/</w:t>
      </w:r>
      <w:r w:rsidRPr="007C4CB1">
        <w:t xml:space="preserve">meetings </w:t>
      </w:r>
      <w:r>
        <w:t>and technical workshops.  mainly for gaining technical knowledge in areas such as newest development in force field development research and exchanging research findings with others.</w:t>
      </w:r>
      <w:r>
        <w:t xml:space="preserve">  </w:t>
      </w:r>
      <w:r>
        <w:t>We are requesting funds for one meeting per year at $2,000 per trip. Anticipated travel expenses include airfare expenses of $450, hotel expenses of $800, meal expenses of $200, and registration expenses of $550</w:t>
      </w:r>
    </w:p>
    <w:p w14:paraId="6302E8F8" w14:textId="1C0C5317" w:rsidR="004A2D81" w:rsidRDefault="004A2D81" w:rsidP="004A2D81"/>
    <w:p w14:paraId="01B06B1B" w14:textId="77777777" w:rsidR="004A2D81" w:rsidRDefault="004A2D81" w:rsidP="004A2D81">
      <w:pPr>
        <w:pStyle w:val="ListParagraph"/>
        <w:ind w:left="0"/>
        <w:rPr>
          <w:rFonts w:ascii="Arial" w:hAnsi="Arial" w:cs="Arial"/>
        </w:rPr>
      </w:pPr>
      <w:bookmarkStart w:id="1" w:name="_Hlk507091417"/>
      <w:r w:rsidRPr="00DB4636">
        <w:rPr>
          <w:rFonts w:ascii="Arial" w:hAnsi="Arial" w:cs="Arial"/>
          <w:b/>
        </w:rPr>
        <w:t>Fringe</w:t>
      </w:r>
      <w:r w:rsidRPr="00DB4636">
        <w:rPr>
          <w:rFonts w:ascii="Arial" w:hAnsi="Arial" w:cs="Arial"/>
          <w:b/>
          <w:bCs/>
        </w:rPr>
        <w:t xml:space="preserve"> </w:t>
      </w:r>
      <w:r w:rsidRPr="007C4CB1">
        <w:rPr>
          <w:rFonts w:ascii="Arial" w:hAnsi="Arial" w:cs="Arial"/>
          <w:b/>
          <w:bCs/>
        </w:rPr>
        <w:t>Costs</w:t>
      </w:r>
      <w:bookmarkEnd w:id="1"/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Fringe rates are negotiated between Rutgers University and the U.S. Department of Health and Human Services. Fringe benefits are calculated at the approved rate of 50.53% for full time personnel, 48.58% for Post-doctoral Associates, 28.37% for Graduate Students, and 7.65% for Faculty Summer Compensation. Fringe rates can be accessed at: </w:t>
      </w:r>
      <w:hyperlink r:id="rId6" w:history="1">
        <w:r w:rsidRPr="00AB22B1">
          <w:rPr>
            <w:rStyle w:val="Hyperlink"/>
            <w:rFonts w:ascii="Arial" w:hAnsi="Arial" w:cs="Arial"/>
          </w:rPr>
          <w:t>https://co</w:t>
        </w:r>
        <w:r w:rsidRPr="00AB22B1">
          <w:rPr>
            <w:rStyle w:val="Hyperlink"/>
            <w:rFonts w:ascii="Arial" w:hAnsi="Arial" w:cs="Arial"/>
          </w:rPr>
          <w:t>s</w:t>
        </w:r>
        <w:r w:rsidRPr="00AB22B1">
          <w:rPr>
            <w:rStyle w:val="Hyperlink"/>
            <w:rFonts w:ascii="Arial" w:hAnsi="Arial" w:cs="Arial"/>
          </w:rPr>
          <w:t>tanalysis.rutgers.edu/fringe-benefit-rates</w:t>
        </w:r>
      </w:hyperlink>
      <w:r>
        <w:rPr>
          <w:rFonts w:ascii="Arial" w:hAnsi="Arial" w:cs="Arial"/>
        </w:rPr>
        <w:t>.</w:t>
      </w:r>
    </w:p>
    <w:p w14:paraId="6809ABB2" w14:textId="77777777" w:rsidR="004A2D81" w:rsidRPr="007C4CB1" w:rsidRDefault="004A2D81" w:rsidP="004A2D81">
      <w:pPr>
        <w:pStyle w:val="ListParagraph"/>
        <w:ind w:left="0" w:firstLine="360"/>
        <w:rPr>
          <w:rFonts w:ascii="Arial" w:hAnsi="Arial" w:cs="Arial"/>
        </w:rPr>
      </w:pPr>
    </w:p>
    <w:p w14:paraId="560CB10B" w14:textId="77777777" w:rsidR="004A2D81" w:rsidRPr="00C62035" w:rsidRDefault="004A2D81" w:rsidP="004A2D81">
      <w:pPr>
        <w:pStyle w:val="ListParagraph"/>
        <w:suppressAutoHyphens/>
        <w:ind w:left="0"/>
        <w:contextualSpacing w:val="0"/>
        <w:rPr>
          <w:rFonts w:ascii="Arial" w:hAnsi="Arial" w:cs="Arial"/>
          <w:b/>
          <w:bCs/>
        </w:rPr>
      </w:pPr>
      <w:r w:rsidRPr="007C4CB1">
        <w:rPr>
          <w:rFonts w:ascii="Arial" w:hAnsi="Arial" w:cs="Arial"/>
          <w:b/>
          <w:bCs/>
        </w:rPr>
        <w:t>Indirect Costs</w:t>
      </w:r>
      <w:r>
        <w:rPr>
          <w:rFonts w:ascii="Arial" w:hAnsi="Arial" w:cs="Arial"/>
          <w:b/>
          <w:bCs/>
        </w:rPr>
        <w:t xml:space="preserve">: </w:t>
      </w:r>
      <w:r w:rsidRPr="00DF2FC4">
        <w:rPr>
          <w:rFonts w:ascii="Arial" w:hAnsi="Arial" w:cs="Arial"/>
        </w:rPr>
        <w:t>Indirect costs are charged at the negotiated rate</w:t>
      </w:r>
      <w:r>
        <w:rPr>
          <w:rFonts w:ascii="Arial" w:hAnsi="Arial" w:cs="Arial"/>
        </w:rPr>
        <w:t xml:space="preserve"> of 55% (DHHS agreement dated 02</w:t>
      </w:r>
      <w:r w:rsidRPr="00DF2FC4">
        <w:rPr>
          <w:rFonts w:ascii="Arial" w:hAnsi="Arial" w:cs="Arial"/>
        </w:rPr>
        <w:t>/</w:t>
      </w:r>
      <w:r>
        <w:rPr>
          <w:rFonts w:ascii="Arial" w:hAnsi="Arial" w:cs="Arial"/>
        </w:rPr>
        <w:t>05/2018</w:t>
      </w:r>
      <w:r w:rsidRPr="00DF2FC4">
        <w:rPr>
          <w:rFonts w:ascii="Arial" w:hAnsi="Arial" w:cs="Arial"/>
        </w:rPr>
        <w:t>) on modified total direct costs excluding tuition, equipment over $5,000, participant support costs and the portion of each subcontract in excess of $25,000.</w:t>
      </w:r>
    </w:p>
    <w:p w14:paraId="3FF0DA9F" w14:textId="77777777" w:rsidR="004A2D81" w:rsidRPr="007C4CB1" w:rsidRDefault="004A2D81" w:rsidP="004A2D81">
      <w:pPr>
        <w:pStyle w:val="ListParagraph"/>
        <w:ind w:left="0" w:firstLine="360"/>
        <w:rPr>
          <w:rFonts w:ascii="Arial" w:hAnsi="Arial" w:cs="Arial"/>
        </w:rPr>
      </w:pPr>
    </w:p>
    <w:p w14:paraId="15FFE79F" w14:textId="77777777" w:rsidR="004A2D81" w:rsidRPr="007C4CB1" w:rsidRDefault="004A2D81" w:rsidP="004A2D81"/>
    <w:p w14:paraId="7A5D8D06" w14:textId="2DFD264D" w:rsidR="00752C31" w:rsidRPr="004A2D81" w:rsidRDefault="00752C31" w:rsidP="004A2D81"/>
    <w:sectPr w:rsidR="00752C31" w:rsidRPr="004A2D81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492FC" w14:textId="77777777" w:rsidR="00F81C5B" w:rsidRDefault="00F81C5B" w:rsidP="004A2D81">
      <w:pPr>
        <w:spacing w:after="0" w:line="240" w:lineRule="auto"/>
      </w:pPr>
      <w:r>
        <w:separator/>
      </w:r>
    </w:p>
  </w:endnote>
  <w:endnote w:type="continuationSeparator" w:id="0">
    <w:p w14:paraId="2041E9DC" w14:textId="77777777" w:rsidR="00F81C5B" w:rsidRDefault="00F81C5B" w:rsidP="004A2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8999A" w14:textId="77777777" w:rsidR="00F81C5B" w:rsidRDefault="00F81C5B" w:rsidP="004A2D81">
      <w:pPr>
        <w:spacing w:after="0" w:line="240" w:lineRule="auto"/>
      </w:pPr>
      <w:r>
        <w:separator/>
      </w:r>
    </w:p>
  </w:footnote>
  <w:footnote w:type="continuationSeparator" w:id="0">
    <w:p w14:paraId="1D46659C" w14:textId="77777777" w:rsidR="00F81C5B" w:rsidRDefault="00F81C5B" w:rsidP="004A2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31"/>
    <w:rsid w:val="00084FF6"/>
    <w:rsid w:val="004A2D81"/>
    <w:rsid w:val="00752C31"/>
    <w:rsid w:val="00ED63DC"/>
    <w:rsid w:val="00F8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729DA"/>
  <w15:docId w15:val="{FE9134D4-9E0B-4638-B38F-07D7C05E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D81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A2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D81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qFormat/>
    <w:rsid w:val="004A2D81"/>
    <w:pPr>
      <w:spacing w:after="200" w:line="276" w:lineRule="auto"/>
      <w:ind w:left="720" w:firstLine="0"/>
      <w:contextualSpacing/>
    </w:pPr>
    <w:rPr>
      <w:rFonts w:ascii="Calibri" w:eastAsia="Calibri" w:hAnsi="Calibri" w:cs="Times New Roman"/>
      <w:color w:val="auto"/>
      <w:lang w:eastAsia="en-US"/>
    </w:rPr>
  </w:style>
  <w:style w:type="character" w:styleId="Hyperlink">
    <w:name w:val="Hyperlink"/>
    <w:uiPriority w:val="99"/>
    <w:unhideWhenUsed/>
    <w:rsid w:val="004A2D8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2D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4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stanalysis.rutgers.edu/fringe-benefit-rat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BudgetJustification_Additional Narrative</dc:title>
  <dc:subject/>
  <dc:creator>Jonathan Hackett</dc:creator>
  <cp:keywords/>
  <cp:lastModifiedBy>Tai-sung Lee</cp:lastModifiedBy>
  <cp:revision>4</cp:revision>
  <dcterms:created xsi:type="dcterms:W3CDTF">2018-11-02T01:13:00Z</dcterms:created>
  <dcterms:modified xsi:type="dcterms:W3CDTF">2019-01-24T04:24:00Z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TEST: BibTeX generic citation style</vt:lpwstr>
  </property>
</Properties>
</file>