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CC" w:rsidRDefault="004E2FCC" w:rsidP="004E2FCC">
      <w:pPr>
        <w:pStyle w:val="Heading2"/>
      </w:pPr>
      <w:r>
        <w:t>Figure 1</w:t>
      </w:r>
    </w:p>
    <w:p w:rsidR="004E2FCC" w:rsidRDefault="004E2FCC" w:rsidP="004E2FCC">
      <w:pPr>
        <w:pStyle w:val="Heading3"/>
      </w:pPr>
      <w:r>
        <w:t>1A</w:t>
      </w:r>
      <w:r w:rsidR="00664E55">
        <w:t xml:space="preserve"> – Omega shape</w:t>
      </w:r>
    </w:p>
    <w:p w:rsidR="004E2FCC" w:rsidRDefault="001624F2" w:rsidP="004E2FCC">
      <w:r>
        <w:t>Ploted with fig_OmegaShape.m</w:t>
      </w:r>
      <w:r w:rsidR="00525C76">
        <w:t>.</w:t>
      </w:r>
    </w:p>
    <w:p w:rsidR="004E2FCC" w:rsidRDefault="004E2FCC" w:rsidP="004E2FCC">
      <w:pPr>
        <w:pStyle w:val="Heading3"/>
      </w:pPr>
      <w:r>
        <w:t>1B – Eta shape (learning rate function)</w:t>
      </w:r>
    </w:p>
    <w:p w:rsidR="00321650" w:rsidRPr="00321650" w:rsidRDefault="00321650" w:rsidP="00321650">
      <w:r>
        <w:t xml:space="preserve">Plotted with </w:t>
      </w:r>
      <w:r w:rsidR="00DA41F7">
        <w:t>fig_EtaShape.m.</w:t>
      </w:r>
    </w:p>
    <w:p w:rsidR="004E2FCC" w:rsidRDefault="004E2FCC" w:rsidP="004E2FCC">
      <w:pPr>
        <w:rPr>
          <w:rFonts w:eastAsiaTheme="minorEastAsia"/>
        </w:rPr>
      </w:pPr>
      <w:r>
        <w:t>DIVERGENCE: this</w:t>
      </w:r>
      <w:r w:rsidR="005F1D56">
        <w:t xml:space="preserve"> figure</w:t>
      </w:r>
      <w:r>
        <w:t xml:space="preserve"> is plotted exactly as</w:t>
      </w:r>
      <w:r w:rsidR="006B742F">
        <w:t xml:space="preserve"> it is given</w:t>
      </w:r>
      <w:r>
        <w:t xml:space="preserve"> in the article. However, for later simulations (STDP curve for example) we reduced eta 100x.</w:t>
      </w:r>
      <w:r w:rsidR="002970A6">
        <w:t xml:space="preserve"> The reason was that for a too high eta, all the changes to weight are destroyed by the weight falling back to its stable value too quickly. In 2004 article, eta scale is about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2970A6">
        <w:rPr>
          <w:rFonts w:eastAsiaTheme="minorEastAsia"/>
        </w:rPr>
        <w:t xml:space="preserve"> (or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2970A6">
        <w:rPr>
          <w:rFonts w:eastAsiaTheme="minorEastAsia"/>
        </w:rPr>
        <w:t xml:space="preserve"> for accelerated case), in 2002 article, it is around </w:t>
      </w:r>
      <m:oMath>
        <m:r>
          <w:rPr>
            <w:rFonts w:ascii="Cambria Math" w:eastAsiaTheme="minorEastAsia" w:hAnsi="Cambria Math"/>
          </w:rPr>
          <m:t>1</m:t>
        </m:r>
      </m:oMath>
      <w:r w:rsidR="002970A6">
        <w:rPr>
          <w:rFonts w:eastAsiaTheme="minorEastAsia"/>
        </w:rPr>
        <w:t>.</w:t>
      </w:r>
    </w:p>
    <w:p w:rsidR="00865A63" w:rsidRDefault="00865A63" w:rsidP="004E2FCC">
      <w:r>
        <w:rPr>
          <w:rFonts w:eastAsiaTheme="minorEastAsia"/>
        </w:rPr>
        <w:t xml:space="preserve">Note that there is a mistake in the article. Correct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, but in the </w:t>
      </w:r>
      <w:r w:rsidRPr="00865A63">
        <w:rPr>
          <w:rFonts w:eastAsiaTheme="minorEastAsia"/>
        </w:rPr>
        <w:t>article supplementary it incorrectly</w:t>
      </w:r>
      <w:r>
        <w:rPr>
          <w:rFonts w:eastAsiaTheme="minorEastAsia"/>
        </w:rPr>
        <w:t xml:space="preserve"> shows</w:t>
      </w:r>
      <w:r w:rsidRPr="00865A63">
        <w:rPr>
          <w:rFonts w:eastAsiaTheme="minorEastAsia"/>
        </w:rPr>
        <w:t xml:space="preserve"> division </w:t>
      </w:r>
      <w:r>
        <w:rPr>
          <w:rFonts w:eastAsiaTheme="minorEastAsia"/>
        </w:rPr>
        <w:t xml:space="preserve">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instead of multiplication.</w:t>
      </w:r>
    </w:p>
    <w:p w:rsidR="009A633A" w:rsidRDefault="009A633A" w:rsidP="009A633A">
      <w:pPr>
        <w:pStyle w:val="Heading2"/>
      </w:pPr>
      <w:r>
        <w:t>Figure 2</w:t>
      </w:r>
    </w:p>
    <w:p w:rsidR="009A633A" w:rsidRDefault="009A633A" w:rsidP="009A633A">
      <w:r>
        <w:t xml:space="preserve">Did not plot explicitly, but </w:t>
      </w:r>
      <w:r w:rsidR="00CE7778">
        <w:t xml:space="preserve">is possible to </w:t>
      </w:r>
      <w:r>
        <w:t>plot:</w:t>
      </w:r>
    </w:p>
    <w:p w:rsidR="009A633A" w:rsidRPr="009A633A" w:rsidRDefault="009A633A" w:rsidP="009A633A">
      <w:pPr>
        <w:pStyle w:val="ListParagraph"/>
        <w:numPr>
          <w:ilvl w:val="0"/>
          <w:numId w:val="1"/>
        </w:numPr>
      </w:pPr>
      <w:r>
        <w:t xml:space="preserve">For pre-synaptic influence (fraction NMDAR bound) used </w:t>
      </w:r>
      <w:r w:rsidRPr="009A633A">
        <w:rPr>
          <w:rFonts w:ascii="Courier New" w:hAnsi="Courier New" w:cs="Courier New"/>
        </w:rPr>
        <w:t>fg_history = [fg_history 0.5*f(1)];</w:t>
      </w:r>
      <w:r>
        <w:rPr>
          <w:rFonts w:ascii="Courier New" w:hAnsi="Courier New" w:cs="Courier New"/>
        </w:rPr>
        <w:t xml:space="preserve"> </w:t>
      </w:r>
      <w:r w:rsidRPr="009A633A">
        <w:t>0.5 is here because it’s the maximum possible amount of NMDAR bound</w:t>
      </w:r>
    </w:p>
    <w:p w:rsidR="009A633A" w:rsidRPr="003168C6" w:rsidRDefault="009A633A" w:rsidP="009A633A">
      <w:pPr>
        <w:pStyle w:val="ListParagraph"/>
        <w:numPr>
          <w:ilvl w:val="0"/>
          <w:numId w:val="1"/>
        </w:numPr>
      </w:pPr>
      <w:r>
        <w:t>For post-synaptic influence (</w:t>
      </w:r>
      <w:r>
        <w:rPr>
          <w:lang w:val="en-US"/>
        </w:rPr>
        <w:t>BPAP voltage</w:t>
      </w:r>
      <w:r>
        <w:t xml:space="preserve">) used </w:t>
      </w:r>
      <w:r w:rsidRPr="009A633A">
        <w:rPr>
          <w:rFonts w:ascii="Courier New" w:hAnsi="Courier New" w:cs="Courier New"/>
        </w:rPr>
        <w:t>V_H_history = [V_H_history V_H];</w:t>
      </w:r>
    </w:p>
    <w:p w:rsidR="003168C6" w:rsidRPr="00515650" w:rsidRDefault="003168C6" w:rsidP="003168C6">
      <w:pPr>
        <w:pStyle w:val="ListParagraph"/>
        <w:numPr>
          <w:ilvl w:val="0"/>
          <w:numId w:val="1"/>
        </w:numPr>
      </w:pPr>
      <w:r>
        <w:t xml:space="preserve">For calcium level, used </w:t>
      </w:r>
      <w:r w:rsidRPr="003168C6">
        <w:rPr>
          <w:rFonts w:ascii="Courier New" w:hAnsi="Courier New" w:cs="Courier New"/>
        </w:rPr>
        <w:t>Ca_history = [Ca_history Ca(1)];</w:t>
      </w:r>
    </w:p>
    <w:p w:rsidR="00515650" w:rsidRDefault="00515650" w:rsidP="00515650">
      <w:r>
        <w:t>Note that for the figures that are in folder ’1B bottom row’, the dashed lines are not the same as in the article (I plotted the lines at Ca=0.35 and Ca=0.55). This is probably because in the article they want to show that it is possible to separate LTD and LTP. Later, they still use the threshold values 0.35 and 0.55.</w:t>
      </w:r>
    </w:p>
    <w:p w:rsidR="00CA3414" w:rsidRDefault="00CA3414" w:rsidP="00515650">
      <w:r w:rsidRPr="00CA3414">
        <w:rPr>
          <w:b/>
        </w:rPr>
        <w:t>There is a bit of a difference in our 3B calcium levels</w:t>
      </w:r>
      <w:r>
        <w:t xml:space="preserve"> (for different post-pre firing regimes).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10ms</m:t>
        </m:r>
      </m:oMath>
      <w:r w:rsidRPr="00CA3414">
        <w:rPr>
          <w:rFonts w:eastAsiaTheme="minorEastAsia"/>
        </w:rPr>
        <w:t>, our Ca</w:t>
      </w:r>
      <w:r>
        <w:rPr>
          <w:rFonts w:eastAsiaTheme="minorEastAsia"/>
        </w:rPr>
        <w:t xml:space="preserve"> is a bit too high;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=-10</m:t>
        </m:r>
        <m:r>
          <m:rPr>
            <m:sty m:val="p"/>
          </m:rPr>
          <w:rPr>
            <w:rFonts w:ascii="Cambria Math" w:eastAsiaTheme="minorEastAsia" w:hAnsi="Cambria Math"/>
          </w:rPr>
          <m:t>ms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=-50</m:t>
        </m:r>
        <m:r>
          <m:rPr>
            <m:sty m:val="p"/>
          </m:rPr>
          <w:rPr>
            <w:rFonts w:ascii="Cambria Math" w:eastAsiaTheme="minorEastAsia" w:hAnsi="Cambria Math"/>
          </w:rPr>
          <m:t>ms</m:t>
        </m:r>
      </m:oMath>
      <w:r>
        <w:rPr>
          <w:rFonts w:eastAsiaTheme="minorEastAsia"/>
        </w:rPr>
        <w:t>, our Ca is a bit too l</w:t>
      </w:r>
      <w:r w:rsidR="00061B7C">
        <w:rPr>
          <w:rFonts w:eastAsiaTheme="minorEastAsia"/>
        </w:rPr>
        <w:t>ow. But qualitatively is OK: LTP and LTD thresholds are reached for corresponding spike timings.</w:t>
      </w:r>
    </w:p>
    <w:p w:rsidR="00211E04" w:rsidRDefault="00211E04" w:rsidP="00211E04">
      <w:pPr>
        <w:pStyle w:val="Heading2"/>
      </w:pPr>
      <w:r>
        <w:t>Figure 3</w:t>
      </w:r>
    </w:p>
    <w:p w:rsidR="007258E3" w:rsidRDefault="007258E3" w:rsidP="007258E3">
      <w:pPr>
        <w:pStyle w:val="Heading3"/>
      </w:pPr>
      <w:r>
        <w:t>3A</w:t>
      </w:r>
    </w:p>
    <w:p w:rsidR="007258E3" w:rsidRPr="007258E3" w:rsidRDefault="007258E3" w:rsidP="007258E3">
      <w:r>
        <w:t>Have not plotted. Should not be hard to code.</w:t>
      </w:r>
    </w:p>
    <w:p w:rsidR="00211E04" w:rsidRDefault="00211E04" w:rsidP="00211E04">
      <w:pPr>
        <w:pStyle w:val="Heading3"/>
      </w:pPr>
      <w:r>
        <w:t>3B – Mean final weight vs input frequency</w:t>
      </w:r>
    </w:p>
    <w:p w:rsidR="006B0EB2" w:rsidRDefault="006569EF" w:rsidP="006B0EB2">
      <w:r>
        <w:t>Did not plot with newest set of parameters (eta</w:t>
      </w:r>
      <w:r w:rsidR="00DC5E3D">
        <w:t xml:space="preserve"> changed</w:t>
      </w:r>
      <w:bookmarkStart w:id="0" w:name="_GoBack"/>
      <w:bookmarkEnd w:id="0"/>
      <w:r>
        <w:t>).</w:t>
      </w:r>
    </w:p>
    <w:p w:rsidR="006B0EB2" w:rsidRDefault="006B0EB2" w:rsidP="006B0EB2">
      <w:pPr>
        <w:pStyle w:val="Heading3"/>
      </w:pPr>
      <w:r>
        <w:lastRenderedPageBreak/>
        <w:t>3C – Mean final weight vs post-pre timing (STDP curve)</w:t>
      </w:r>
    </w:p>
    <w:p w:rsidR="006569EF" w:rsidRPr="006569EF" w:rsidRDefault="006569EF" w:rsidP="006569EF">
      <w:r>
        <w:t>Simulation code in folder ’fig3c’; plotted with fig_STDP_curve.m.</w:t>
      </w:r>
    </w:p>
    <w:p w:rsidR="003808EA" w:rsidRDefault="003808EA" w:rsidP="003808EA">
      <w:r>
        <w:t>Ran the simulations on cluster (did not complete parallelisation batch script because didn’t need in the end – but is very close to finishing).</w:t>
      </w:r>
    </w:p>
    <w:p w:rsidR="003808EA" w:rsidRDefault="00E121A6" w:rsidP="003808EA">
      <w:r>
        <w:t xml:space="preserve">DIVERGENCE: </w:t>
      </w:r>
      <w:r w:rsidR="00782C7D">
        <w:t>Used 2002 eta shape, but scaled it down by 100x.</w:t>
      </w:r>
      <w:r w:rsidR="003808EA">
        <w:t xml:space="preserve"> </w:t>
      </w:r>
    </w:p>
    <w:p w:rsidR="00EC3F49" w:rsidRDefault="00EC3F49" w:rsidP="00EC3F49">
      <w:pPr>
        <w:pStyle w:val="Heading2"/>
      </w:pPr>
      <w:r>
        <w:t>Figures 4 and 5</w:t>
      </w:r>
    </w:p>
    <w:p w:rsidR="00EC3F49" w:rsidRPr="00EC3F49" w:rsidRDefault="00A96C9F" w:rsidP="00EC3F49">
      <w:r>
        <w:t>Very easy to check: they are the same plots as in previous figures, but with different parameters.</w:t>
      </w:r>
    </w:p>
    <w:sectPr w:rsidR="00EC3F49" w:rsidRPr="00EC3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BA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 Semibold">
    <w:panose1 w:val="020B0706030804020204"/>
    <w:charset w:val="BA"/>
    <w:family w:val="swiss"/>
    <w:pitch w:val="variable"/>
    <w:sig w:usb0="E00002EF" w:usb1="4000205B" w:usb2="00000028" w:usb3="00000000" w:csb0="0000019F" w:csb1="00000000"/>
  </w:font>
  <w:font w:name="Open Sans Ital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86834"/>
    <w:multiLevelType w:val="hybridMultilevel"/>
    <w:tmpl w:val="FC945764"/>
    <w:lvl w:ilvl="0" w:tplc="042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2D"/>
    <w:rsid w:val="00061B7C"/>
    <w:rsid w:val="001624F2"/>
    <w:rsid w:val="00173BBB"/>
    <w:rsid w:val="00211E04"/>
    <w:rsid w:val="002970A6"/>
    <w:rsid w:val="003168C6"/>
    <w:rsid w:val="00321650"/>
    <w:rsid w:val="003808EA"/>
    <w:rsid w:val="00381B47"/>
    <w:rsid w:val="003B14D2"/>
    <w:rsid w:val="004E2FCC"/>
    <w:rsid w:val="00515650"/>
    <w:rsid w:val="00525C76"/>
    <w:rsid w:val="005E24EF"/>
    <w:rsid w:val="005F1D56"/>
    <w:rsid w:val="006569EF"/>
    <w:rsid w:val="00664E55"/>
    <w:rsid w:val="006B0EB2"/>
    <w:rsid w:val="006B742F"/>
    <w:rsid w:val="007258E3"/>
    <w:rsid w:val="00782C7D"/>
    <w:rsid w:val="00865A63"/>
    <w:rsid w:val="00936B2F"/>
    <w:rsid w:val="009A633A"/>
    <w:rsid w:val="00A96C9F"/>
    <w:rsid w:val="00CA3414"/>
    <w:rsid w:val="00CE7778"/>
    <w:rsid w:val="00D067A6"/>
    <w:rsid w:val="00DA41F7"/>
    <w:rsid w:val="00DC5E3D"/>
    <w:rsid w:val="00DF5353"/>
    <w:rsid w:val="00E121A6"/>
    <w:rsid w:val="00E8652D"/>
    <w:rsid w:val="00E8666C"/>
    <w:rsid w:val="00EB2493"/>
    <w:rsid w:val="00EB49AD"/>
    <w:rsid w:val="00EC3F49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6C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6C"/>
    <w:pPr>
      <w:keepNext/>
      <w:keepLines/>
      <w:spacing w:before="480" w:after="0"/>
      <w:outlineLvl w:val="0"/>
    </w:pPr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66C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66C"/>
    <w:pPr>
      <w:keepNext/>
      <w:keepLines/>
      <w:spacing w:before="200" w:after="0"/>
      <w:outlineLvl w:val="2"/>
    </w:pPr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6C"/>
    <w:pPr>
      <w:keepNext/>
      <w:keepLines/>
      <w:spacing w:before="200" w:after="0"/>
      <w:outlineLvl w:val="3"/>
    </w:pPr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6C"/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6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6C"/>
    <w:rPr>
      <w:rFonts w:ascii="Open Sans" w:eastAsiaTheme="majorEastAsia" w:hAnsi="Open Sans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6C"/>
    <w:pPr>
      <w:numPr>
        <w:ilvl w:val="1"/>
      </w:numPr>
    </w:pPr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66C"/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6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6C"/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666C"/>
    <w:pPr>
      <w:spacing w:after="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297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6C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6C"/>
    <w:pPr>
      <w:keepNext/>
      <w:keepLines/>
      <w:spacing w:before="480" w:after="0"/>
      <w:outlineLvl w:val="0"/>
    </w:pPr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66C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66C"/>
    <w:pPr>
      <w:keepNext/>
      <w:keepLines/>
      <w:spacing w:before="200" w:after="0"/>
      <w:outlineLvl w:val="2"/>
    </w:pPr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6C"/>
    <w:pPr>
      <w:keepNext/>
      <w:keepLines/>
      <w:spacing w:before="200" w:after="0"/>
      <w:outlineLvl w:val="3"/>
    </w:pPr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6C"/>
    <w:rPr>
      <w:rFonts w:ascii="Open Sans Bold" w:eastAsiaTheme="majorEastAsia" w:hAnsi="Open Sans Bold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66C"/>
    <w:rPr>
      <w:rFonts w:ascii="Open Sans Semibold" w:eastAsiaTheme="majorEastAsia" w:hAnsi="Open Sans Semibold" w:cstheme="majorBidi"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6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6C"/>
    <w:rPr>
      <w:rFonts w:ascii="Open Sans" w:eastAsiaTheme="majorEastAsia" w:hAnsi="Open Sans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6C"/>
    <w:pPr>
      <w:numPr>
        <w:ilvl w:val="1"/>
      </w:numPr>
    </w:pPr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66C"/>
    <w:rPr>
      <w:rFonts w:ascii="Open Sans Italic" w:eastAsiaTheme="majorEastAsia" w:hAnsi="Open Sans Italic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6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6C"/>
    <w:rPr>
      <w:rFonts w:ascii="Open Sans Semibold" w:eastAsiaTheme="majorEastAsia" w:hAnsi="Open Sans Semibold" w:cstheme="majorBidi"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666C"/>
    <w:pPr>
      <w:spacing w:after="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297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334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Taivo</dc:creator>
  <cp:keywords/>
  <dc:description/>
  <cp:lastModifiedBy>Taivo</cp:lastModifiedBy>
  <cp:revision>35</cp:revision>
  <dcterms:created xsi:type="dcterms:W3CDTF">2014-08-15T12:22:00Z</dcterms:created>
  <dcterms:modified xsi:type="dcterms:W3CDTF">2014-08-26T11:26:00Z</dcterms:modified>
</cp:coreProperties>
</file>