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rFonts w:ascii="Helvetica Neue;Helvetica;Arial;Lucida Grande;sans-serif" w:hAnsi="Helvetica Neue;Helvetica;Arial;Lucida Grande;sans-serif"/>
          <w:b w:val="false"/>
          <w:i w:val="false"/>
          <w:caps w:val="false"/>
          <w:smallCaps w:val="false"/>
          <w:color w:val="222222"/>
          <w:spacing w:val="0"/>
          <w:sz w:val="36"/>
        </w:rPr>
        <w:t>Seqwater Recreation Review</w:t>
      </w:r>
    </w:p>
    <w:p>
      <w:pPr>
        <w:pStyle w:val="style18"/>
        <w:spacing w:after="150" w:before="150" w:line="408" w:lineRule="auto"/>
        <w:ind w:hanging="0" w:left="0" w:right="0"/>
        <w:contextualSpacing w:val="false"/>
      </w:pPr>
      <w:r>
        <w:rPr>
          <w:rFonts w:ascii="Lucida Grande;Lucida Sans Unicode;Helvetica;Arial;Verdana;sans-serif" w:hAnsi="Lucida Grande;Lucida Sans Unicode;Helvetica;Arial;Verdana;sans-serif"/>
          <w:b w:val="false"/>
          <w:i w:val="false"/>
          <w:caps w:val="false"/>
          <w:smallCaps w:val="false"/>
          <w:color w:val="333333"/>
          <w:spacing w:val="0"/>
          <w:sz w:val="18"/>
        </w:rPr>
        <w:t>Seqwater is undertaking a </w:t>
      </w:r>
      <w:r>
        <w:rPr>
          <w:rStyle w:val="style16"/>
          <w:rFonts w:ascii="Lucida Grande;Lucida Sans Unicode;Helvetica;Arial;Verdana;sans-serif" w:hAnsi="Lucida Grande;Lucida Sans Unicode;Helvetica;Arial;Verdana;sans-serif"/>
          <w:b/>
          <w:i/>
          <w:caps w:val="false"/>
          <w:smallCaps w:val="false"/>
          <w:color w:val="333333"/>
          <w:spacing w:val="0"/>
          <w:sz w:val="18"/>
        </w:rPr>
        <w:t>Recreation Review</w:t>
      </w:r>
      <w:r>
        <w:rPr>
          <w:rFonts w:ascii="Lucida Grande;Lucida Sans Unicode;Helvetica;Arial;Verdana;sans-serif" w:hAnsi="Lucida Grande;Lucida Sans Unicode;Helvetica;Arial;Verdana;sans-serif"/>
          <w:b w:val="false"/>
          <w:i w:val="false"/>
          <w:caps w:val="false"/>
          <w:smallCaps w:val="false"/>
          <w:color w:val="333333"/>
          <w:spacing w:val="0"/>
          <w:sz w:val="18"/>
        </w:rPr>
        <w:t>  to explore the recreational opportunities in and around its lakes to deliver a suite of management plans. The review will cover 23 Seqwater lakes grouped into 10 different areas.</w:t>
      </w:r>
    </w:p>
    <w:p>
      <w:pPr>
        <w:pStyle w:val="style18"/>
        <w:spacing w:after="150" w:before="150" w:line="408" w:lineRule="auto"/>
        <w:ind w:hanging="0" w:left="0" w:right="0"/>
        <w:contextualSpacing w:val="false"/>
      </w:pPr>
      <w:r>
        <w:rPr>
          <w:rFonts w:ascii="Lucida Grande;Lucida Sans Unicode;Helvetica;Arial;Verdana;sans-serif" w:hAnsi="Lucida Grande;Lucida Sans Unicode;Helvetica;Arial;Verdana;sans-serif"/>
          <w:b w:val="false"/>
          <w:i w:val="false"/>
          <w:caps w:val="false"/>
          <w:smallCaps w:val="false"/>
          <w:color w:val="333333"/>
          <w:spacing w:val="0"/>
          <w:sz w:val="18"/>
        </w:rPr>
        <w:t>Seqwater is responsible for providing a secure and reliable water supply to almost 3 million people across South-East Queensland and is the only bulk water provider in Australia that manages ‘open’ catchments, allowing the community to enjoy lakes and catchment land for recreation, while ensuring quality bulk drinking water supply for South East Queensland. Up to 2 million people a year visit Seqwater recreational facilities for anything from picnics, camping and fishing, to weddings and sporting events.</w:t>
      </w:r>
    </w:p>
    <w:p>
      <w:pPr>
        <w:pStyle w:val="style18"/>
        <w:spacing w:after="150" w:before="150" w:line="408" w:lineRule="auto"/>
        <w:ind w:hanging="0" w:left="0" w:right="0"/>
        <w:contextualSpacing w:val="false"/>
      </w:pPr>
      <w:r>
        <w:rPr>
          <w:rFonts w:ascii="Lucida Grande;Lucida Sans Unicode;Helvetica;Arial;Verdana;sans-serif" w:hAnsi="Lucida Grande;Lucida Sans Unicode;Helvetica;Arial;Verdana;sans-serif"/>
          <w:b w:val="false"/>
          <w:i w:val="false"/>
          <w:caps w:val="false"/>
          <w:smallCaps w:val="false"/>
          <w:color w:val="333333"/>
          <w:spacing w:val="0"/>
          <w:sz w:val="18"/>
        </w:rPr>
        <w:t>Over the next year, Seqwater will be releasing a discussion paper for each lake identifying the current activities, past feedback and any constraints associated with each lake from 20 June 2013.</w:t>
      </w:r>
    </w:p>
    <w:p>
      <w:pPr>
        <w:pStyle w:val="style18"/>
        <w:spacing w:after="150" w:before="150" w:line="408" w:lineRule="auto"/>
        <w:ind w:hanging="0" w:left="0" w:right="0"/>
        <w:contextualSpacing w:val="false"/>
      </w:pPr>
      <w:r>
        <w:rPr>
          <w:rFonts w:ascii="Lucida Grande;Lucida Sans Unicode;Helvetica;Arial;Verdana;sans-serif" w:hAnsi="Lucida Grande;Lucida Sans Unicode;Helvetica;Arial;Verdana;sans-serif"/>
          <w:b w:val="false"/>
          <w:i w:val="false"/>
          <w:caps w:val="false"/>
          <w:smallCaps w:val="false"/>
          <w:color w:val="333333"/>
          <w:spacing w:val="0"/>
          <w:sz w:val="18"/>
        </w:rPr>
        <w:t>Get involved:</w:t>
      </w:r>
    </w:p>
    <w:p>
      <w:pPr>
        <w:pStyle w:val="style18"/>
        <w:spacing w:after="150" w:before="150" w:line="408" w:lineRule="auto"/>
        <w:ind w:hanging="0" w:left="0" w:right="0"/>
        <w:contextualSpacing w:val="false"/>
      </w:pPr>
      <w:r>
        <w:rPr>
          <w:rStyle w:val="style15"/>
          <w:rFonts w:ascii="Lucida Grande;Lucida Sans Unicode;Helvetica;Arial;Verdana;sans-serif" w:hAnsi="Lucida Grande;Lucida Sans Unicode;Helvetica;Arial;Verdana;sans-serif"/>
          <w:b/>
          <w:i w:val="false"/>
          <w:caps w:val="false"/>
          <w:smallCaps w:val="false"/>
          <w:color w:val="333333"/>
          <w:spacing w:val="0"/>
          <w:sz w:val="18"/>
        </w:rPr>
        <w:t>1. Register at the top of this page to get involved in the consultation</w:t>
      </w:r>
    </w:p>
    <w:p>
      <w:pPr>
        <w:pStyle w:val="style18"/>
        <w:spacing w:after="150" w:before="150" w:line="408" w:lineRule="auto"/>
        <w:ind w:hanging="0" w:left="0" w:right="0"/>
        <w:contextualSpacing w:val="false"/>
      </w:pPr>
      <w:r>
        <w:rPr>
          <w:rStyle w:val="style15"/>
          <w:rFonts w:ascii="Lucida Grande;Lucida Sans Unicode;Helvetica;Arial;Verdana;sans-serif" w:hAnsi="Lucida Grande;Lucida Sans Unicode;Helvetica;Arial;Verdana;sans-serif"/>
          <w:b/>
          <w:i w:val="false"/>
          <w:caps w:val="false"/>
          <w:smallCaps w:val="false"/>
          <w:color w:val="333333"/>
          <w:spacing w:val="0"/>
          <w:sz w:val="18"/>
        </w:rPr>
        <w:t>2. Click on the group of lakes you're interested on the right of the page</w:t>
      </w:r>
    </w:p>
    <w:p>
      <w:pPr>
        <w:pStyle w:val="style18"/>
        <w:spacing w:after="150" w:before="150" w:line="408" w:lineRule="auto"/>
        <w:ind w:hanging="0" w:left="0" w:right="0"/>
        <w:contextualSpacing w:val="false"/>
      </w:pPr>
      <w:r>
        <w:rPr>
          <w:rStyle w:val="style15"/>
          <w:rFonts w:ascii="Lucida Grande;Lucida Sans Unicode;Helvetica;Arial;Verdana;sans-serif" w:hAnsi="Lucida Grande;Lucida Sans Unicode;Helvetica;Arial;Verdana;sans-serif"/>
          <w:b/>
          <w:i w:val="false"/>
          <w:caps w:val="false"/>
          <w:smallCaps w:val="false"/>
          <w:color w:val="333333"/>
          <w:spacing w:val="0"/>
          <w:sz w:val="18"/>
        </w:rPr>
        <w:t>3. Complete the survey online</w:t>
      </w:r>
    </w:p>
    <w:p>
      <w:pPr>
        <w:pStyle w:val="style18"/>
        <w:spacing w:after="150" w:before="150" w:line="408" w:lineRule="auto"/>
        <w:ind w:hanging="0" w:left="0" w:right="0"/>
        <w:contextualSpacing w:val="false"/>
      </w:pPr>
      <w:r>
        <w:rPr>
          <w:rStyle w:val="style15"/>
          <w:rFonts w:ascii="Lucida Grande;Lucida Sans Unicode;Helvetica;Arial;Verdana;sans-serif" w:hAnsi="Lucida Grande;Lucida Sans Unicode;Helvetica;Arial;Verdana;sans-serif"/>
          <w:b/>
          <w:i w:val="false"/>
          <w:caps w:val="false"/>
          <w:smallCaps w:val="false"/>
          <w:color w:val="333333"/>
          <w:spacing w:val="0"/>
          <w:sz w:val="18"/>
        </w:rPr>
        <w:t>4. Complete the registration form for the workshop.</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Lohit Hindi" w:eastAsia="DejaVu Sans" w:hAnsi="Times New Roman"/>
      <w:color w:val="auto"/>
      <w:sz w:val="24"/>
      <w:szCs w:val="24"/>
      <w:lang w:bidi="hi-IN" w:eastAsia="zh-CN" w:val="en-US"/>
    </w:rPr>
  </w:style>
  <w:style w:styleId="style1" w:type="paragraph">
    <w:name w:val="Heading 1"/>
    <w:basedOn w:val="style17"/>
    <w:next w:val="style18"/>
    <w:pPr/>
    <w:rPr>
      <w:rFonts w:ascii="Times New Roman" w:cs="Lohit Hindi" w:eastAsia="DejaVu Sans" w:hAnsi="Times New Roman"/>
      <w:b/>
      <w:bCs/>
      <w:sz w:val="48"/>
      <w:szCs w:val="48"/>
    </w:rPr>
  </w:style>
  <w:style w:styleId="style15" w:type="character">
    <w:name w:val="Strong Emphasis"/>
    <w:next w:val="style15"/>
    <w:rPr>
      <w:b/>
      <w:bCs/>
    </w:rPr>
  </w:style>
  <w:style w:styleId="style16" w:type="character">
    <w:name w:val="Emphasis"/>
    <w:next w:val="style16"/>
    <w:rPr>
      <w:i/>
      <w:iCs/>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2013-08-01T15:35:16.00Z</dcterms:created>
  <dc:creator>KiSS </dc:creator>
  <cp:lastModifiedBy>KiSS </cp:lastModifiedBy>
  <dcterms:modified xsi:type="dcterms:W3CDTF">2013-08-01T15:35:38.00Z</dcterms:modified>
  <cp:revision>1</cp:revision>
</cp:coreProperties>
</file>