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spacing w:after="760"/>
        <w:jc w:val="center"/>
      </w:pPr>
      <w:r>
        <w:rPr>
          <w:rFonts w:ascii="Times New Roman" w:hAnsi="Times New Roman" w:eastAsia="黑体"/>
          <w:b/>
          <w:color w:val="202832"/>
          <w:spacing w:val="0"/>
          <w:sz w:val="32"/>
        </w:rPr>
        <w:t>AI for Research 赛道｜算法赛初赛方案</w:t>
      </w:r>
    </w:p>
    <w:p>
      <w:pPr>
        <w:pStyle w:val="31"/>
        <w:spacing w:after="320"/>
        <w:jc w:val="center"/>
      </w:pPr>
      <w:r>
        <w:rPr>
          <w:rFonts w:ascii="Times New Roman" w:hAnsi="Times New Roman" w:eastAsia="黑体"/>
          <w:b/>
          <w:color w:val="17365D"/>
          <w:spacing w:val="0"/>
          <w:sz w:val="60"/>
        </w:rPr>
        <w:t>VeriMat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202832"/>
          <w:spacing w:val="0"/>
          <w:sz w:val="36"/>
        </w:rPr>
        <w:t>证据与反证驱动的可验证材料科学发现智能体</w:t>
      </w:r>
    </w:p>
    <w:p>
      <w:pPr>
        <w:spacing w:after="1080"/>
        <w:jc w:val="center"/>
      </w:pPr>
      <w:r>
        <w:rPr>
          <w:rFonts w:ascii="Times New Roman" w:hAnsi="Times New Roman" w:eastAsia="宋体"/>
          <w:i/>
          <w:color w:val="444444"/>
          <w:spacing w:val="0"/>
          <w:sz w:val="24"/>
        </w:rPr>
        <w:t>Evidence-Grounded and Falsification-Aware Materials Discovery</w:t>
      </w:r>
    </w:p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202832"/>
          <w:spacing w:val="0"/>
          <w:sz w:val="24"/>
        </w:rPr>
        <w:t>团队：可以的</w:t>
      </w:r>
    </w:p>
    <w:p>
      <w:pPr>
        <w:jc w:val="center"/>
      </w:pPr>
      <w:r>
        <w:rPr>
          <w:rFonts w:ascii="Times New Roman" w:hAnsi="Times New Roman" w:eastAsia="宋体"/>
          <w:color w:val="202832"/>
          <w:spacing w:val="0"/>
          <w:sz w:val="24"/>
        </w:rPr>
        <w:t>盛夏 · 归一珂 · 朱怡邈</w:t>
      </w:r>
    </w:p>
    <w:p>
      <w:pPr>
        <w:jc w:val="center"/>
      </w:pPr>
      <w:r>
        <w:rPr>
          <w:rFonts w:ascii="Times New Roman" w:hAnsi="Times New Roman" w:eastAsia="宋体"/>
          <w:color w:val="555555"/>
          <w:spacing w:val="0"/>
          <w:sz w:val="21"/>
        </w:rPr>
        <w:t>GOAI 2026 初赛方案｜2026 年 8 月</w:t>
      </w:r>
    </w:p>
    <w:p>
      <w:pPr>
        <w:sectPr>
          <w:footerReference r:id="rId5" w:type="default"/>
          <w:headerReference w:type="default" r:id="rId10"/>
          <w:pgSz w:w="12240" w:h="15840"/>
          <w:pgMar w:top="1008" w:right="1181" w:bottom="893" w:left="1181" w:header="432" w:footer="432" w:gutter="0"/>
          <w:cols w:space="720" w:num="1"/>
          <w:docGrid w:linePitch="360" w:charSpace="0"/>
        </w:sectPr>
      </w:pPr>
    </w:p>
    <w:p>
      <w:pPr>
        <w:pStyle w:val="3"/>
      </w:pPr>
      <w:r>
        <w:t>一、项目概述</w:t>
      </w:r>
    </w:p>
    <w:p>
      <w:pPr>
        <w:pStyle w:val="4"/>
      </w:pPr>
      <w:r>
        <w:t>1.1 项目名称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VeriMat：证据与反证驱动的可验证材料科学发现智能体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英文名称：</w:t>
      </w:r>
      <w:r>
        <w:rPr>
          <w:rFonts w:ascii="Times New Roman" w:hAnsi="Times New Roman" w:eastAsia="宋体"/>
          <w:b/>
          <w:spacing w:val="0"/>
        </w:rPr>
        <w:t>VeriMat: Evidence-Grounded and Falsification-Aware Materials Discovery</w:t>
      </w:r>
      <w:r>
        <w:rPr>
          <w:rFonts w:ascii="Times New Roman" w:hAnsi="Times New Roman" w:eastAsia="宋体"/>
          <w:spacing w:val="0"/>
        </w:rPr>
        <w:t>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VeriMat 由 Verifiable（可验证）与 Materials（材料科学）组合而成，用于概括本项目的研究目标：建立可追溯、可复核的材料文献推理流程，并将候选假设与原文证据、适用条件及验证状态关联。</w:t>
      </w:r>
    </w:p>
    <w:p>
      <w:pPr>
        <w:pStyle w:val="4"/>
      </w:pPr>
      <w:r>
        <w:t>1.2 参赛方向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本项目参加算法赛题方向三“材料科学文献驱动的科学发现智能体”，完成文献调研基本任务，并选择路线 A“构效关系发现”作为进阶任务。方法层采用通用的材料—性质数据契约与证据关系表示；初赛以固态电解质为主要验证场景，考察多来源文献条件下的证据组织、构效假设生成与多目标筛选能力。</w:t>
      </w:r>
    </w:p>
    <w:p>
      <w:pPr>
        <w:pStyle w:val="4"/>
      </w:pPr>
      <w:r>
        <w:t>1.3 方案概述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材料文献中的构效结论通常依赖组成、制备工艺、测试条件和表征尺度。仅检索支持性文献容易忽略直接先例、相反趋势及失效条件，并可能高估研究空白的新颖性。针对这一问题，VeriMat 同时组织支持证据与反证证据，并采用主张—证据决策图（Claim–Evidence Decision Graph，CEDG）记录主张、查询、证据与决策之间的关系。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路线 A 采用反证感知 Pareto 蒙特卡洛树搜索（Pareto Monte Carlo Tree Search，Pareto-MCTS）。大语言模型用于候选扩展、动作先验估计和跨文献关系提议；确定性程序负责证据定位、时间截断、状态转换、预算约束、物理一致性检查和非支配档案更新。系统输出由主张、适用条件、支持证据、反证证据、数据库验证状态和最小验证实验构成，每项证据均保留可回放定位信息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材料—性质数据结构、证据关系和搜索动作采用可扩展设计，可用于电池、钙钛矿、催化、热电及聚合物等材料体系。本次提交以固态电解质为主要示例，用于展示方法在多目标构效问题中的实现。</w:t>
      </w:r>
    </w:p>
    <w:p>
      <w:pPr>
        <w:pStyle w:val="3"/>
      </w:pPr>
      <w:r>
        <w:t>二、科学问题理解</w:t>
      </w:r>
    </w:p>
    <w:p>
      <w:pPr>
        <w:pStyle w:val="4"/>
      </w:pPr>
      <w:r>
        <w:t>2.1 科学问题与研究对象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材料知识分散于不同命名体系、测试条件和表征尺度中。同一“高稳定性”表述可能分别对应热力学稳定、电化学稳定、湿气耐受或循环稳定。若缺少条件对齐，局部实验观察可能被外推至不适用的材料或工况。VeriMat 将文献中的潜在知识缺口归纳为三类可计算对象：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1. </w:t>
      </w:r>
      <w:r>
        <w:rPr>
          <w:rFonts w:ascii="Times New Roman" w:hAnsi="Times New Roman" w:eastAsia="宋体"/>
          <w:b/>
          <w:spacing w:val="0"/>
        </w:rPr>
        <w:t>条件缺失型 Gap</w:t>
      </w:r>
      <w:r>
        <w:rPr>
          <w:rFonts w:ascii="Times New Roman" w:hAnsi="Times New Roman" w:eastAsia="宋体"/>
          <w:spacing w:val="0"/>
        </w:rPr>
        <w:t>：结论缺少温度、压力、电流密度、载量、湿度或时间尺度；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2. </w:t>
      </w:r>
      <w:r>
        <w:rPr>
          <w:rFonts w:ascii="Times New Roman" w:hAnsi="Times New Roman" w:eastAsia="宋体"/>
          <w:b/>
          <w:spacing w:val="0"/>
        </w:rPr>
        <w:t>矛盾与边界型 Gap</w:t>
      </w:r>
      <w:r>
        <w:rPr>
          <w:rFonts w:ascii="Times New Roman" w:hAnsi="Times New Roman" w:eastAsia="宋体"/>
          <w:spacing w:val="0"/>
        </w:rPr>
        <w:t>：不同论文趋势相反，但差异可能来自组成、结构或测试协议；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3. </w:t>
      </w:r>
      <w:r>
        <w:rPr>
          <w:rFonts w:ascii="Times New Roman" w:hAnsi="Times New Roman" w:eastAsia="宋体"/>
          <w:b/>
          <w:spacing w:val="0"/>
        </w:rPr>
        <w:t>跨体系连接型 Gap</w:t>
      </w:r>
      <w:r>
        <w:rPr>
          <w:rFonts w:ascii="Times New Roman" w:hAnsi="Times New Roman" w:eastAsia="宋体"/>
          <w:spacing w:val="0"/>
        </w:rPr>
        <w:t>：一个材料家族中的机制尚未在相邻体系验证，形成可证伪迁移假设。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验证场景覆盖氧化物、硫化物和卤化物固态电解质。这些体系通常需要综合考虑离子电导率、空气或湿气稳定性、电化学窗口、界面相容性及临界电流密度，适合用于多目标构效搜索。初始假设族包括：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H1：LLZO 的临界电流密度与表面缺陷、体相缺陷、堆叠压力及界面状态存在耦合关系；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H2：硫化物电解质的空气稳定性随组成和局部结构变化，并形成可表征的风险区间；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H3：高熵卤化物电解质的循环性能可能同时受构型熵、氧化稳定性与界面反应影响。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上述假设用于定义系统的检索与验证任务，其科学有效性需结合数据库计算、独立文献复核或实验进一步评估。每个假设均设置可观测的适用条件和否证条件，以支持后续验证设计。</w:t>
      </w:r>
    </w:p>
    <w:p>
      <w:pPr>
        <w:pStyle w:val="4"/>
      </w:pPr>
      <w:r>
        <w:t>2.2 科学意义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VeriMat 将材料文献调研表示为科学主张的状态估计问题。对每个候选关系，系统同时记录支持证据、反证证据、适用条件和未决问题，从而为研究者提供比单一摘要更细粒度的证据结构。路线 A 进一步构建候选假设的 Pareto 前沿，以联合考察预测效用、证据充分性、反证存活、数据库验证、可证伪性、物理合法性和模型简洁性。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在方法层面，本项目将可证伪性纳入搜索目标和验收条件，使负向证据、适用边界和证据不足状态能够参与候选筛选。该表示与具体材料类别解耦，可为文献驱动的材料构效研究提供统一的计算接口。</w:t>
      </w:r>
    </w:p>
    <w:p>
      <w:pPr>
        <w:pStyle w:val="3"/>
      </w:pPr>
      <w:r>
        <w:t>三、技术方案与预期方法路线</w:t>
      </w:r>
    </w:p>
    <w:p>
      <w:pPr>
        <w:pStyle w:val="4"/>
      </w:pPr>
      <w:r>
        <w:t>3.1 技术方案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VeriMat 将生成式模型与确定性验证组件分离。生成式模型产生候选假设和检索动作，验证组件依据证据完整性、状态转换规则和物理约束更新候选状态。系统由六个功能层组成：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1. </w:t>
      </w:r>
      <w:r>
        <w:rPr>
          <w:rFonts w:ascii="Times New Roman" w:hAnsi="Times New Roman" w:eastAsia="宋体"/>
          <w:b/>
          <w:spacing w:val="0"/>
        </w:rPr>
        <w:t>问题契约层</w:t>
      </w:r>
      <w:r>
        <w:rPr>
          <w:rFonts w:ascii="Times New Roman" w:hAnsi="Times New Roman" w:eastAsia="宋体"/>
          <w:spacing w:val="0"/>
        </w:rPr>
        <w:t>：把自然语言问题编译为材料体系、性质、条件、时间截断、预算和否证标准；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2. </w:t>
      </w:r>
      <w:r>
        <w:rPr>
          <w:rFonts w:ascii="Times New Roman" w:hAnsi="Times New Roman" w:eastAsia="宋体"/>
          <w:b/>
          <w:spacing w:val="0"/>
        </w:rPr>
        <w:t>证据层</w:t>
      </w:r>
      <w:r>
        <w:rPr>
          <w:rFonts w:ascii="Times New Roman" w:hAnsi="Times New Roman" w:eastAsia="宋体"/>
          <w:spacing w:val="0"/>
        </w:rPr>
        <w:t>：保存文献片段、doc_id、页码/offset、内容哈希、发布日期、许可与检索调用；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3. </w:t>
      </w:r>
      <w:r>
        <w:rPr>
          <w:rFonts w:ascii="Times New Roman" w:hAnsi="Times New Roman" w:eastAsia="宋体"/>
          <w:b/>
          <w:spacing w:val="0"/>
        </w:rPr>
        <w:t>决策层</w:t>
      </w:r>
      <w:r>
        <w:rPr>
          <w:rFonts w:ascii="Times New Roman" w:hAnsi="Times New Roman" w:eastAsia="宋体"/>
          <w:spacing w:val="0"/>
        </w:rPr>
        <w:t>：以 CEDG 管理主张、查询、证据、决策节点及其有类型的关系；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4. </w:t>
      </w:r>
      <w:r>
        <w:rPr>
          <w:rFonts w:ascii="Times New Roman" w:hAnsi="Times New Roman" w:eastAsia="宋体"/>
          <w:b/>
          <w:spacing w:val="0"/>
        </w:rPr>
        <w:t>搜索层</w:t>
      </w:r>
      <w:r>
        <w:rPr>
          <w:rFonts w:ascii="Times New Roman" w:hAnsi="Times New Roman" w:eastAsia="宋体"/>
          <w:spacing w:val="0"/>
        </w:rPr>
        <w:t>：以反证感知 Pareto-MCTS 搜索有边界的构效假设；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5. </w:t>
      </w:r>
      <w:r>
        <w:rPr>
          <w:rFonts w:ascii="Times New Roman" w:hAnsi="Times New Roman" w:eastAsia="宋体"/>
          <w:b/>
          <w:spacing w:val="0"/>
        </w:rPr>
        <w:t>学习层</w:t>
      </w:r>
      <w:r>
        <w:rPr>
          <w:rFonts w:ascii="Times New Roman" w:hAnsi="Times New Roman" w:eastAsia="宋体"/>
          <w:spacing w:val="0"/>
        </w:rPr>
        <w:t>：根据外部评估结果更新检索策略，并保持任务族之间的隔离；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6. </w:t>
      </w:r>
      <w:r>
        <w:rPr>
          <w:rFonts w:ascii="Times New Roman" w:hAnsi="Times New Roman" w:eastAsia="宋体"/>
          <w:b/>
          <w:spacing w:val="0"/>
        </w:rPr>
        <w:t>控制与验收层</w:t>
      </w:r>
      <w:r>
        <w:rPr>
          <w:rFonts w:ascii="Times New Roman" w:hAnsi="Times New Roman" w:eastAsia="宋体"/>
          <w:spacing w:val="0"/>
        </w:rPr>
        <w:t>：以持久任务、事件账本、预算、schema、盲化和独立对抗验证决定是否通过。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CEDG 形式化。</w:t>
      </w:r>
      <w:r>
        <w:rPr>
          <w:rFonts w:ascii="Times New Roman" w:hAnsi="Times New Roman" w:eastAsia="宋体"/>
          <w:spacing w:val="0"/>
        </w:rPr>
        <w:t xml:space="preserve"> 单个任务表示为有向类型图 G=(V,E)，其中节点类型包括 CLAIM、QUERY、EVIDENCE 和 DECISION，关系类型包括 SUPPORTS、CONTRADICTS、BOUNDS 和 PRECEDES。候选状态集合定义为 {PROPOSED, SURVIVED, NARROWED, REFUTED, UNRESOLVED}。状态转换由已执行查询及其证据触发：SURVIVED 要求完成反证检索且当前证据集中不存在直接反例；NARROWED 记录经证据限定后的适用域；REFUTED 关联至少一条直接反证；其余证据不足情形归入 UNRESOLVED。模型置信度作为辅助特征保存，不参与上述状态的充分条件判定。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双向证据检索。</w:t>
      </w:r>
      <w:r>
        <w:rPr>
          <w:rFonts w:ascii="Times New Roman" w:hAnsi="Times New Roman" w:eastAsia="宋体"/>
          <w:spacing w:val="0"/>
        </w:rPr>
        <w:t xml:space="preserve"> 对每个候选分别构造直接先例、相反趋势、失效条件和适用边界四类反证查询，并与支持性查询并行执行。检索流程依次完成查询扩展、全局去重、原文上下文读取和证据归并；连续两轮未获得新的直接证据时终止当前分支。查询式、文献标识、原文位置和内容哈希共同构成证据定位，用于重放 CEDG 中的证据关系。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确定性验收机制。</w:t>
      </w:r>
      <w:r>
        <w:rPr>
          <w:rFonts w:ascii="Times New Roman" w:hAnsi="Times New Roman" w:eastAsia="宋体"/>
          <w:spacing w:val="0"/>
        </w:rPr>
        <w:t xml:space="preserve"> 模型输出经 schema 校验后仅用于新增候选或建议搜索动作；历史事件、证据哈希和终态由事件账本与状态机维护。独立验证过程使用新的会话上下文复核候选，并尝试检索直接反例。程序验证器检查证据覆盖、时间截断、状态转换、预算约束、数据结构和产物哈希。未满足验收条件的任务保留为 incomplete，相关诊断作为下一轮有界重试的输入。</w:t>
      </w:r>
    </w:p>
    <w:p>
      <w:pPr>
        <w:keepNext/>
        <w:keepLines/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mat_methods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宋体"/>
          <w:spacing w:val="0"/>
        </w:rPr>
        <w:t>图 1｜VeriMat 方法架构。a，支持/反证双向证据获取；b，CEDG 与可信执行边界；c，反证感知 Pareto-MCTS、剪枝和有边界发现包。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功能层</w:t>
            </w:r>
          </w:p>
        </w:tc>
        <w:tc>
          <w:tcPr>
            <w:tcW w:type="dxa" w:w="357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核心对象</w:t>
            </w:r>
          </w:p>
        </w:tc>
        <w:tc>
          <w:tcPr>
            <w:tcW w:type="dxa" w:w="45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约束与输出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问题契约</w:t>
            </w:r>
          </w:p>
        </w:tc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任务、条件、截止日期、预算、否证标准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运行前冻结任务范围与评估条件</w:t>
            </w:r>
          </w:p>
        </w:tc>
      </w:tr>
      <w:tr>
        <w:trPr>
          <w:cantSplit/>
        </w:trPr>
        <w:tc>
          <w:tcPr>
            <w:tcW w:type="dxa" w:w="113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证据</w:t>
            </w:r>
          </w:p>
        </w:tc>
        <w:tc>
          <w:tcPr>
            <w:tcW w:type="dxa" w:w="357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定位片段、哈希、许可、检索审计</w:t>
            </w:r>
          </w:p>
        </w:tc>
        <w:tc>
          <w:tcPr>
            <w:tcW w:type="dxa" w:w="453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事实条目关联 doc_id、locator 与内容哈希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决策</w:t>
            </w:r>
          </w:p>
        </w:tc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CEDG 节点、关系与终态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由已执行查询及其证据触发状态转换</w:t>
            </w:r>
          </w:p>
        </w:tc>
      </w:tr>
      <w:tr>
        <w:trPr>
          <w:cantSplit/>
        </w:trPr>
        <w:tc>
          <w:tcPr>
            <w:tcW w:type="dxa" w:w="113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搜索</w:t>
            </w:r>
          </w:p>
        </w:tc>
        <w:tc>
          <w:tcPr>
            <w:tcW w:type="dxa" w:w="357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条件化假设、搜索动作、Pareto 档案</w:t>
            </w:r>
          </w:p>
        </w:tc>
        <w:tc>
          <w:tcPr>
            <w:tcW w:type="dxa" w:w="453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动作先验控制探索；可行性约束与支配关系筛选候选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学习</w:t>
            </w:r>
          </w:p>
        </w:tc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反证策略与延迟外部信用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根据独立评估结果更新并实施任务族隔离</w:t>
            </w:r>
          </w:p>
        </w:tc>
      </w:tr>
      <w:tr>
        <w:trPr>
          <w:cantSplit/>
        </w:trPr>
        <w:tc>
          <w:tcPr>
            <w:tcW w:type="dxa" w:w="113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控制与验收</w:t>
            </w:r>
          </w:p>
        </w:tc>
        <w:tc>
          <w:tcPr>
            <w:tcW w:type="dxa" w:w="357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任务、租约、事件、产物、预算、独立验证</w:t>
            </w:r>
          </w:p>
        </w:tc>
        <w:tc>
          <w:tcPr>
            <w:tcW w:type="dxa" w:w="453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确定性验证器输出完成状态和诊断</w:t>
            </w:r>
          </w:p>
        </w:tc>
      </w:tr>
    </w:tbl>
    <w:p>
      <w:pPr>
        <w:spacing w:after="0"/>
      </w:pPr>
    </w:p>
    <w:p>
      <w:pPr>
        <w:pStyle w:val="4"/>
      </w:pPr>
      <w:r>
        <w:t>3.2 预期方法路线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反证感知 Pareto-MCTS。</w:t>
      </w:r>
      <w:r>
        <w:rPr>
          <w:rFonts w:ascii="Times New Roman" w:hAnsi="Times New Roman" w:eastAsia="宋体"/>
          <w:spacing w:val="0"/>
        </w:rPr>
        <w:t xml:space="preserve"> 搜索问题定义如下：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状态 s：有边界假设、支持/反证证据集合、未决条件、物理检查和数据库验证状态；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动作 a：增加描述符、收窄条件、跨材料家族类比、提出反例查询或请求数据库验证；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扩展先验 P(a|s)：由 LLM 基于已检索文献片段估计，用于控制树搜索的访问顺序；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奖励向量 r：预测效用、证据充分性、反证存活、数据库验证、可证伪性、物理合法性和简洁性；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搜索策略：使用预先固定的权重组轮换执行多目标 UCB/PUCT 探索，并以精确 Pareto 支配关系构建最终非支配档案；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可行性约束：候选需同时满足主张完整、边界明确、证据可定位、反证查询已执行和物理检查已声明。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七维目标经预注册变换归一化至 [0,1]。令第 t 轮搜索的目标向量为：</w:t>
      </w:r>
    </w:p>
    <w:p>
      <w:pPr>
        <w:keepLines/>
        <w:tabs>
          <w:tab w:pos="4365" w:val="center"/>
          <w:tab w:pos="8674" w:val="right"/>
        </w:tabs>
        <w:spacing w:before="120" w:after="120"/>
      </w:pPr>
      <w:r>
        <w:tab/>
      </w:r>
      <m:oMath>
        <m:sSub>
          <m:sSubPr/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(s,a)=</m:t>
        </m:r>
        <m:sSup>
          <m:sSupPr/>
          <m:e>
            <m:r>
              <w:rPr>
                <w:rFonts w:ascii="Cambria Math" w:hAnsi="Cambria Math"/>
              </w:rPr>
              <m:t>[u,e,c,d,f,p,l]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p>
          <m:sSupPr/>
          <m:e>
            <m:r>
              <w:rPr>
                <w:rFonts w:ascii="Cambria Math" w:hAnsi="Cambria Math"/>
              </w:rPr>
              <m:t>[0,1]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rPr>
          <w:rFonts w:ascii="Times New Roman" w:hAnsi="Times New Roman" w:eastAsia="宋体"/>
          <w:spacing w:val="0"/>
          <w:sz w:val="21"/>
        </w:rPr>
        <w:tab/>
        <w:t>(1)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树内选择采用带策略先验的多目标 PUCT。权重向量从预先冻结的偏好集合中轮换，以覆盖不同的目标折中方向：</w:t>
      </w:r>
    </w:p>
    <w:p>
      <w:pPr>
        <w:keepLines/>
        <w:tabs>
          <w:tab w:pos="4365" w:val="center"/>
          <w:tab w:pos="8674" w:val="right"/>
        </w:tabs>
        <w:spacing w:before="120" w:after="120"/>
      </w:pPr>
      <w:r>
        <w:tab/>
      </w:r>
      <m:oMath>
        <m:sSup>
          <m:sSupPr/>
          <m:e>
            <m:sSub>
              <m:sSubPr/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sSub>
          <m:sSubPr/>
          <m:e>
            <m:r>
              <w:rPr>
                <w:rFonts w:ascii="Cambria Math" w:hAnsi="Cambria Math"/>
              </w:rPr>
              <m:t>arg max</m:t>
            </m:r>
          </m:e>
          <m:sub>
            <m:r>
              <w:rPr>
                <w:rFonts w:ascii="Cambria Math" w:hAnsi="Cambria Math"/>
              </w:rPr>
              <m:t>a∈A(sₜ)</m:t>
            </m:r>
          </m:sub>
        </m:sSub>
        <m:r>
          <w:rPr>
            <w:rFonts w:ascii="Cambria Math" w:hAnsi="Cambria Math"/>
          </w:rPr>
          <m:t>  {</m:t>
        </m:r>
        <m:sSup>
          <m:sSupPr/>
          <m:e>
            <m:sSub>
              <m:sSubPr/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r̄(sₜ,a)+</m:t>
        </m:r>
        <m:sSub>
          <m:sSubPr/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P(a|sₜ)</m:t>
        </m:r>
        <m:rad>
          <m:radPr>
            <m:degHide m:val="1"/>
          </m:radPr>
          <m:deg/>
          <m:e>
            <m:f>
              <m:fPr/>
              <m:num>
                <m:r>
                  <w:rPr>
                    <w:rFonts w:ascii="Cambria Math" w:hAnsi="Cambria Math"/>
                  </w:rPr>
                  <m:t>ln[1+N(sₜ)]</m:t>
                </m:r>
              </m:num>
              <m:den>
                <m:r>
                  <w:rPr>
                    <w:rFonts w:ascii="Cambria Math" w:hAnsi="Cambria Math"/>
                  </w:rPr>
                  <m:t>1+N(sₜ,a)</m:t>
                </m:r>
              </m:den>
            </m:f>
          </m:e>
        </m:rad>
        <m:r>
          <w:rPr>
            <w:rFonts w:ascii="Cambria Math" w:hAnsi="Cambria Math"/>
          </w:rPr>
          <m:t>}</m:t>
        </m:r>
      </m:oMath>
      <w:r>
        <w:rPr>
          <w:rFonts w:ascii="Times New Roman" w:hAnsi="Times New Roman" w:eastAsia="宋体"/>
          <w:spacing w:val="0"/>
          <w:sz w:val="21"/>
        </w:rPr>
        <w:tab/>
        <w:t>(2)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候选进入档案前需满足证据定位、反证执行、边界声明与物理检查组成的合取约束：</w:t>
      </w:r>
    </w:p>
    <w:p>
      <w:pPr>
        <w:keepLines/>
        <w:tabs>
          <w:tab w:pos="4365" w:val="center"/>
          <w:tab w:pos="8674" w:val="right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g(x)=</m:t>
        </m:r>
        <m:sSub>
          <m:sSubPr/>
          <m:e>
            <m:r>
              <w:rPr>
                <w:rFonts w:ascii="Cambria Math" w:hAnsi="Cambria Math"/>
              </w:rPr>
              <m:t>∏</m:t>
            </m:r>
          </m:e>
          <m:sub>
            <m:r>
              <w:rPr>
                <w:rFonts w:ascii="Cambria Math" w:hAnsi="Cambria Math"/>
              </w:rPr>
              <m:t>q∈Q</m:t>
            </m:r>
          </m:sub>
        </m:sSub>
        <m:r>
          <w:rPr>
            <w:rFonts w:ascii="Cambria Math" w:hAnsi="Cambria Math"/>
          </w:rPr>
          <m:t>𝟙[q(x)=1],   Q={loc, counter, bound, physics}</m:t>
        </m:r>
      </m:oMath>
      <w:r>
        <w:rPr>
          <w:rFonts w:ascii="Times New Roman" w:hAnsi="Times New Roman" w:eastAsia="宋体"/>
          <w:spacing w:val="0"/>
          <w:sz w:val="21"/>
        </w:rPr>
        <w:tab/>
        <w:t>(3)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树搜索结束后，使用严格 Pareto 支配关系重新计算非支配档案：</w:t>
      </w:r>
    </w:p>
    <w:p>
      <w:pPr>
        <w:keepLines/>
        <w:tabs>
          <w:tab w:pos="4365" w:val="center"/>
          <w:tab w:pos="8674" w:val="right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x≻y ⇔ [∀k∈{1,…,7}: </m:t>
        </m:r>
        <m:sSub>
          <m:sSubPr/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(x)≥</m:t>
        </m:r>
        <m:sSub>
          <m:sSubPr/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(y)] ∧ [∃j: </m:t>
        </m:r>
        <m:sSub>
          <m:sSubPr/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(x)&gt;</m:t>
        </m:r>
        <m:sSub>
          <m:sSubPr/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(y)]</m:t>
        </m:r>
      </m:oMath>
      <w:r>
        <w:rPr>
          <w:rFonts w:ascii="Times New Roman" w:hAnsi="Times New Roman" w:eastAsia="宋体"/>
          <w:spacing w:val="0"/>
          <w:sz w:val="21"/>
        </w:rPr>
        <w:tab/>
        <w:t>(4)</w:t>
      </w:r>
    </w:p>
    <w:p>
      <w:pPr>
        <w:keepLines/>
        <w:tabs>
          <w:tab w:pos="4365" w:val="center"/>
          <w:tab w:pos="8674" w:val="right"/>
        </w:tabs>
        <w:spacing w:before="120" w:after="120"/>
      </w:pPr>
      <w:r>
        <w:tab/>
      </w:r>
      <m:oMath>
        <m:sSub>
          <m:sSubPr/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={x∈</m:t>
        </m:r>
        <m:sSub>
          <m:sSubPr/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 | g(x)=1 ∧ ¬∃y∈</m:t>
        </m:r>
        <m:sSub>
          <m:sSubPr/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: y≻x}</m:t>
        </m:r>
      </m:oMath>
      <w:r>
        <w:rPr>
          <w:rFonts w:ascii="Times New Roman" w:hAnsi="Times New Roman" w:eastAsia="宋体"/>
          <w:spacing w:val="0"/>
          <w:sz w:val="21"/>
        </w:rPr>
        <w:tab/>
        <w:t>(5)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其中 u、e、c、d、f、p、l 分别表示预测效用、证据充分性、反证存活、数据库验证、可证伪性、物理合法性与简洁性；N(s,a) 为边访问次数，P(a|s) 为动作先验，c_p 为探索系数。式（2）的标量化结果用于树内选择，式（3）—（5）用于最终候选过滤，因此动作先验不会直接改变验收结果。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端到端运行流程。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1. </w:t>
      </w:r>
      <w:r>
        <w:rPr>
          <w:rFonts w:ascii="Times New Roman" w:hAnsi="Times New Roman" w:eastAsia="宋体"/>
          <w:spacing w:val="0"/>
        </w:rPr>
        <w:t>将研究问题编译为 task contract，并冻结数据截止日期、调用预算和否证条件；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2. </w:t>
      </w:r>
      <w:r>
        <w:rPr>
          <w:rFonts w:ascii="Times New Roman" w:hAnsi="Times New Roman" w:eastAsia="宋体"/>
          <w:spacing w:val="0"/>
        </w:rPr>
        <w:t>执行支持/反证双向检索，读取高价值原文上下文并固化证据快照；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3. </w:t>
      </w:r>
      <w:r>
        <w:rPr>
          <w:rFonts w:ascii="Times New Roman" w:hAnsi="Times New Roman" w:eastAsia="宋体"/>
          <w:spacing w:val="0"/>
        </w:rPr>
        <w:t>抽取材料、组成、结构、工艺、测试条件、性质值、单位和失效机制；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4. </w:t>
      </w:r>
      <w:r>
        <w:rPr>
          <w:rFonts w:ascii="Times New Roman" w:hAnsi="Times New Roman" w:eastAsia="宋体"/>
          <w:spacing w:val="0"/>
        </w:rPr>
        <w:t>从矛盾、缺失条件、稀疏组合和跨体系连接生成候选 Gap；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5. </w:t>
      </w:r>
      <w:r>
        <w:rPr>
          <w:rFonts w:ascii="Times New Roman" w:hAnsi="Times New Roman" w:eastAsia="宋体"/>
          <w:spacing w:val="0"/>
        </w:rPr>
        <w:t>运行 Pareto-MCTS 扩展候选，并根据 CEDG 状态和可行性约束进行过滤或边界化；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6. </w:t>
      </w:r>
      <w:r>
        <w:rPr>
          <w:rFonts w:ascii="Times New Roman" w:hAnsi="Times New Roman" w:eastAsia="宋体"/>
          <w:spacing w:val="0"/>
        </w:rPr>
        <w:t>用 Materials Project、OQMD、NOMAD 等公开数据库检验可覆盖的结构和稳定性外推；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7. </w:t>
      </w:r>
      <w:r>
        <w:rPr>
          <w:rFonts w:ascii="Times New Roman" w:hAnsi="Times New Roman" w:eastAsia="宋体"/>
          <w:spacing w:val="0"/>
        </w:rPr>
        <w:t>在独立会话上下文中执行对抗验证，形成候选发现包、否决记录和最小验证实验建议；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8. </w:t>
      </w:r>
      <w:r>
        <w:rPr>
          <w:rFonts w:ascii="Times New Roman" w:hAnsi="Times New Roman" w:eastAsia="宋体"/>
          <w:spacing w:val="0"/>
        </w:rPr>
        <w:t>运行最终 schema/provenance gate，生成报告和可复现清单。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延迟信用分配。</w:t>
      </w:r>
      <w:r>
        <w:rPr>
          <w:rFonts w:ascii="Times New Roman" w:hAnsi="Times New Roman" w:eastAsia="宋体"/>
          <w:spacing w:val="0"/>
        </w:rPr>
        <w:t xml:space="preserve"> 跨任务记忆的更新对象为检索与反证策略，不包括未经复核的科学结论。策略效用根据已知答案任务、时间留出集或专家盲审结果延迟计算，并按任务家族隔离。生成阶段仅接收盲化任务及可用证据，不读取当前任务的评估标签，以降低答案泄漏和自我强化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124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要素</w:t>
            </w:r>
          </w:p>
        </w:tc>
        <w:tc>
          <w:tcPr>
            <w:tcW w:type="dxa" w:w="396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定义</w:t>
            </w:r>
          </w:p>
        </w:tc>
        <w:tc>
          <w:tcPr>
            <w:tcW w:type="dxa" w:w="402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可信性设计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状态 s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假设、边界、证据、未决条件、物理/数据库状态</w:t>
            </w:r>
          </w:p>
        </w:tc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所有字段可序列化并绑定哈希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动作 a</w:t>
            </w:r>
          </w:p>
        </w:tc>
        <w:tc>
          <w:tcPr>
            <w:tcW w:type="dxa" w:w="3969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增加描述符、收窄条件、类比、反例查询、数据库验证</w:t>
            </w:r>
          </w:p>
        </w:tc>
        <w:tc>
          <w:tcPr>
            <w:tcW w:type="dxa" w:w="402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动作和来源进入事件账本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先验 P(a|s)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LLM 根据已检索证据估计扩展优先级</w:t>
            </w:r>
          </w:p>
        </w:tc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用于树内选择，不进入终态充分条件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奖励 r</w:t>
            </w:r>
          </w:p>
        </w:tc>
        <w:tc>
          <w:tcPr>
            <w:tcW w:type="dxa" w:w="3969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效用、证据、存活、数据库、可证伪、物理、简洁</w:t>
            </w:r>
          </w:p>
        </w:tc>
        <w:tc>
          <w:tcPr>
            <w:tcW w:type="dxa" w:w="402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七维全部归一化并最大化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档案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精确非支配候选集合</w:t>
            </w:r>
          </w:p>
        </w:tc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根据七维目标的严格支配关系更新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可行性约束</w:t>
            </w:r>
          </w:p>
        </w:tc>
        <w:tc>
          <w:tcPr>
            <w:tcW w:type="dxa" w:w="3969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主张、边界、证据定位、反证查询、物理检查</w:t>
            </w:r>
          </w:p>
        </w:tc>
        <w:tc>
          <w:tcPr>
            <w:tcW w:type="dxa" w:w="402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全部条件满足后进入非支配档案计算</w:t>
            </w:r>
          </w:p>
        </w:tc>
      </w:tr>
    </w:tbl>
    <w:p>
      <w:pPr>
        <w:spacing w:after="0"/>
      </w:pPr>
    </w:p>
    <w:p>
      <w:pPr>
        <w:pStyle w:val="4"/>
      </w:pPr>
      <w:r>
        <w:t>3.3 数据来源、依赖工具与运行流程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文献检索优先采用 Sciverse 与开放获取原文，PDF 解析可接入 MinerU；结构与计算数据采用Materials Project、OQMD、NOMAD。每次网络证据先固化为带版本、许可和 SHA-256 的快照，再支持离线回放。当数据库访问条件不足或目标性质不在数据库覆盖范围内时，验证状态记为 pending validation，并在结果中保留未验证原因。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工程实现采用可恢复的任务执行架构，主要组件包括：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持久任务控制保存幂等键、租约、检查点、乐观版本和调用/Token/费用硬预算；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哈希链事件账本检测事件修改、删除、重复和重排；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内容寻址存储在读取时重新校验字节哈希，并按租户隔离产物；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Worker 使用稳定的外部操作 ID，减少中断恢复过程中的重复调用和重复写入；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策略学习采用事务 outbox，将策略变更绑定到独立不可变审计账本；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统一基线运行器让 RAG、self-critic、retrieval verifier、CEDG 与记忆消融共享相同预算、检索快照、产物存储和终验门；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spacing w:val="0"/>
        </w:rPr>
        <w:t>评测层支持 gold-free 盲任务、泄漏组、时间截断、证据回放、Brier/ECE、cluster bootstrap、配对置换与 Holm 多重比较。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当前代码实现 CEDG、事件账本、证据快照、任务控制、策略审计、盲化、基线运行器、服务 API、迁移与备份恢复、限流、熔断、TLS/mTLS 及发布检查。工程测试用于评估执行一致性与故障恢复；科学有效性则依据文献复核、数据库验证和后续专家评价单独分析。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工程模块</w:t>
            </w:r>
          </w:p>
        </w:tc>
        <w:tc>
          <w:tcPr>
            <w:tcW w:type="dxa" w:w="408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实现能力</w:t>
            </w:r>
          </w:p>
        </w:tc>
        <w:tc>
          <w:tcPr>
            <w:tcW w:type="dxa" w:w="345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主要故障防护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Durable Job Control</w:t>
            </w:r>
          </w:p>
        </w:tc>
        <w:tc>
          <w:tcPr>
            <w:tcW w:type="dxa" w:w="408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幂等提交、租约、检查点、乐观版本、硬预算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重启恢复、重复执行、超预算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Event Ledger</w:t>
            </w:r>
          </w:p>
        </w:tc>
        <w:tc>
          <w:tcPr>
            <w:tcW w:type="dxa" w:w="408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版本化事件、fsync、SHA-256 哈希链</w:t>
            </w:r>
          </w:p>
        </w:tc>
        <w:tc>
          <w:tcPr>
            <w:tcW w:type="dxa" w:w="345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篡改、删除、重复、重排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Artifact Store</w:t>
            </w:r>
          </w:p>
        </w:tc>
        <w:tc>
          <w:tcPr>
            <w:tcW w:type="dxa" w:w="408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按租户内容寻址、读取时重验哈希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跨任务污染、静默字节漂移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CEDG Projector</w:t>
            </w:r>
          </w:p>
        </w:tc>
        <w:tc>
          <w:tcPr>
            <w:tcW w:type="dxa" w:w="408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由事件投影主张—证据图与合法终态</w:t>
            </w:r>
          </w:p>
        </w:tc>
        <w:tc>
          <w:tcPr>
            <w:tcW w:type="dxa" w:w="345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报告与真实状态不一致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Policy Learning</w:t>
            </w:r>
          </w:p>
        </w:tc>
        <w:tc>
          <w:tcPr>
            <w:tcW w:type="dxa" w:w="408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事务 outbox、延迟信用、任务家族隔离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双写、答案泄漏、负迁移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Evaluation</w:t>
            </w:r>
          </w:p>
        </w:tc>
        <w:tc>
          <w:tcPr>
            <w:tcW w:type="dxa" w:w="408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盲任务、泄漏组、时间截断、校准与成组统计</w:t>
            </w:r>
          </w:p>
        </w:tc>
        <w:tc>
          <w:tcPr>
            <w:tcW w:type="dxa" w:w="345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金标泄漏、不公平预算、伪显著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Operations</w:t>
            </w:r>
          </w:p>
        </w:tc>
        <w:tc>
          <w:tcPr>
            <w:tcW w:type="dxa" w:w="408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限流、熔断、迁移、备份恢复、TLS/mTLS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服务过载、升级损坏、通信泄漏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Release Gate</w:t>
            </w:r>
          </w:p>
        </w:tc>
        <w:tc>
          <w:tcPr>
            <w:tcW w:type="dxa" w:w="408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白名单、SBOM、密钥扫描、SHA256SUMS</w:t>
            </w:r>
          </w:p>
        </w:tc>
        <w:tc>
          <w:tcPr>
            <w:tcW w:type="dxa" w:w="345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非许可文件或构建产物误入版本</w:t>
            </w:r>
          </w:p>
        </w:tc>
      </w:tr>
    </w:tbl>
    <w:p>
      <w:pPr>
        <w:spacing w:after="0"/>
      </w:pPr>
    </w:p>
    <w:p>
      <w:pPr>
        <w:pStyle w:val="3"/>
      </w:pPr>
      <w:r>
        <w:t>四、阶段性实验结果或可行性验证</w:t>
      </w:r>
    </w:p>
    <w:p>
      <w:pPr>
        <w:pStyle w:val="4"/>
      </w:pPr>
      <w:r>
        <w:t>4.1 阶段性实验或可行性验证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阶段性实验采用确定性离线设置，主要验证双向证据流程、证据回放和评估标签隔离。开发集包含10 个具有时间截断的材料主张，其中 8 个可由现有证据反驳或收窄，2 个作为支持性对照；样本覆盖9 个泄漏隔离组和 8 篇采用 CC BY 4.0 许可的原始研究论文。每条证据记录 DOI、原文位置、发布日期、内容哈希和许可信息。运行端接收去除评估标签的盲化任务，评估端在预测完成后载入标签。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在确定性离线夹具下，同预算支持型 RAG 的决策准确率、反证召回、证据回放精度分别为 0.20、0.00、0.20；显式支持/反证流程分别为 0.90、0.625、0.70。两者任务完成率与预算合规率均为1.00。结果表明，在该封闭开发集与固定检索证据条件下，双向证据流程能够提高反证识别和证据回放表现。由于样本量较小、证据胶囊预先限定且尚未完成材料专家独立复核，该实验属于工程可行性验证；结果文件中的 scientific_result 字段设为 false。</w:t>
      </w:r>
    </w:p>
    <w:p>
      <w:pPr>
        <w:keepNext/>
        <w:keepLines/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395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mat_feasibility_seabo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宋体"/>
          <w:spacing w:val="0"/>
        </w:rPr>
        <w:t>图 2｜零网络、零模型调用的开发集工程可行性对照。该图验证评测与反证管线，不构成开放世界科学性能结论。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cantSplit/>
        </w:trPr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指标</w:t>
            </w:r>
          </w:p>
        </w:tc>
        <w:tc>
          <w:tcPr>
            <w:tcW w:type="dxa" w:w="13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支持型 RAG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双分支流程</w:t>
            </w:r>
          </w:p>
        </w:tc>
        <w:tc>
          <w:tcPr>
            <w:tcW w:type="dxa" w:w="470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解释边界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决策准确率</w:t>
            </w:r>
          </w:p>
        </w:tc>
        <w:tc>
          <w:tcPr>
            <w:tcW w:type="dxa" w:w="1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0.20</w:t>
            </w:r>
          </w:p>
        </w:tc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0.90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封闭开发集上的管线行为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反证召回</w:t>
            </w:r>
          </w:p>
        </w:tc>
        <w:tc>
          <w:tcPr>
            <w:tcW w:type="dxa" w:w="130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0.00</w:t>
            </w:r>
          </w:p>
        </w:tc>
        <w:tc>
          <w:tcPr>
            <w:tcW w:type="dxa" w:w="141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0.625</w:t>
            </w:r>
          </w:p>
        </w:tc>
        <w:tc>
          <w:tcPr>
            <w:tcW w:type="dxa" w:w="4706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8 个存在反证的开发任务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证据回放精度</w:t>
            </w:r>
          </w:p>
        </w:tc>
        <w:tc>
          <w:tcPr>
            <w:tcW w:type="dxa" w:w="1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0.20</w:t>
            </w:r>
          </w:p>
        </w:tc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0.70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预测关系能否回放到接受证据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完成率</w:t>
            </w:r>
          </w:p>
        </w:tc>
        <w:tc>
          <w:tcPr>
            <w:tcW w:type="dxa" w:w="130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1.00</w:t>
            </w:r>
          </w:p>
        </w:tc>
        <w:tc>
          <w:tcPr>
            <w:tcW w:type="dxa" w:w="141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1.00</w:t>
            </w:r>
          </w:p>
        </w:tc>
        <w:tc>
          <w:tcPr>
            <w:tcW w:type="dxa" w:w="4706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仅说明执行路径完整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预算合规率</w:t>
            </w:r>
          </w:p>
        </w:tc>
        <w:tc>
          <w:tcPr>
            <w:tcW w:type="dxa" w:w="1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1.00</w:t>
            </w:r>
          </w:p>
        </w:tc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1.00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仅说明硬预算生效</w:t>
            </w:r>
          </w:p>
        </w:tc>
      </w:tr>
    </w:tbl>
    <w:p>
      <w:pPr>
        <w:spacing w:after="0"/>
      </w:pPr>
    </w:p>
    <w:p>
      <w:pPr>
        <w:pStyle w:val="4"/>
      </w:pPr>
      <w:r>
        <w:t>4.2 当前结果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文献流程案例。</w:t>
      </w:r>
      <w:r>
        <w:rPr>
          <w:rFonts w:ascii="Times New Roman" w:hAnsi="Times New Roman" w:eastAsia="宋体"/>
          <w:spacing w:val="0"/>
        </w:rPr>
        <w:t xml:space="preserve"> 在已有 LLZO 文献任务中，系统检索到与初始宽泛假设相关的直接先例，并将候选收窄为“锂空位浓度—离子电导—界面还原稳定性协同优化”的条件化问题。查询记录、检索命中、原文读取、反证集合和决策文件顺序通过离线一致性审计；相关文献 DOI 包括10.1002/aenm.201803440 和 10.1038/s41467-022-35287-1。该案例用于验证证据来源和状态转换的可追溯性，新颖性及科学有效性仍需独立领域评议。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算法与工程实现。</w:t>
      </w:r>
      <w:r>
        <w:rPr>
          <w:rFonts w:ascii="Times New Roman" w:hAnsi="Times New Roman" w:eastAsia="宋体"/>
          <w:spacing w:val="0"/>
        </w:rPr>
        <w:t xml:space="preserve"> 当前版本已实现反证感知 Pareto-MCTS 的核心搜索与精确非支配档案，并以证据、边界和物理检查作为候选可行性条件。完整工程通过 208 项自动化测试；发布流程完成文件白名单、软件物料清单、敏感信息扫描和离线构建检查。历史运行按模型提供方、模型标识和运行批次分别记录，便于与后续预注册实验区分。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b/>
          <w:spacing w:val="0"/>
        </w:rPr>
        <w:t>后续验证。</w:t>
      </w:r>
      <w:r>
        <w:rPr>
          <w:rFonts w:ascii="Times New Roman" w:hAnsi="Times New Roman" w:eastAsia="宋体"/>
          <w:spacing w:val="0"/>
        </w:rPr>
        <w:t xml:space="preserve"> 当前阶段尚缺少专家盲审条件下的开放文献发现率估计，也未完成 Materials Project或 OQMD 的确认性验证。复赛阶段计划冻结固态电解质开放语料快照，由两名独立复核者校验证据和标签，并在统一预算下开展强基线比较、Pareto-MCTS 消融和数据库交叉验证。</w:t>
      </w:r>
    </w:p>
    <w:p>
      <w:pPr>
        <w:pStyle w:val="3"/>
      </w:pPr>
      <w:r>
        <w:t>五、复现与开放计划</w:t>
      </w:r>
    </w:p>
    <w:p>
      <w:pPr>
        <w:pStyle w:val="4"/>
      </w:pPr>
      <w:r>
        <w:t>5.1 复现方式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公开仓库提供固定依赖、任务/证据/预测 schema、盲化任务清单、事件账本、实验与评估代码及自动化测试。快速检查在离线环境运行。涉及外部检索或模型的实验记录模型标识、检索快照、预算和运行来源。确认性比较计划预注册以下主要指标：有效发现率、already-known false-gap rate、反证召回、证据回放精度、校准误差和单位有效发现成本。</w:t>
      </w:r>
    </w:p>
    <w:p>
      <w:pPr>
        <w:pStyle w:val="4"/>
      </w:pPr>
      <w:r>
        <w:t>5.2 开源计划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 xml:space="preserve">代码仓库地址为 </w:t>
      </w:r>
      <w:r>
        <w:rPr>
          <w:rFonts w:ascii="Times New Roman" w:hAnsi="Times New Roman" w:eastAsia="宋体"/>
          <w:b/>
          <w:spacing w:val="0"/>
        </w:rPr>
        <w:t>https://github.com/taiwanhuachenyu/VeriMat</w:t>
      </w:r>
      <w:r>
        <w:rPr>
          <w:rFonts w:ascii="Times New Roman" w:hAnsi="Times New Roman" w:eastAsia="宋体"/>
          <w:spacing w:val="0"/>
        </w:rPr>
        <w:t>，采用 MIT License。仓库包含CEDG、Pareto-MCTS、任务执行组件、实验与评估代码、自动化测试、数据 schema、示例、方法架构图和小型开发基准。离线测试与 Pareto-MCTS 示例可用于验证安装和核心算法行为。</w:t>
      </w:r>
    </w:p>
    <w:p>
      <w:pPr>
        <w:pStyle w:val="4"/>
      </w:pPr>
      <w:r>
        <w:t>5.3 依赖、数据来源与合规披露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阶段性离线验证使用来源于 CC BY 4.0 论文的短证据胶囊，运行期间未调用外部检索或模型 API。历史模型结果用于来源和流程审计，未纳入经专家确认的科学结论。后续实验若使用 Sciverse 注册服务或闭源模型，将记录服务名称、请求模型、后端模型声明、调用范围及其对复现的影响。公开数据库按相应许可使用，并记录版本和访问日期；模型生成内容在进入候选证据关系前需通过原文定位检查。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主要依据：SciFact（DOI 10.18653/v1/2020.emnlp-main.609）；Li/LLZO 界面稳定与动力学（DOI 10.1038/s41467-020-19004-4）；LLZO 缺陷与锂丝生长（DOI 10.1038/s43246-021-00177-4）；硫化物湿气敏感性（DOI 10.1038/s41467-024-55634-8）；高熵卤化物电解质（DOI 10.1038/s41467-024-45864-1）。</w:t>
      </w:r>
    </w:p>
    <w:p>
      <w:pPr>
        <w:pStyle w:val="3"/>
      </w:pPr>
      <w:r>
        <w:t>六、团队介绍</w:t>
      </w:r>
    </w:p>
    <w:p>
      <w:pPr>
        <w:pStyle w:val="4"/>
      </w:pPr>
      <w:r>
        <w:t>6.1 成员背景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团队名称：</w:t>
      </w:r>
      <w:r>
        <w:rPr>
          <w:rFonts w:ascii="Times New Roman" w:hAnsi="Times New Roman" w:eastAsia="宋体"/>
          <w:b/>
          <w:spacing w:val="0"/>
        </w:rPr>
        <w:t>可以的</w:t>
      </w:r>
      <w:r>
        <w:rPr>
          <w:rFonts w:ascii="Times New Roman" w:hAnsi="Times New Roman" w:eastAsia="宋体"/>
          <w:spacing w:val="0"/>
        </w:rPr>
        <w:t>，共 3 人。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b/>
          <w:spacing w:val="0"/>
        </w:rPr>
        <w:t>盛夏</w:t>
      </w:r>
      <w:r>
        <w:rPr>
          <w:rFonts w:ascii="Times New Roman" w:hAnsi="Times New Roman" w:eastAsia="宋体"/>
          <w:spacing w:val="0"/>
        </w:rPr>
        <w:t>：中国科学院上海药物研究所；团队负责人，主导科学问题、总体方案、研究路线与赛事推进；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b/>
          <w:spacing w:val="0"/>
        </w:rPr>
        <w:t>归一珂</w:t>
      </w:r>
      <w:r>
        <w:rPr>
          <w:rFonts w:ascii="Times New Roman" w:hAnsi="Times New Roman" w:eastAsia="宋体"/>
          <w:spacing w:val="0"/>
        </w:rPr>
        <w:t>：中国科学院上海药物研究所；工程负责人，负责可信执行架构、证据链、控制平面、复现与开源；</w:t>
      </w:r>
    </w:p>
    <w:p>
      <w:pPr>
        <w:spacing w:lineRule="exact" w:line="500" w:after="0"/>
        <w:ind w:left="480" w:hanging="480"/>
        <w:jc w:val="both"/>
      </w:pPr>
      <w:r>
        <w:rPr>
          <w:rFonts w:ascii="Times New Roman" w:hAnsi="Times New Roman" w:eastAsia="宋体"/>
          <w:spacing w:val="0"/>
        </w:rPr>
        <w:t xml:space="preserve">• </w:t>
      </w:r>
      <w:r>
        <w:rPr>
          <w:rFonts w:ascii="Times New Roman" w:hAnsi="Times New Roman" w:eastAsia="宋体"/>
          <w:b/>
          <w:spacing w:val="0"/>
        </w:rPr>
        <w:t>朱怡邈</w:t>
      </w:r>
      <w:r>
        <w:rPr>
          <w:rFonts w:ascii="Times New Roman" w:hAnsi="Times New Roman" w:eastAsia="宋体"/>
          <w:spacing w:val="0"/>
        </w:rPr>
        <w:t>：浙江大学；算法负责人，负责 Pareto-MCTS、多目标搜索、算法评测与消融设计。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cantSplit/>
        </w:trPr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成员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单位</w:t>
            </w:r>
          </w:p>
        </w:tc>
        <w:tc>
          <w:tcPr>
            <w:tcW w:type="dxa" w:w="15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角色</w:t>
            </w:r>
          </w:p>
        </w:tc>
        <w:tc>
          <w:tcPr>
            <w:tcW w:type="dxa" w:w="345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pacing w:val="0"/>
                <w:sz w:val="21"/>
              </w:rPr>
              <w:t>核心职责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盛夏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中国科学院上海药物研究所</w:t>
            </w:r>
          </w:p>
        </w:tc>
        <w:tc>
          <w:tcPr>
            <w:tcW w:type="dxa" w:w="153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团队负责人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科学问题、总体方案、研究路线与赛事推进</w:t>
            </w:r>
          </w:p>
        </w:tc>
      </w:tr>
      <w:tr>
        <w:trPr>
          <w:cantSplit/>
        </w:trPr>
        <w:tc>
          <w:tcPr>
            <w:tcW w:type="dxa" w:w="141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归一珂</w:t>
            </w:r>
          </w:p>
        </w:tc>
        <w:tc>
          <w:tcPr>
            <w:tcW w:type="dxa" w:w="283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中国科学院上海药物研究所</w:t>
            </w:r>
          </w:p>
        </w:tc>
        <w:tc>
          <w:tcPr>
            <w:tcW w:type="dxa" w:w="153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工程负责人</w:t>
            </w:r>
          </w:p>
        </w:tc>
        <w:tc>
          <w:tcPr>
            <w:tcW w:type="dxa" w:w="345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可信执行架构、证据链、控制平面、复现与开源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朱怡邈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浙江大学</w:t>
            </w:r>
          </w:p>
        </w:tc>
        <w:tc>
          <w:tcPr>
            <w:tcW w:type="dxa" w:w="153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算法负责人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after="0" w:lineRule="exact" w:line="360"/>
            </w:pPr>
            <w:r>
              <w:rPr>
                <w:rFonts w:ascii="Times New Roman" w:hAnsi="Times New Roman" w:eastAsia="宋体"/>
                <w:spacing w:val="0"/>
                <w:sz w:val="21"/>
              </w:rPr>
              <w:t>Pareto-MCTS、多目标搜索、评测与消融</w:t>
            </w:r>
          </w:p>
        </w:tc>
      </w:tr>
    </w:tbl>
    <w:p>
      <w:pPr>
        <w:spacing w:after="0"/>
      </w:pPr>
    </w:p>
    <w:p>
      <w:pPr>
        <w:pStyle w:val="4"/>
      </w:pPr>
      <w:r>
        <w:t>6.2 团队分工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盛夏负责目标与科学边界，决定什么问题值得研究、什么证据足以支持或推翻候选；归一珂负责将科研规则落实为可恢复、可审计、可复现的工程系统；朱怡邈负责把构效发现转化为多目标搜索问题，并设计公平基线、统计检验和算法消融。三人共同完成证据复核、风险审计和答辩。</w:t>
      </w:r>
    </w:p>
    <w:p>
      <w:pPr>
        <w:pStyle w:val="4"/>
      </w:pPr>
      <w:r>
        <w:t>6.3团队成果</w:t>
      </w:r>
    </w:p>
    <w:p>
      <w:pPr>
        <w:spacing w:lineRule="exact" w:line="500" w:after="0"/>
        <w:ind w:firstLine="480"/>
        <w:jc w:val="both"/>
      </w:pPr>
      <w:r>
        <w:rPr>
          <w:rFonts w:ascii="Times New Roman" w:hAnsi="Times New Roman" w:eastAsia="宋体"/>
          <w:spacing w:val="0"/>
        </w:rPr>
        <w:t>团队曾获</w:t>
      </w:r>
      <w:r>
        <w:rPr>
          <w:rFonts w:ascii="Times New Roman" w:hAnsi="Times New Roman" w:eastAsia="宋体"/>
          <w:b/>
          <w:spacing w:val="0"/>
        </w:rPr>
        <w:t>第四届世界科学智能大赛 AI4S 智能体 CNS 挑战赛二等奖</w:t>
      </w:r>
      <w:r>
        <w:rPr>
          <w:rFonts w:ascii="Times New Roman" w:hAnsi="Times New Roman" w:eastAsia="宋体"/>
          <w:spacing w:val="0"/>
        </w:rPr>
        <w:t>，并在该项目中完成科研任务建模、智能体工程实现和竞赛交付。</w:t>
      </w:r>
    </w:p>
    <w:sectPr>
      <w:headerReference w:type="default" r:id="rId11"/>
      <w:footerReference w:type="default" r:id="rId12"/>
      <w:pgSz w:w="12240" w:h="15840"/>
      <w:pgMar w:top="1008" w:right="1181" w:bottom="893" w:left="1181" w:header="432" w:footer="432" w:gutter="0"/>
      <w:cols w:space="720" w:num="1"/>
      <w:docGrid w:linePitch="360" w:charSpace="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color w:val="444444"/>
        <w:spacing w:val="0"/>
        <w:sz w:val="21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00" w:lineRule="exact"/>
      <w:widowControl/>
      <w:autoSpaceDE w:val="0"/>
      <w:autoSpaceDN w:val="0"/>
    </w:pPr>
    <w:rPr>
      <w:rFonts w:ascii="Times New Roman" w:hAnsi="Times New Roman" w:eastAsia="宋体" w:cstheme="minorBidi"/>
      <w:b w:val="0"/>
      <w:color w:val="202832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500" w:lineRule="exact"/>
      <w:outlineLvl w:val="0"/>
      <w:autoSpaceDE w:val="0"/>
      <w:autoSpaceDN w:val="0"/>
    </w:pPr>
    <w:rPr>
      <w:rFonts w:asciiTheme="majorHAnsi" w:hAnsiTheme="majorHAnsi" w:eastAsiaTheme="majorEastAsia" w:cstheme="majorBidi" w:ascii="Times New Roman" w:hAnsi="Times New Roman" w:eastAsia="黑体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500" w:lineRule="exact"/>
      <w:outlineLvl w:val="1"/>
      <w:autoSpaceDE w:val="0"/>
      <w:autoSpaceDN w:val="0"/>
    </w:pPr>
    <w:rPr>
      <w:rFonts w:asciiTheme="majorHAnsi" w:hAnsiTheme="majorHAnsi" w:eastAsiaTheme="majorEastAsia" w:cstheme="majorBidi" w:ascii="Times New Roman" w:hAnsi="Times New Roman" w:eastAsia="黑体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  <w:autoSpaceDE w:val="0"/>
      <w:autoSpaceDN w:val="0"/>
    </w:pPr>
    <w:rPr>
      <w:rFonts w:ascii="Times New Roman" w:hAnsi="Times New Roman" w:eastAsia="宋体"/>
      <w:b w:val="0"/>
      <w:color w:val="202832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 w:before="60" w:after="140"/>
      <w:keepNext/>
      <w:autoSpaceDE w:val="0"/>
      <w:autoSpaceDN w:val="0"/>
    </w:pPr>
    <w:rPr>
      <w:rFonts w:ascii="Times New Roman" w:hAnsi="Times New Roman" w:eastAsia="宋体"/>
      <w:b w:val="0"/>
      <w:bCs/>
      <w:color w:val="444444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  <w:autoSpaceDE w:val="0"/>
      <w:autoSpaceDN w:val="0"/>
    </w:pPr>
    <w:rPr>
      <w:rFonts w:ascii="Times New Roman" w:hAnsi="Times New Roman" w:eastAsia="宋体"/>
      <w:b w:val="0"/>
      <w:color w:val="202832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  <w:autoSpaceDE w:val="0"/>
      <w:autoSpaceDN w:val="0"/>
    </w:pPr>
    <w:rPr>
      <w:rFonts w:asciiTheme="majorHAnsi" w:hAnsiTheme="majorHAnsi" w:eastAsiaTheme="majorEastAsia" w:cstheme="majorBidi" w:ascii="Times New Roman" w:hAnsi="Times New Roman" w:eastAsia="黑体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542</Words>
  <Characters>580</Characters>
  <Lines>0</Lines>
  <Paragraphs>0</Paragraphs>
  <TotalTime>0</TotalTime>
  <ScaleCrop>false</ScaleCrop>
  <LinksUpToDate>false</LinksUpToDate>
  <CharactersWithSpaces>597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团队：可以的</dc:creator>
  <dc:description>generated by python-docx</dc:description>
  <cp:lastModifiedBy>cindy</cp:lastModifiedBy>
  <dcterms:modified xsi:type="dcterms:W3CDTF">2026-08-01T20:06:35Z</dcterms:modified>
  <cp:revision>1</cp:revision>
  <dc:title>VeriMat——证据与反证驱动的可验证材料科学发现智能体</dc:title>
  <dc:subject>GOAI 算法赛方向三初赛方案</dc:subject>
  <cp:keywords>VeriMat; materials discovery; CEDG; Pareto-MCTS; counterevidence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2052-12.1.22218.22218</vt:lpwstr>
  </property>
  <property fmtid="{D5CDD505-2E9C-101B-9397-08002B2CF9AE}" pid="4" name="ICV">
    <vt:lpwstr>CDD5274CC1D44C419F88A10DFA15A0C6_12</vt:lpwstr>
  </property>
</Properties>
</file>