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8"/>
        </w:rPr>
        <w:t>Intrinsic Motivation, Extrinsic Incentives, and Performance:</w:t>
        <w:br/>
        <w:t>A Second-Order Meta-Analysis with Task Complexity as Moderator</w:t>
      </w:r>
    </w:p>
    <w:p/>
    <w:p>
      <w:pPr>
        <w:jc w:val="center"/>
      </w:pPr>
      <w:r>
        <w:rPr>
          <w:rFonts w:ascii="Times New Roman" w:hAnsi="Times New Roman"/>
          <w:sz w:val="24"/>
        </w:rPr>
        <w:t>Internal Research Paper — Working Draft</w:t>
      </w:r>
    </w:p>
    <w:p/>
    <w:p>
      <w:pPr>
        <w:jc w:val="center"/>
      </w:pPr>
      <w:r>
        <w:rPr>
          <w:sz w:val="24"/>
        </w:rPr>
        <w:t>Taiga Capital Group — Research Division</w:t>
      </w:r>
    </w:p>
    <w:p>
      <w:pPr>
        <w:jc w:val="center"/>
      </w:pPr>
      <w:r>
        <w:rPr>
          <w:sz w:val="24"/>
        </w:rPr>
        <w:t>March 2026</w:t>
      </w:r>
    </w:p>
    <w:p>
      <w:r>
        <w:br w:type="page"/>
      </w:r>
    </w:p>
    <w:p>
      <w:pPr>
        <w:jc w:val="center"/>
      </w:pPr>
      <w:r>
        <w:rPr>
          <w:b/>
          <w:sz w:val="24"/>
        </w:rPr>
        <w:t>Abstract</w:t>
      </w:r>
    </w:p>
    <w:p>
      <w:pPr>
        <w:ind w:firstLine="720"/>
      </w:pPr>
      <w:r>
        <w:t>How do intrinsic motivation and extrinsic incentives jointly predict performance, and how does task cognitive complexity moderate this relationship? We synthesize 16 first-order meta-analyses (cumulative k &gt; 1,200 primary studies; cumulative N &gt; 500,000 participants) spanning four decades of research (1988–2024). Our second-order meta-analytic integration reveals three key findings. First, intrinsic motivation maintains a robust positive association with performance (median ρ̄ = .24, range .21–.45) that is resilient to the presence of extrinsic incentives. Second, extrinsic incentives show a strong positive effect on quantitative performance in low-complexity tasks (median d = 0.32–0.68) but a null-to-negative effect on qualitative performance in high-complexity tasks (d = -0.28 to -0.40 for controlling rewards). Third, task cognitive complexity is the single most powerful moderator: as complexity increases, the relative predictive power of intrinsic motivation increases while the marginal return of extrinsic incentives decreases, creating a crossover pattern. These findings provide an empirical foundation for designing motivation architectures that calibrate the intrinsic-extrinsic mix to the cognitive demands of the work.</w:t>
      </w:r>
    </w:p>
    <w:p>
      <w:pPr>
        <w:ind w:firstLine="720"/>
      </w:pPr>
      <w:r>
        <w:rPr>
          <w:i/>
          <w:sz w:val="24"/>
        </w:rPr>
        <w:t xml:space="preserve">Keywords: </w:t>
      </w:r>
      <w:r>
        <w:rPr>
          <w:i/>
          <w:sz w:val="24"/>
        </w:rPr>
        <w:t>intrinsic motivation, extrinsic incentives, performance, meta-analysis, task complexity, crowding out, self-determination theory, pay-for-performance</w:t>
      </w:r>
    </w:p>
    <w:p>
      <w:r>
        <w:br w:type="page"/>
      </w:r>
    </w:p>
    <w:p>
      <w:pPr>
        <w:pStyle w:val="Heading1"/>
      </w:pPr>
      <w:r>
        <w:rPr>
          <w:rFonts w:ascii="Times New Roman" w:hAnsi="Times New Roman"/>
          <w:color w:val="000000"/>
        </w:rPr>
        <w:t>1. Introduction</w:t>
      </w:r>
    </w:p>
    <w:p>
      <w:pPr>
        <w:ind w:firstLine="720"/>
      </w:pPr>
      <w:r>
        <w:t>The question of what drives human performance has occupied psychologists, economists, and organizational scholars for over a century. Two broad traditions have emerged: one emphasizing intrinsic motivation — the inherent satisfaction derived from the activity itself (Deci &amp; Ryan, 1985; Ryan &amp; Deci, 2000) — and the other emphasizing extrinsic incentives — external rewards and punishments designed to direct behavior (Vroom, 1964; Lazear, 2000). For decades, these traditions developed largely in isolation, occasionally clashing in heated debates about whether extrinsic rewards undermine intrinsic motivation (the 'crowding-out' controversy: Deci, Koestner &amp; Ryan, 1999 vs. Cameron &amp; Pierce, 1994; Eisenberger &amp; Cameron, 1996).</w:t>
      </w:r>
    </w:p>
    <w:p>
      <w:pPr>
        <w:ind w:firstLine="720"/>
      </w:pPr>
      <w:r>
        <w:t>A turning point came with Cerasoli, Nicklin, and Ford's (2014) landmark 40-year meta-analysis demonstrating that intrinsic motivation and extrinsic incentives jointly and independently predict performance, with intrinsic motivation primarily predicting quality and extrinsic incentives primarily predicting quantity. However, the field remains fragmented: first-order meta-analyses have addressed different slices of the motivation–incentive–performance nexus using different operationalizations, different outcome measures, and different moderator frameworks.</w:t>
      </w:r>
    </w:p>
    <w:p>
      <w:pPr>
        <w:ind w:firstLine="720"/>
      </w:pPr>
      <w:r>
        <w:t>No second-order meta-analysis (meta-meta-analysis) has yet synthesized these first-order results into a unified picture. This gap is particularly consequential because practitioner decisions — compensation design, job design, talent development — require guidance that integrates across the fragmented literature. The present study addresses this gap by conducting a second-order meta-analysis of all available first-order meta-analyses examining the relationships among intrinsic motivation, extrinsic incentives, and performance, with a specific focus on task cognitive complexity as the key moderator.</w:t>
      </w:r>
    </w:p>
    <w:p>
      <w:pPr>
        <w:ind w:firstLine="720"/>
      </w:pPr>
      <w:r>
        <w:t>Our organizing framework draws on self-determination theory (SDT; Ryan &amp; Deci, 2000), cognitive evaluation theory (CET; Deci, 1975), the multitask principal-agent model (Holmstrom &amp; Milgrom, 1991), and motivation crowding theory (Frey &amp; Jegen, 2001). We propose that task cognitive complexity acts as a 'switching variable': in low-complexity (algorithmic) tasks, extrinsic incentives add value with minimal crowding-out risk, while in high-complexity (heuristic) tasks, extrinsic incentives carry substantial crowding-out risk and intrinsic motivation becomes the dominant performance driver.</w:t>
      </w:r>
    </w:p>
    <w:p>
      <w:pPr>
        <w:pStyle w:val="Heading1"/>
      </w:pPr>
      <w:r>
        <w:rPr>
          <w:rFonts w:ascii="Times New Roman" w:hAnsi="Times New Roman"/>
          <w:color w:val="000000"/>
        </w:rPr>
        <w:t>1.1 Definitions and Scope</w:t>
      </w:r>
    </w:p>
    <w:p>
      <w:pPr>
        <w:ind w:firstLine="720"/>
      </w:pPr>
      <w:r>
        <w:t>We define intrinsic motivation as engagement driven by inherent interest, enjoyment, or personal value of the activity (Ryan &amp; Deci, 2000). Extrinsic incentives are defined as externally administered consequences contingent on performance — including monetary rewards, bonuses, piece-rate pay, and tangible prizes (Cerasoli et al., 2014). Performance is defined broadly to include both quantitative outputs (productivity, speed, volume) and qualitative outputs (creativity, problem-solving quality, organizational citizenship behaviors).</w:t>
      </w:r>
    </w:p>
    <w:p>
      <w:pPr>
        <w:ind w:firstLine="720"/>
      </w:pPr>
      <w:r>
        <w:t>Task cognitive complexity follows the distinction between algorithmic tasks (well-defined procedures, routine execution) and heuristic tasks (ill-defined problems requiring creative or analytical solutions), as established by Ariely, Gneezy, Loewenstein, and Mazar (2009) and McGraw and McCullers (1979). This distinction maps onto the broader construct of job complexity (Hunter &amp; Hunter, 1984).</w:t>
      </w:r>
    </w:p>
    <w:p>
      <w:r>
        <w:br w:type="page"/>
      </w:r>
    </w:p>
    <w:p>
      <w:pPr>
        <w:pStyle w:val="Heading1"/>
      </w:pPr>
      <w:r>
        <w:rPr>
          <w:rFonts w:ascii="Times New Roman" w:hAnsi="Times New Roman"/>
          <w:color w:val="000000"/>
        </w:rPr>
        <w:t>2. Method</w:t>
      </w:r>
    </w:p>
    <w:p>
      <w:pPr>
        <w:ind w:firstLine="720"/>
      </w:pPr>
      <w:r>
        <w:t>We followed the procedures for second-order meta-analysis as outlined by Schmidt and Oh (2013) and Cooper and Patall (2009). Our unit of analysis is the first-order meta-analytic effect size, rather than individual primary studies.</w:t>
      </w:r>
    </w:p>
    <w:p>
      <w:pPr>
        <w:pStyle w:val="Heading1"/>
      </w:pPr>
      <w:r>
        <w:rPr>
          <w:rFonts w:ascii="Times New Roman" w:hAnsi="Times New Roman"/>
          <w:color w:val="000000"/>
        </w:rPr>
        <w:t>2.1 Literature Search</w:t>
      </w:r>
    </w:p>
    <w:p>
      <w:pPr>
        <w:ind w:firstLine="720"/>
      </w:pPr>
      <w:r>
        <w:t>We conducted systematic searches in PsycINFO, Web of Science, Google Scholar, and the Cochrane Library (through February 2026) using the following search terms: (intrinsic motivation OR self-determination OR autonomous motivation) AND (extrinsic incentive* OR reward* OR pay-for-performance OR compensation) AND (meta-analy* OR quantitative review OR research synthesis) AND (performance OR productivity OR creativity OR outcome). We supplemented electronic searches with backward citation tracking from key reviews (Cerasoli et al., 2014; Deci et al., 1999; Gneezy, Meier &amp; Rey-Biel, 2011) and forward citation tracking via Google Scholar.</w:t>
      </w:r>
    </w:p>
    <w:p>
      <w:pPr>
        <w:pStyle w:val="Heading1"/>
      </w:pPr>
      <w:r>
        <w:rPr>
          <w:rFonts w:ascii="Times New Roman" w:hAnsi="Times New Roman"/>
          <w:color w:val="000000"/>
        </w:rPr>
        <w:t>2.2 Inclusion Criteria</w:t>
      </w:r>
    </w:p>
    <w:p>
      <w:pPr>
        <w:ind w:firstLine="720"/>
      </w:pPr>
      <w:r>
        <w:t>First-order meta-analyses were included if they: (a) reported quantitative effect sizes (correlations ρ, Cohen's d, odds ratios, or convertible equivalents) for the relationship between intrinsic motivation and/or extrinsic incentives and performance; (b) were published in peer-reviewed journals or as chapters in edited volumes; (c) included at least 10 primary studies (k ≥ 10); and (d) were published between 1985 and 2026. We did not restrict by language but all identified meta-analyses were in English.</w:t>
      </w:r>
    </w:p>
    <w:p>
      <w:pPr>
        <w:pStyle w:val="Heading1"/>
      </w:pPr>
      <w:r>
        <w:rPr>
          <w:rFonts w:ascii="Times New Roman" w:hAnsi="Times New Roman"/>
          <w:color w:val="000000"/>
        </w:rPr>
        <w:t>2.3 Identified Meta-Analyses</w:t>
      </w:r>
    </w:p>
    <w:p>
      <w:pPr>
        <w:ind w:firstLine="720"/>
      </w:pPr>
      <w:r>
        <w:t>Our search identified 16 first-order meta-analyses meeting inclusion criteria. Table 1 presents the complete inventory.</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rFonts w:ascii="Times New Roman" w:hAnsi="Times New Roman"/>
                <w:b/>
                <w:sz w:val="18"/>
              </w:rPr>
              <w:t>#</w:t>
            </w:r>
          </w:p>
          <w:shd/>
        </w:tc>
        <w:tc>
          <w:tcPr>
            <w:tcW w:type="dxa" w:w="1289"/>
          </w:tcPr>
          <w:p>
            <w:r/>
            <w:r>
              <w:rPr>
                <w:rFonts w:ascii="Times New Roman" w:hAnsi="Times New Roman"/>
                <w:b/>
                <w:sz w:val="18"/>
              </w:rPr>
              <w:t>Authors (Year)</w:t>
            </w:r>
          </w:p>
          <w:shd/>
        </w:tc>
        <w:tc>
          <w:tcPr>
            <w:tcW w:type="dxa" w:w="1289"/>
          </w:tcPr>
          <w:p>
            <w:r/>
            <w:r>
              <w:rPr>
                <w:rFonts w:ascii="Times New Roman" w:hAnsi="Times New Roman"/>
                <w:b/>
                <w:sz w:val="18"/>
              </w:rPr>
              <w:t>Focus</w:t>
            </w:r>
          </w:p>
          <w:shd/>
        </w:tc>
        <w:tc>
          <w:tcPr>
            <w:tcW w:type="dxa" w:w="1289"/>
          </w:tcPr>
          <w:p>
            <w:r/>
            <w:r>
              <w:rPr>
                <w:rFonts w:ascii="Times New Roman" w:hAnsi="Times New Roman"/>
                <w:b/>
                <w:sz w:val="18"/>
              </w:rPr>
              <w:t>k</w:t>
            </w:r>
          </w:p>
          <w:shd/>
        </w:tc>
        <w:tc>
          <w:tcPr>
            <w:tcW w:type="dxa" w:w="1289"/>
          </w:tcPr>
          <w:p>
            <w:r/>
            <w:r>
              <w:rPr>
                <w:rFonts w:ascii="Times New Roman" w:hAnsi="Times New Roman"/>
                <w:b/>
                <w:sz w:val="18"/>
              </w:rPr>
              <w:t>N</w:t>
            </w:r>
          </w:p>
          <w:shd/>
        </w:tc>
        <w:tc>
          <w:tcPr>
            <w:tcW w:type="dxa" w:w="1289"/>
          </w:tcPr>
          <w:p>
            <w:r/>
            <w:r>
              <w:rPr>
                <w:rFonts w:ascii="Times New Roman" w:hAnsi="Times New Roman"/>
                <w:b/>
                <w:sz w:val="18"/>
              </w:rPr>
              <w:t>Key Effect Size</w:t>
            </w:r>
          </w:p>
          <w:shd/>
        </w:tc>
        <w:tc>
          <w:tcPr>
            <w:tcW w:type="dxa" w:w="1289"/>
          </w:tcPr>
          <w:p>
            <w:r/>
            <w:r>
              <w:rPr>
                <w:rFonts w:ascii="Times New Roman" w:hAnsi="Times New Roman"/>
                <w:b/>
                <w:sz w:val="18"/>
              </w:rPr>
              <w:t>Journal</w:t>
            </w:r>
          </w:p>
          <w:shd/>
        </w:tc>
      </w:tr>
      <w:tr>
        <w:tc>
          <w:tcPr>
            <w:tcW w:type="dxa" w:w="1289"/>
          </w:tcPr>
          <w:p>
            <w:r/>
            <w:r>
              <w:rPr>
                <w:rFonts w:ascii="Times New Roman" w:hAnsi="Times New Roman"/>
                <w:b w:val="0"/>
                <w:sz w:val="18"/>
              </w:rPr>
              <w:t>M1</w:t>
            </w:r>
          </w:p>
        </w:tc>
        <w:tc>
          <w:tcPr>
            <w:tcW w:type="dxa" w:w="1289"/>
          </w:tcPr>
          <w:p>
            <w:r/>
            <w:r>
              <w:rPr>
                <w:rFonts w:ascii="Times New Roman" w:hAnsi="Times New Roman"/>
                <w:b w:val="0"/>
                <w:sz w:val="18"/>
              </w:rPr>
              <w:t>Rummel &amp; Feinberg (1988)</w:t>
            </w:r>
          </w:p>
        </w:tc>
        <w:tc>
          <w:tcPr>
            <w:tcW w:type="dxa" w:w="1289"/>
          </w:tcPr>
          <w:p>
            <w:r/>
            <w:r>
              <w:rPr>
                <w:rFonts w:ascii="Times New Roman" w:hAnsi="Times New Roman"/>
                <w:b w:val="0"/>
                <w:sz w:val="18"/>
              </w:rPr>
              <w:t>CET: rewards → intrinsic motivation</w:t>
            </w:r>
          </w:p>
        </w:tc>
        <w:tc>
          <w:tcPr>
            <w:tcW w:type="dxa" w:w="1289"/>
          </w:tcPr>
          <w:p>
            <w:r/>
            <w:r>
              <w:rPr>
                <w:rFonts w:ascii="Times New Roman" w:hAnsi="Times New Roman"/>
                <w:b w:val="0"/>
                <w:sz w:val="18"/>
              </w:rPr>
              <w:t>45</w:t>
            </w:r>
          </w:p>
        </w:tc>
        <w:tc>
          <w:tcPr>
            <w:tcW w:type="dxa" w:w="1289"/>
          </w:tcPr>
          <w:p>
            <w:r/>
            <w:r>
              <w:rPr>
                <w:rFonts w:ascii="Times New Roman" w:hAnsi="Times New Roman"/>
                <w:b w:val="0"/>
                <w:sz w:val="18"/>
              </w:rPr>
              <w:t>~3,400</w:t>
            </w:r>
          </w:p>
        </w:tc>
        <w:tc>
          <w:tcPr>
            <w:tcW w:type="dxa" w:w="1289"/>
          </w:tcPr>
          <w:p>
            <w:r/>
            <w:r>
              <w:rPr>
                <w:rFonts w:ascii="Times New Roman" w:hAnsi="Times New Roman"/>
                <w:b w:val="0"/>
                <w:sz w:val="18"/>
              </w:rPr>
              <w:t>d = -0.30 (tangible rewards)</w:t>
            </w:r>
          </w:p>
        </w:tc>
        <w:tc>
          <w:tcPr>
            <w:tcW w:type="dxa" w:w="1289"/>
          </w:tcPr>
          <w:p>
            <w:r/>
            <w:r>
              <w:rPr>
                <w:rFonts w:ascii="Times New Roman" w:hAnsi="Times New Roman"/>
                <w:b w:val="0"/>
                <w:sz w:val="18"/>
              </w:rPr>
              <w:t>J. of Social Psychology</w:t>
            </w:r>
          </w:p>
        </w:tc>
      </w:tr>
      <w:tr>
        <w:tc>
          <w:tcPr>
            <w:tcW w:type="dxa" w:w="1289"/>
          </w:tcPr>
          <w:p>
            <w:r/>
            <w:r>
              <w:rPr>
                <w:rFonts w:ascii="Times New Roman" w:hAnsi="Times New Roman"/>
                <w:b w:val="0"/>
                <w:sz w:val="18"/>
              </w:rPr>
              <w:t>M2</w:t>
            </w:r>
          </w:p>
        </w:tc>
        <w:tc>
          <w:tcPr>
            <w:tcW w:type="dxa" w:w="1289"/>
          </w:tcPr>
          <w:p>
            <w:r/>
            <w:r>
              <w:rPr>
                <w:rFonts w:ascii="Times New Roman" w:hAnsi="Times New Roman"/>
                <w:b w:val="0"/>
                <w:sz w:val="18"/>
              </w:rPr>
              <w:t>Wiersma (1992)</w:t>
            </w:r>
          </w:p>
        </w:tc>
        <w:tc>
          <w:tcPr>
            <w:tcW w:type="dxa" w:w="1289"/>
          </w:tcPr>
          <w:p>
            <w:r/>
            <w:r>
              <w:rPr>
                <w:rFonts w:ascii="Times New Roman" w:hAnsi="Times New Roman"/>
                <w:b w:val="0"/>
                <w:sz w:val="18"/>
              </w:rPr>
              <w:t>Extrinsic rewards → intrinsic motivation</w:t>
            </w:r>
          </w:p>
        </w:tc>
        <w:tc>
          <w:tcPr>
            <w:tcW w:type="dxa" w:w="1289"/>
          </w:tcPr>
          <w:p>
            <w:r/>
            <w:r>
              <w:rPr>
                <w:rFonts w:ascii="Times New Roman" w:hAnsi="Times New Roman"/>
                <w:b w:val="0"/>
                <w:sz w:val="18"/>
              </w:rPr>
              <w:t>20</w:t>
            </w:r>
          </w:p>
        </w:tc>
        <w:tc>
          <w:tcPr>
            <w:tcW w:type="dxa" w:w="1289"/>
          </w:tcPr>
          <w:p>
            <w:r/>
            <w:r>
              <w:rPr>
                <w:rFonts w:ascii="Times New Roman" w:hAnsi="Times New Roman"/>
                <w:b w:val="0"/>
                <w:sz w:val="18"/>
              </w:rPr>
              <w:t>~2,100</w:t>
            </w:r>
          </w:p>
        </w:tc>
        <w:tc>
          <w:tcPr>
            <w:tcW w:type="dxa" w:w="1289"/>
          </w:tcPr>
          <w:p>
            <w:r/>
            <w:r>
              <w:rPr>
                <w:rFonts w:ascii="Times New Roman" w:hAnsi="Times New Roman"/>
                <w:b w:val="0"/>
                <w:sz w:val="18"/>
              </w:rPr>
              <w:t>d = -0.20 overall; varies by reward type</w:t>
            </w:r>
          </w:p>
        </w:tc>
        <w:tc>
          <w:tcPr>
            <w:tcW w:type="dxa" w:w="1289"/>
          </w:tcPr>
          <w:p>
            <w:r/>
            <w:r>
              <w:rPr>
                <w:rFonts w:ascii="Times New Roman" w:hAnsi="Times New Roman"/>
                <w:b w:val="0"/>
                <w:sz w:val="18"/>
              </w:rPr>
              <w:t>J. of Occupational &amp; Org. Psychology</w:t>
            </w:r>
          </w:p>
        </w:tc>
      </w:tr>
      <w:tr>
        <w:tc>
          <w:tcPr>
            <w:tcW w:type="dxa" w:w="1289"/>
          </w:tcPr>
          <w:p>
            <w:r/>
            <w:r>
              <w:rPr>
                <w:rFonts w:ascii="Times New Roman" w:hAnsi="Times New Roman"/>
                <w:b w:val="0"/>
                <w:sz w:val="18"/>
              </w:rPr>
              <w:t>M3</w:t>
            </w:r>
          </w:p>
        </w:tc>
        <w:tc>
          <w:tcPr>
            <w:tcW w:type="dxa" w:w="1289"/>
          </w:tcPr>
          <w:p>
            <w:r/>
            <w:r>
              <w:rPr>
                <w:rFonts w:ascii="Times New Roman" w:hAnsi="Times New Roman"/>
                <w:b w:val="0"/>
                <w:sz w:val="18"/>
              </w:rPr>
              <w:t>Cameron &amp; Pierce (1994)</w:t>
            </w:r>
          </w:p>
        </w:tc>
        <w:tc>
          <w:tcPr>
            <w:tcW w:type="dxa" w:w="1289"/>
          </w:tcPr>
          <w:p>
            <w:r/>
            <w:r>
              <w:rPr>
                <w:rFonts w:ascii="Times New Roman" w:hAnsi="Times New Roman"/>
                <w:b w:val="0"/>
                <w:sz w:val="18"/>
              </w:rPr>
              <w:t>Rewards → intrinsic motivation</w:t>
            </w:r>
          </w:p>
        </w:tc>
        <w:tc>
          <w:tcPr>
            <w:tcW w:type="dxa" w:w="1289"/>
          </w:tcPr>
          <w:p>
            <w:r/>
            <w:r>
              <w:rPr>
                <w:rFonts w:ascii="Times New Roman" w:hAnsi="Times New Roman"/>
                <w:b w:val="0"/>
                <w:sz w:val="18"/>
              </w:rPr>
              <w:t>96</w:t>
            </w:r>
          </w:p>
        </w:tc>
        <w:tc>
          <w:tcPr>
            <w:tcW w:type="dxa" w:w="1289"/>
          </w:tcPr>
          <w:p>
            <w:r/>
            <w:r>
              <w:rPr>
                <w:rFonts w:ascii="Times New Roman" w:hAnsi="Times New Roman"/>
                <w:b w:val="0"/>
                <w:sz w:val="18"/>
              </w:rPr>
              <w:t>~9,600</w:t>
            </w:r>
          </w:p>
        </w:tc>
        <w:tc>
          <w:tcPr>
            <w:tcW w:type="dxa" w:w="1289"/>
          </w:tcPr>
          <w:p>
            <w:r/>
            <w:r>
              <w:rPr>
                <w:rFonts w:ascii="Times New Roman" w:hAnsi="Times New Roman"/>
                <w:b w:val="0"/>
                <w:sz w:val="18"/>
              </w:rPr>
              <w:t>d ≈ 0.00 (claim: no detrimental effect)</w:t>
            </w:r>
          </w:p>
        </w:tc>
        <w:tc>
          <w:tcPr>
            <w:tcW w:type="dxa" w:w="1289"/>
          </w:tcPr>
          <w:p>
            <w:r/>
            <w:r>
              <w:rPr>
                <w:rFonts w:ascii="Times New Roman" w:hAnsi="Times New Roman"/>
                <w:b w:val="0"/>
                <w:sz w:val="18"/>
              </w:rPr>
              <w:t>Review of Educational Research</w:t>
            </w:r>
          </w:p>
        </w:tc>
      </w:tr>
      <w:tr>
        <w:tc>
          <w:tcPr>
            <w:tcW w:type="dxa" w:w="1289"/>
          </w:tcPr>
          <w:p>
            <w:r/>
            <w:r>
              <w:rPr>
                <w:rFonts w:ascii="Times New Roman" w:hAnsi="Times New Roman"/>
                <w:b w:val="0"/>
                <w:sz w:val="18"/>
              </w:rPr>
              <w:t>M4</w:t>
            </w:r>
          </w:p>
        </w:tc>
        <w:tc>
          <w:tcPr>
            <w:tcW w:type="dxa" w:w="1289"/>
          </w:tcPr>
          <w:p>
            <w:r/>
            <w:r>
              <w:rPr>
                <w:rFonts w:ascii="Times New Roman" w:hAnsi="Times New Roman"/>
                <w:b w:val="0"/>
                <w:sz w:val="18"/>
              </w:rPr>
              <w:t>Tang &amp; Hall (1995)</w:t>
            </w:r>
          </w:p>
        </w:tc>
        <w:tc>
          <w:tcPr>
            <w:tcW w:type="dxa" w:w="1289"/>
          </w:tcPr>
          <w:p>
            <w:r/>
            <w:r>
              <w:rPr>
                <w:rFonts w:ascii="Times New Roman" w:hAnsi="Times New Roman"/>
                <w:b w:val="0"/>
                <w:sz w:val="18"/>
              </w:rPr>
              <w:t>Self-esteem as moderator</w:t>
            </w:r>
          </w:p>
        </w:tc>
        <w:tc>
          <w:tcPr>
            <w:tcW w:type="dxa" w:w="1289"/>
          </w:tcPr>
          <w:p>
            <w:r/>
            <w:r>
              <w:rPr>
                <w:rFonts w:ascii="Times New Roman" w:hAnsi="Times New Roman"/>
                <w:b w:val="0"/>
                <w:sz w:val="18"/>
              </w:rPr>
              <w:t>50</w:t>
            </w:r>
          </w:p>
        </w:tc>
        <w:tc>
          <w:tcPr>
            <w:tcW w:type="dxa" w:w="1289"/>
          </w:tcPr>
          <w:p>
            <w:r/>
            <w:r>
              <w:rPr>
                <w:rFonts w:ascii="Times New Roman" w:hAnsi="Times New Roman"/>
                <w:b w:val="0"/>
                <w:sz w:val="18"/>
              </w:rPr>
              <w:t>~5,000</w:t>
            </w:r>
          </w:p>
        </w:tc>
        <w:tc>
          <w:tcPr>
            <w:tcW w:type="dxa" w:w="1289"/>
          </w:tcPr>
          <w:p>
            <w:r/>
            <w:r>
              <w:rPr>
                <w:rFonts w:ascii="Times New Roman" w:hAnsi="Times New Roman"/>
                <w:b w:val="0"/>
                <w:sz w:val="18"/>
              </w:rPr>
              <w:t>d = -0.22; self-esteem moderates</w:t>
            </w:r>
          </w:p>
        </w:tc>
        <w:tc>
          <w:tcPr>
            <w:tcW w:type="dxa" w:w="1289"/>
          </w:tcPr>
          <w:p>
            <w:r/>
            <w:r>
              <w:rPr>
                <w:rFonts w:ascii="Times New Roman" w:hAnsi="Times New Roman"/>
                <w:b w:val="0"/>
                <w:sz w:val="18"/>
              </w:rPr>
              <w:t>J. of Organizational Behavior</w:t>
            </w:r>
          </w:p>
        </w:tc>
      </w:tr>
      <w:tr>
        <w:tc>
          <w:tcPr>
            <w:tcW w:type="dxa" w:w="1289"/>
          </w:tcPr>
          <w:p>
            <w:r/>
            <w:r>
              <w:rPr>
                <w:rFonts w:ascii="Times New Roman" w:hAnsi="Times New Roman"/>
                <w:b w:val="0"/>
                <w:sz w:val="18"/>
              </w:rPr>
              <w:t>M5</w:t>
            </w:r>
          </w:p>
        </w:tc>
        <w:tc>
          <w:tcPr>
            <w:tcW w:type="dxa" w:w="1289"/>
          </w:tcPr>
          <w:p>
            <w:r/>
            <w:r>
              <w:rPr>
                <w:rFonts w:ascii="Times New Roman" w:hAnsi="Times New Roman"/>
                <w:b w:val="0"/>
                <w:sz w:val="18"/>
              </w:rPr>
              <w:t>Eisenberger &amp; Cameron (1996)</w:t>
            </w:r>
          </w:p>
        </w:tc>
        <w:tc>
          <w:tcPr>
            <w:tcW w:type="dxa" w:w="1289"/>
          </w:tcPr>
          <w:p>
            <w:r/>
            <w:r>
              <w:rPr>
                <w:rFonts w:ascii="Times New Roman" w:hAnsi="Times New Roman"/>
                <w:b w:val="0"/>
                <w:sz w:val="18"/>
              </w:rPr>
              <w:t>Rewards → intrinsic motivation</w:t>
            </w:r>
          </w:p>
        </w:tc>
        <w:tc>
          <w:tcPr>
            <w:tcW w:type="dxa" w:w="1289"/>
          </w:tcPr>
          <w:p>
            <w:r/>
            <w:r>
              <w:rPr>
                <w:rFonts w:ascii="Times New Roman" w:hAnsi="Times New Roman"/>
                <w:b w:val="0"/>
                <w:sz w:val="18"/>
              </w:rPr>
              <w:t>61</w:t>
            </w:r>
          </w:p>
        </w:tc>
        <w:tc>
          <w:tcPr>
            <w:tcW w:type="dxa" w:w="1289"/>
          </w:tcPr>
          <w:p>
            <w:r/>
            <w:r>
              <w:rPr>
                <w:rFonts w:ascii="Times New Roman" w:hAnsi="Times New Roman"/>
                <w:b w:val="0"/>
                <w:sz w:val="18"/>
              </w:rPr>
              <w:t>~6,100</w:t>
            </w:r>
          </w:p>
        </w:tc>
        <w:tc>
          <w:tcPr>
            <w:tcW w:type="dxa" w:w="1289"/>
          </w:tcPr>
          <w:p>
            <w:r/>
            <w:r>
              <w:rPr>
                <w:rFonts w:ascii="Times New Roman" w:hAnsi="Times New Roman"/>
                <w:b w:val="0"/>
                <w:sz w:val="18"/>
              </w:rPr>
              <w:t>d = -0.04 to +0.13 (claim: minimal harm)</w:t>
            </w:r>
          </w:p>
        </w:tc>
        <w:tc>
          <w:tcPr>
            <w:tcW w:type="dxa" w:w="1289"/>
          </w:tcPr>
          <w:p>
            <w:r/>
            <w:r>
              <w:rPr>
                <w:rFonts w:ascii="Times New Roman" w:hAnsi="Times New Roman"/>
                <w:b w:val="0"/>
                <w:sz w:val="18"/>
              </w:rPr>
              <w:t>Psychological Bulletin</w:t>
            </w:r>
          </w:p>
        </w:tc>
      </w:tr>
      <w:tr>
        <w:tc>
          <w:tcPr>
            <w:tcW w:type="dxa" w:w="1289"/>
          </w:tcPr>
          <w:p>
            <w:r/>
            <w:r>
              <w:rPr>
                <w:rFonts w:ascii="Times New Roman" w:hAnsi="Times New Roman"/>
                <w:b w:val="0"/>
                <w:sz w:val="18"/>
              </w:rPr>
              <w:t>M6</w:t>
            </w:r>
          </w:p>
        </w:tc>
        <w:tc>
          <w:tcPr>
            <w:tcW w:type="dxa" w:w="1289"/>
          </w:tcPr>
          <w:p>
            <w:r/>
            <w:r>
              <w:rPr>
                <w:rFonts w:ascii="Times New Roman" w:hAnsi="Times New Roman"/>
                <w:b w:val="0"/>
                <w:sz w:val="18"/>
              </w:rPr>
              <w:t>Stajkovic &amp; Luthans (1997)</w:t>
            </w:r>
          </w:p>
        </w:tc>
        <w:tc>
          <w:tcPr>
            <w:tcW w:type="dxa" w:w="1289"/>
          </w:tcPr>
          <w:p>
            <w:r/>
            <w:r>
              <w:rPr>
                <w:rFonts w:ascii="Times New Roman" w:hAnsi="Times New Roman"/>
                <w:b w:val="0"/>
                <w:sz w:val="18"/>
              </w:rPr>
              <w:t>OB Mod → task performance</w:t>
            </w:r>
          </w:p>
        </w:tc>
        <w:tc>
          <w:tcPr>
            <w:tcW w:type="dxa" w:w="1289"/>
          </w:tcPr>
          <w:p>
            <w:r/>
            <w:r>
              <w:rPr>
                <w:rFonts w:ascii="Times New Roman" w:hAnsi="Times New Roman"/>
                <w:b w:val="0"/>
                <w:sz w:val="18"/>
              </w:rPr>
              <w:t>72</w:t>
            </w:r>
          </w:p>
        </w:tc>
        <w:tc>
          <w:tcPr>
            <w:tcW w:type="dxa" w:w="1289"/>
          </w:tcPr>
          <w:p>
            <w:r/>
            <w:r>
              <w:rPr>
                <w:rFonts w:ascii="Times New Roman" w:hAnsi="Times New Roman"/>
                <w:b w:val="0"/>
                <w:sz w:val="18"/>
              </w:rPr>
              <w:t>13,370</w:t>
            </w:r>
          </w:p>
        </w:tc>
        <w:tc>
          <w:tcPr>
            <w:tcW w:type="dxa" w:w="1289"/>
          </w:tcPr>
          <w:p>
            <w:r/>
            <w:r>
              <w:rPr>
                <w:rFonts w:ascii="Times New Roman" w:hAnsi="Times New Roman"/>
                <w:b w:val="0"/>
                <w:sz w:val="18"/>
              </w:rPr>
              <w:t>d = 0.51 (17% improvement)</w:t>
            </w:r>
          </w:p>
        </w:tc>
        <w:tc>
          <w:tcPr>
            <w:tcW w:type="dxa" w:w="1289"/>
          </w:tcPr>
          <w:p>
            <w:r/>
            <w:r>
              <w:rPr>
                <w:rFonts w:ascii="Times New Roman" w:hAnsi="Times New Roman"/>
                <w:b w:val="0"/>
                <w:sz w:val="18"/>
              </w:rPr>
              <w:t>Academy of Management Journal</w:t>
            </w:r>
          </w:p>
        </w:tc>
      </w:tr>
      <w:tr>
        <w:tc>
          <w:tcPr>
            <w:tcW w:type="dxa" w:w="1289"/>
          </w:tcPr>
          <w:p>
            <w:r/>
            <w:r>
              <w:rPr>
                <w:rFonts w:ascii="Times New Roman" w:hAnsi="Times New Roman"/>
                <w:b w:val="0"/>
                <w:sz w:val="18"/>
              </w:rPr>
              <w:t>M7</w:t>
            </w:r>
          </w:p>
        </w:tc>
        <w:tc>
          <w:tcPr>
            <w:tcW w:type="dxa" w:w="1289"/>
          </w:tcPr>
          <w:p>
            <w:r/>
            <w:r>
              <w:rPr>
                <w:rFonts w:ascii="Times New Roman" w:hAnsi="Times New Roman"/>
                <w:b w:val="0"/>
                <w:sz w:val="18"/>
              </w:rPr>
              <w:t>Jenkins et al. (1998)</w:t>
            </w:r>
          </w:p>
        </w:tc>
        <w:tc>
          <w:tcPr>
            <w:tcW w:type="dxa" w:w="1289"/>
          </w:tcPr>
          <w:p>
            <w:r/>
            <w:r>
              <w:rPr>
                <w:rFonts w:ascii="Times New Roman" w:hAnsi="Times New Roman"/>
                <w:b w:val="0"/>
                <w:sz w:val="18"/>
              </w:rPr>
              <w:t>Financial incentives → performance</w:t>
            </w:r>
          </w:p>
        </w:tc>
        <w:tc>
          <w:tcPr>
            <w:tcW w:type="dxa" w:w="1289"/>
          </w:tcPr>
          <w:p>
            <w:r/>
            <w:r>
              <w:rPr>
                <w:rFonts w:ascii="Times New Roman" w:hAnsi="Times New Roman"/>
                <w:b w:val="0"/>
                <w:sz w:val="18"/>
              </w:rPr>
              <w:t>47</w:t>
            </w:r>
          </w:p>
        </w:tc>
        <w:tc>
          <w:tcPr>
            <w:tcW w:type="dxa" w:w="1289"/>
          </w:tcPr>
          <w:p>
            <w:r/>
            <w:r>
              <w:rPr>
                <w:rFonts w:ascii="Times New Roman" w:hAnsi="Times New Roman"/>
                <w:b w:val="0"/>
                <w:sz w:val="18"/>
              </w:rPr>
              <w:t>~8,900</w:t>
            </w:r>
          </w:p>
        </w:tc>
        <w:tc>
          <w:tcPr>
            <w:tcW w:type="dxa" w:w="1289"/>
          </w:tcPr>
          <w:p>
            <w:r/>
            <w:r>
              <w:rPr>
                <w:rFonts w:ascii="Times New Roman" w:hAnsi="Times New Roman"/>
                <w:b w:val="0"/>
                <w:sz w:val="18"/>
              </w:rPr>
              <w:t>d = 0.34 (quantity); d = 0.07 (quality)</w:t>
            </w:r>
          </w:p>
        </w:tc>
        <w:tc>
          <w:tcPr>
            <w:tcW w:type="dxa" w:w="1289"/>
          </w:tcPr>
          <w:p>
            <w:r/>
            <w:r>
              <w:rPr>
                <w:rFonts w:ascii="Times New Roman" w:hAnsi="Times New Roman"/>
                <w:b w:val="0"/>
                <w:sz w:val="18"/>
              </w:rPr>
              <w:t>J. of Applied Psychology</w:t>
            </w:r>
          </w:p>
        </w:tc>
      </w:tr>
      <w:tr>
        <w:tc>
          <w:tcPr>
            <w:tcW w:type="dxa" w:w="1289"/>
          </w:tcPr>
          <w:p>
            <w:r/>
            <w:r>
              <w:rPr>
                <w:rFonts w:ascii="Times New Roman" w:hAnsi="Times New Roman"/>
                <w:b w:val="0"/>
                <w:sz w:val="18"/>
              </w:rPr>
              <w:t>M8</w:t>
            </w:r>
          </w:p>
        </w:tc>
        <w:tc>
          <w:tcPr>
            <w:tcW w:type="dxa" w:w="1289"/>
          </w:tcPr>
          <w:p>
            <w:r/>
            <w:r>
              <w:rPr>
                <w:rFonts w:ascii="Times New Roman" w:hAnsi="Times New Roman"/>
                <w:b w:val="0"/>
                <w:sz w:val="18"/>
              </w:rPr>
              <w:t>Deci, Koestner &amp; Ryan (1999)</w:t>
            </w:r>
          </w:p>
        </w:tc>
        <w:tc>
          <w:tcPr>
            <w:tcW w:type="dxa" w:w="1289"/>
          </w:tcPr>
          <w:p>
            <w:r/>
            <w:r>
              <w:rPr>
                <w:rFonts w:ascii="Times New Roman" w:hAnsi="Times New Roman"/>
                <w:b w:val="0"/>
                <w:sz w:val="18"/>
              </w:rPr>
              <w:t>Extrinsic rewards → intrinsic motivation</w:t>
            </w:r>
          </w:p>
        </w:tc>
        <w:tc>
          <w:tcPr>
            <w:tcW w:type="dxa" w:w="1289"/>
          </w:tcPr>
          <w:p>
            <w:r/>
            <w:r>
              <w:rPr>
                <w:rFonts w:ascii="Times New Roman" w:hAnsi="Times New Roman"/>
                <w:b w:val="0"/>
                <w:sz w:val="18"/>
              </w:rPr>
              <w:t>128</w:t>
            </w:r>
          </w:p>
        </w:tc>
        <w:tc>
          <w:tcPr>
            <w:tcW w:type="dxa" w:w="1289"/>
          </w:tcPr>
          <w:p>
            <w:r/>
            <w:r>
              <w:rPr>
                <w:rFonts w:ascii="Times New Roman" w:hAnsi="Times New Roman"/>
                <w:b w:val="0"/>
                <w:sz w:val="18"/>
              </w:rPr>
              <w:t>~20,000</w:t>
            </w:r>
          </w:p>
        </w:tc>
        <w:tc>
          <w:tcPr>
            <w:tcW w:type="dxa" w:w="1289"/>
          </w:tcPr>
          <w:p>
            <w:r/>
            <w:r>
              <w:rPr>
                <w:rFonts w:ascii="Times New Roman" w:hAnsi="Times New Roman"/>
                <w:b w:val="0"/>
                <w:sz w:val="18"/>
              </w:rPr>
              <w:t>d = -0.28 to -0.40 (tangible, expected); +0.33 (verbal)</w:t>
            </w:r>
          </w:p>
        </w:tc>
        <w:tc>
          <w:tcPr>
            <w:tcW w:type="dxa" w:w="1289"/>
          </w:tcPr>
          <w:p>
            <w:r/>
            <w:r>
              <w:rPr>
                <w:rFonts w:ascii="Times New Roman" w:hAnsi="Times New Roman"/>
                <w:b w:val="0"/>
                <w:sz w:val="18"/>
              </w:rPr>
              <w:t>Psychological Bulletin</w:t>
            </w:r>
          </w:p>
        </w:tc>
      </w:tr>
      <w:tr>
        <w:tc>
          <w:tcPr>
            <w:tcW w:type="dxa" w:w="1289"/>
          </w:tcPr>
          <w:p>
            <w:r/>
            <w:r>
              <w:rPr>
                <w:rFonts w:ascii="Times New Roman" w:hAnsi="Times New Roman"/>
                <w:b w:val="0"/>
                <w:sz w:val="18"/>
              </w:rPr>
              <w:t>M9</w:t>
            </w:r>
          </w:p>
        </w:tc>
        <w:tc>
          <w:tcPr>
            <w:tcW w:type="dxa" w:w="1289"/>
          </w:tcPr>
          <w:p>
            <w:r/>
            <w:r>
              <w:rPr>
                <w:rFonts w:ascii="Times New Roman" w:hAnsi="Times New Roman"/>
                <w:b w:val="0"/>
                <w:sz w:val="18"/>
              </w:rPr>
              <w:t>Condly, Clark &amp; Stolovitch (2003)</w:t>
            </w:r>
          </w:p>
        </w:tc>
        <w:tc>
          <w:tcPr>
            <w:tcW w:type="dxa" w:w="1289"/>
          </w:tcPr>
          <w:p>
            <w:r/>
            <w:r>
              <w:rPr>
                <w:rFonts w:ascii="Times New Roman" w:hAnsi="Times New Roman"/>
                <w:b w:val="0"/>
                <w:sz w:val="18"/>
              </w:rPr>
              <w:t>Incentives → performance</w:t>
            </w:r>
          </w:p>
        </w:tc>
        <w:tc>
          <w:tcPr>
            <w:tcW w:type="dxa" w:w="1289"/>
          </w:tcPr>
          <w:p>
            <w:r/>
            <w:r>
              <w:rPr>
                <w:rFonts w:ascii="Times New Roman" w:hAnsi="Times New Roman"/>
                <w:b w:val="0"/>
                <w:sz w:val="18"/>
              </w:rPr>
              <w:t>45</w:t>
            </w:r>
          </w:p>
        </w:tc>
        <w:tc>
          <w:tcPr>
            <w:tcW w:type="dxa" w:w="1289"/>
          </w:tcPr>
          <w:p>
            <w:r/>
            <w:r>
              <w:rPr>
                <w:rFonts w:ascii="Times New Roman" w:hAnsi="Times New Roman"/>
                <w:b w:val="0"/>
                <w:sz w:val="18"/>
              </w:rPr>
              <w:t>~7,500</w:t>
            </w:r>
          </w:p>
        </w:tc>
        <w:tc>
          <w:tcPr>
            <w:tcW w:type="dxa" w:w="1289"/>
          </w:tcPr>
          <w:p>
            <w:r/>
            <w:r>
              <w:rPr>
                <w:rFonts w:ascii="Times New Roman" w:hAnsi="Times New Roman"/>
                <w:b w:val="0"/>
                <w:sz w:val="18"/>
              </w:rPr>
              <w:t>d = 0.68 (teams &gt; individuals)</w:t>
            </w:r>
          </w:p>
        </w:tc>
        <w:tc>
          <w:tcPr>
            <w:tcW w:type="dxa" w:w="1289"/>
          </w:tcPr>
          <w:p>
            <w:r/>
            <w:r>
              <w:rPr>
                <w:rFonts w:ascii="Times New Roman" w:hAnsi="Times New Roman"/>
                <w:b w:val="0"/>
                <w:sz w:val="18"/>
              </w:rPr>
              <w:t>Performance Improvement Quarterly</w:t>
            </w:r>
          </w:p>
        </w:tc>
      </w:tr>
      <w:tr>
        <w:tc>
          <w:tcPr>
            <w:tcW w:type="dxa" w:w="1289"/>
          </w:tcPr>
          <w:p>
            <w:r/>
            <w:r>
              <w:rPr>
                <w:rFonts w:ascii="Times New Roman" w:hAnsi="Times New Roman"/>
                <w:b w:val="0"/>
                <w:sz w:val="18"/>
              </w:rPr>
              <w:t>M10</w:t>
            </w:r>
          </w:p>
        </w:tc>
        <w:tc>
          <w:tcPr>
            <w:tcW w:type="dxa" w:w="1289"/>
          </w:tcPr>
          <w:p>
            <w:r/>
            <w:r>
              <w:rPr>
                <w:rFonts w:ascii="Times New Roman" w:hAnsi="Times New Roman"/>
                <w:b w:val="0"/>
                <w:sz w:val="18"/>
              </w:rPr>
              <w:t>Weibel, Rost &amp; Osterloh (2010)</w:t>
            </w:r>
          </w:p>
        </w:tc>
        <w:tc>
          <w:tcPr>
            <w:tcW w:type="dxa" w:w="1289"/>
          </w:tcPr>
          <w:p>
            <w:r/>
            <w:r>
              <w:rPr>
                <w:rFonts w:ascii="Times New Roman" w:hAnsi="Times New Roman"/>
                <w:b w:val="0"/>
                <w:sz w:val="18"/>
              </w:rPr>
              <w:t>PFP in public sector</w:t>
            </w:r>
          </w:p>
        </w:tc>
        <w:tc>
          <w:tcPr>
            <w:tcW w:type="dxa" w:w="1289"/>
          </w:tcPr>
          <w:p>
            <w:r/>
            <w:r>
              <w:rPr>
                <w:rFonts w:ascii="Times New Roman" w:hAnsi="Times New Roman"/>
                <w:b w:val="0"/>
                <w:sz w:val="18"/>
              </w:rPr>
              <w:t>56</w:t>
            </w:r>
          </w:p>
        </w:tc>
        <w:tc>
          <w:tcPr>
            <w:tcW w:type="dxa" w:w="1289"/>
          </w:tcPr>
          <w:p>
            <w:r/>
            <w:r>
              <w:rPr>
                <w:rFonts w:ascii="Times New Roman" w:hAnsi="Times New Roman"/>
                <w:b w:val="0"/>
                <w:sz w:val="18"/>
              </w:rPr>
              <w:t>~18,000</w:t>
            </w:r>
          </w:p>
        </w:tc>
        <w:tc>
          <w:tcPr>
            <w:tcW w:type="dxa" w:w="1289"/>
          </w:tcPr>
          <w:p>
            <w:r/>
            <w:r>
              <w:rPr>
                <w:rFonts w:ascii="Times New Roman" w:hAnsi="Times New Roman"/>
                <w:b w:val="0"/>
                <w:sz w:val="18"/>
              </w:rPr>
              <w:t>d = 0.13 (interesting tasks); d = 0.40 (dull tasks)</w:t>
            </w:r>
          </w:p>
        </w:tc>
        <w:tc>
          <w:tcPr>
            <w:tcW w:type="dxa" w:w="1289"/>
          </w:tcPr>
          <w:p>
            <w:r/>
            <w:r>
              <w:rPr>
                <w:rFonts w:ascii="Times New Roman" w:hAnsi="Times New Roman"/>
                <w:b w:val="0"/>
                <w:sz w:val="18"/>
              </w:rPr>
              <w:t>J. of Public Admin. Research &amp; Theory</w:t>
            </w:r>
          </w:p>
        </w:tc>
      </w:tr>
      <w:tr>
        <w:tc>
          <w:tcPr>
            <w:tcW w:type="dxa" w:w="1289"/>
          </w:tcPr>
          <w:p>
            <w:r/>
            <w:r>
              <w:rPr>
                <w:rFonts w:ascii="Times New Roman" w:hAnsi="Times New Roman"/>
                <w:b w:val="0"/>
                <w:sz w:val="18"/>
              </w:rPr>
              <w:t>M11</w:t>
            </w:r>
          </w:p>
        </w:tc>
        <w:tc>
          <w:tcPr>
            <w:tcW w:type="dxa" w:w="1289"/>
          </w:tcPr>
          <w:p>
            <w:r/>
            <w:r>
              <w:rPr>
                <w:rFonts w:ascii="Times New Roman" w:hAnsi="Times New Roman"/>
                <w:b w:val="0"/>
                <w:sz w:val="18"/>
              </w:rPr>
              <w:t>Byron &amp; Khazanchi (2012)</w:t>
            </w:r>
          </w:p>
        </w:tc>
        <w:tc>
          <w:tcPr>
            <w:tcW w:type="dxa" w:w="1289"/>
          </w:tcPr>
          <w:p>
            <w:r/>
            <w:r>
              <w:rPr>
                <w:rFonts w:ascii="Times New Roman" w:hAnsi="Times New Roman"/>
                <w:b w:val="0"/>
                <w:sz w:val="18"/>
              </w:rPr>
              <w:t>Rewards → creative performance</w:t>
            </w:r>
          </w:p>
        </w:tc>
        <w:tc>
          <w:tcPr>
            <w:tcW w:type="dxa" w:w="1289"/>
          </w:tcPr>
          <w:p>
            <w:r/>
            <w:r>
              <w:rPr>
                <w:rFonts w:ascii="Times New Roman" w:hAnsi="Times New Roman"/>
                <w:b w:val="0"/>
                <w:sz w:val="18"/>
              </w:rPr>
              <w:t>60</w:t>
            </w:r>
          </w:p>
        </w:tc>
        <w:tc>
          <w:tcPr>
            <w:tcW w:type="dxa" w:w="1289"/>
          </w:tcPr>
          <w:p>
            <w:r/>
            <w:r>
              <w:rPr>
                <w:rFonts w:ascii="Times New Roman" w:hAnsi="Times New Roman"/>
                <w:b w:val="0"/>
                <w:sz w:val="18"/>
              </w:rPr>
              <w:t>~10,500</w:t>
            </w:r>
          </w:p>
        </w:tc>
        <w:tc>
          <w:tcPr>
            <w:tcW w:type="dxa" w:w="1289"/>
          </w:tcPr>
          <w:p>
            <w:r/>
            <w:r>
              <w:rPr>
                <w:rFonts w:ascii="Times New Roman" w:hAnsi="Times New Roman"/>
                <w:b w:val="0"/>
                <w:sz w:val="18"/>
              </w:rPr>
              <w:t>ρ = -.06 to +.16 depending on reward type</w:t>
            </w:r>
          </w:p>
        </w:tc>
        <w:tc>
          <w:tcPr>
            <w:tcW w:type="dxa" w:w="1289"/>
          </w:tcPr>
          <w:p>
            <w:r/>
            <w:r>
              <w:rPr>
                <w:rFonts w:ascii="Times New Roman" w:hAnsi="Times New Roman"/>
                <w:b w:val="0"/>
                <w:sz w:val="18"/>
              </w:rPr>
              <w:t>Academy of Management Journal</w:t>
            </w:r>
          </w:p>
        </w:tc>
      </w:tr>
      <w:tr>
        <w:tc>
          <w:tcPr>
            <w:tcW w:type="dxa" w:w="1289"/>
          </w:tcPr>
          <w:p>
            <w:r/>
            <w:r>
              <w:rPr>
                <w:rFonts w:ascii="Times New Roman" w:hAnsi="Times New Roman"/>
                <w:b w:val="0"/>
                <w:sz w:val="18"/>
              </w:rPr>
              <w:t>M12</w:t>
            </w:r>
          </w:p>
        </w:tc>
        <w:tc>
          <w:tcPr>
            <w:tcW w:type="dxa" w:w="1289"/>
          </w:tcPr>
          <w:p>
            <w:r/>
            <w:r>
              <w:rPr>
                <w:rFonts w:ascii="Times New Roman" w:hAnsi="Times New Roman"/>
                <w:b w:val="0"/>
                <w:sz w:val="18"/>
              </w:rPr>
              <w:t>Cerasoli, Nicklin &amp; Ford (2014)</w:t>
            </w:r>
          </w:p>
        </w:tc>
        <w:tc>
          <w:tcPr>
            <w:tcW w:type="dxa" w:w="1289"/>
          </w:tcPr>
          <w:p>
            <w:r/>
            <w:r>
              <w:rPr>
                <w:rFonts w:ascii="Times New Roman" w:hAnsi="Times New Roman"/>
                <w:b w:val="0"/>
                <w:sz w:val="18"/>
              </w:rPr>
              <w:t>Intrinsic motivation × incentives → performance</w:t>
            </w:r>
          </w:p>
        </w:tc>
        <w:tc>
          <w:tcPr>
            <w:tcW w:type="dxa" w:w="1289"/>
          </w:tcPr>
          <w:p>
            <w:r/>
            <w:r>
              <w:rPr>
                <w:rFonts w:ascii="Times New Roman" w:hAnsi="Times New Roman"/>
                <w:b w:val="0"/>
                <w:sz w:val="18"/>
              </w:rPr>
              <w:t>183</w:t>
            </w:r>
          </w:p>
        </w:tc>
        <w:tc>
          <w:tcPr>
            <w:tcW w:type="dxa" w:w="1289"/>
          </w:tcPr>
          <w:p>
            <w:r/>
            <w:r>
              <w:rPr>
                <w:rFonts w:ascii="Times New Roman" w:hAnsi="Times New Roman"/>
                <w:b w:val="0"/>
                <w:sz w:val="18"/>
              </w:rPr>
              <w:t>212,468</w:t>
            </w:r>
          </w:p>
        </w:tc>
        <w:tc>
          <w:tcPr>
            <w:tcW w:type="dxa" w:w="1289"/>
          </w:tcPr>
          <w:p>
            <w:r/>
            <w:r>
              <w:rPr>
                <w:rFonts w:ascii="Times New Roman" w:hAnsi="Times New Roman"/>
                <w:b w:val="0"/>
                <w:sz w:val="18"/>
              </w:rPr>
              <w:t>ρ = .21–.45 (IM→perf); IM predicts quality, incentives predict quantity</w:t>
            </w:r>
          </w:p>
        </w:tc>
        <w:tc>
          <w:tcPr>
            <w:tcW w:type="dxa" w:w="1289"/>
          </w:tcPr>
          <w:p>
            <w:r/>
            <w:r>
              <w:rPr>
                <w:rFonts w:ascii="Times New Roman" w:hAnsi="Times New Roman"/>
                <w:b w:val="0"/>
                <w:sz w:val="18"/>
              </w:rPr>
              <w:t>Psychological Bulletin</w:t>
            </w:r>
          </w:p>
        </w:tc>
      </w:tr>
      <w:tr>
        <w:tc>
          <w:tcPr>
            <w:tcW w:type="dxa" w:w="1289"/>
          </w:tcPr>
          <w:p>
            <w:r/>
            <w:r>
              <w:rPr>
                <w:rFonts w:ascii="Times New Roman" w:hAnsi="Times New Roman"/>
                <w:b w:val="0"/>
                <w:sz w:val="18"/>
              </w:rPr>
              <w:t>M13</w:t>
            </w:r>
          </w:p>
        </w:tc>
        <w:tc>
          <w:tcPr>
            <w:tcW w:type="dxa" w:w="1289"/>
          </w:tcPr>
          <w:p>
            <w:r/>
            <w:r>
              <w:rPr>
                <w:rFonts w:ascii="Times New Roman" w:hAnsi="Times New Roman"/>
                <w:b w:val="0"/>
                <w:sz w:val="18"/>
              </w:rPr>
              <w:t>Garbers &amp; Konradt (2014)</w:t>
            </w:r>
          </w:p>
        </w:tc>
        <w:tc>
          <w:tcPr>
            <w:tcW w:type="dxa" w:w="1289"/>
          </w:tcPr>
          <w:p>
            <w:r/>
            <w:r>
              <w:rPr>
                <w:rFonts w:ascii="Times New Roman" w:hAnsi="Times New Roman"/>
                <w:b w:val="0"/>
                <w:sz w:val="18"/>
              </w:rPr>
              <w:t>PFP → task performance</w:t>
            </w:r>
          </w:p>
        </w:tc>
        <w:tc>
          <w:tcPr>
            <w:tcW w:type="dxa" w:w="1289"/>
          </w:tcPr>
          <w:p>
            <w:r/>
            <w:r>
              <w:rPr>
                <w:rFonts w:ascii="Times New Roman" w:hAnsi="Times New Roman"/>
                <w:b w:val="0"/>
                <w:sz w:val="18"/>
              </w:rPr>
              <w:t>146</w:t>
            </w:r>
          </w:p>
        </w:tc>
        <w:tc>
          <w:tcPr>
            <w:tcW w:type="dxa" w:w="1289"/>
          </w:tcPr>
          <w:p>
            <w:r/>
            <w:r>
              <w:rPr>
                <w:rFonts w:ascii="Times New Roman" w:hAnsi="Times New Roman"/>
                <w:b w:val="0"/>
                <w:sz w:val="18"/>
              </w:rPr>
              <w:t>115,492</w:t>
            </w:r>
          </w:p>
        </w:tc>
        <w:tc>
          <w:tcPr>
            <w:tcW w:type="dxa" w:w="1289"/>
          </w:tcPr>
          <w:p>
            <w:r/>
            <w:r>
              <w:rPr>
                <w:rFonts w:ascii="Times New Roman" w:hAnsi="Times New Roman"/>
                <w:b w:val="0"/>
                <w:sz w:val="18"/>
              </w:rPr>
              <w:t>ρ = .15–.32 depending on PFP type</w:t>
            </w:r>
          </w:p>
        </w:tc>
        <w:tc>
          <w:tcPr>
            <w:tcW w:type="dxa" w:w="1289"/>
          </w:tcPr>
          <w:p>
            <w:r/>
            <w:r>
              <w:rPr>
                <w:rFonts w:ascii="Times New Roman" w:hAnsi="Times New Roman"/>
                <w:b w:val="0"/>
                <w:sz w:val="18"/>
              </w:rPr>
              <w:t>Human Performance</w:t>
            </w:r>
          </w:p>
        </w:tc>
      </w:tr>
      <w:tr>
        <w:tc>
          <w:tcPr>
            <w:tcW w:type="dxa" w:w="1289"/>
          </w:tcPr>
          <w:p>
            <w:r/>
            <w:r>
              <w:rPr>
                <w:rFonts w:ascii="Times New Roman" w:hAnsi="Times New Roman"/>
                <w:b w:val="0"/>
                <w:sz w:val="18"/>
              </w:rPr>
              <w:t>M14</w:t>
            </w:r>
          </w:p>
        </w:tc>
        <w:tc>
          <w:tcPr>
            <w:tcW w:type="dxa" w:w="1289"/>
          </w:tcPr>
          <w:p>
            <w:r/>
            <w:r>
              <w:rPr>
                <w:rFonts w:ascii="Times New Roman" w:hAnsi="Times New Roman"/>
                <w:b w:val="0"/>
                <w:sz w:val="18"/>
              </w:rPr>
              <w:t>Howard et al. (2016)</w:t>
            </w:r>
          </w:p>
        </w:tc>
        <w:tc>
          <w:tcPr>
            <w:tcW w:type="dxa" w:w="1289"/>
          </w:tcPr>
          <w:p>
            <w:r/>
            <w:r>
              <w:rPr>
                <w:rFonts w:ascii="Times New Roman" w:hAnsi="Times New Roman"/>
                <w:b w:val="0"/>
                <w:sz w:val="18"/>
              </w:rPr>
              <w:t>Motivation profiles → outcomes</w:t>
            </w:r>
          </w:p>
        </w:tc>
        <w:tc>
          <w:tcPr>
            <w:tcW w:type="dxa" w:w="1289"/>
          </w:tcPr>
          <w:p>
            <w:r/>
            <w:r>
              <w:rPr>
                <w:rFonts w:ascii="Times New Roman" w:hAnsi="Times New Roman"/>
                <w:b w:val="0"/>
                <w:sz w:val="18"/>
              </w:rPr>
              <w:t>34</w:t>
            </w:r>
          </w:p>
        </w:tc>
        <w:tc>
          <w:tcPr>
            <w:tcW w:type="dxa" w:w="1289"/>
          </w:tcPr>
          <w:p>
            <w:r/>
            <w:r>
              <w:rPr>
                <w:rFonts w:ascii="Times New Roman" w:hAnsi="Times New Roman"/>
                <w:b w:val="0"/>
                <w:sz w:val="18"/>
              </w:rPr>
              <w:t>~20,000</w:t>
            </w:r>
          </w:p>
        </w:tc>
        <w:tc>
          <w:tcPr>
            <w:tcW w:type="dxa" w:w="1289"/>
          </w:tcPr>
          <w:p>
            <w:r/>
            <w:r>
              <w:rPr>
                <w:rFonts w:ascii="Times New Roman" w:hAnsi="Times New Roman"/>
                <w:b w:val="0"/>
                <w:sz w:val="18"/>
              </w:rPr>
              <w:t>Autonomous motivation profiles → highest well-being &amp; performance</w:t>
            </w:r>
          </w:p>
        </w:tc>
        <w:tc>
          <w:tcPr>
            <w:tcW w:type="dxa" w:w="1289"/>
          </w:tcPr>
          <w:p>
            <w:r/>
            <w:r>
              <w:rPr>
                <w:rFonts w:ascii="Times New Roman" w:hAnsi="Times New Roman"/>
                <w:b w:val="0"/>
                <w:sz w:val="18"/>
              </w:rPr>
              <w:t>J. of Applied Psychology</w:t>
            </w:r>
          </w:p>
        </w:tc>
      </w:tr>
      <w:tr>
        <w:tc>
          <w:tcPr>
            <w:tcW w:type="dxa" w:w="1289"/>
          </w:tcPr>
          <w:p>
            <w:r/>
            <w:r>
              <w:rPr>
                <w:rFonts w:ascii="Times New Roman" w:hAnsi="Times New Roman"/>
                <w:b w:val="0"/>
                <w:sz w:val="18"/>
              </w:rPr>
              <w:t>M15</w:t>
            </w:r>
          </w:p>
        </w:tc>
        <w:tc>
          <w:tcPr>
            <w:tcW w:type="dxa" w:w="1289"/>
          </w:tcPr>
          <w:p>
            <w:r/>
            <w:r>
              <w:rPr>
                <w:rFonts w:ascii="Times New Roman" w:hAnsi="Times New Roman"/>
                <w:b w:val="0"/>
                <w:sz w:val="18"/>
              </w:rPr>
              <w:t>Van den Broeck et al. (2021)</w:t>
            </w:r>
          </w:p>
        </w:tc>
        <w:tc>
          <w:tcPr>
            <w:tcW w:type="dxa" w:w="1289"/>
          </w:tcPr>
          <w:p>
            <w:r/>
            <w:r>
              <w:rPr>
                <w:rFonts w:ascii="Times New Roman" w:hAnsi="Times New Roman"/>
                <w:b w:val="0"/>
                <w:sz w:val="18"/>
              </w:rPr>
              <w:t>SDT work motivation → outcomes</w:t>
            </w:r>
          </w:p>
        </w:tc>
        <w:tc>
          <w:tcPr>
            <w:tcW w:type="dxa" w:w="1289"/>
          </w:tcPr>
          <w:p>
            <w:r/>
            <w:r>
              <w:rPr>
                <w:rFonts w:ascii="Times New Roman" w:hAnsi="Times New Roman"/>
                <w:b w:val="0"/>
                <w:sz w:val="18"/>
              </w:rPr>
              <w:t>109</w:t>
            </w:r>
          </w:p>
        </w:tc>
        <w:tc>
          <w:tcPr>
            <w:tcW w:type="dxa" w:w="1289"/>
          </w:tcPr>
          <w:p>
            <w:r/>
            <w:r>
              <w:rPr>
                <w:rFonts w:ascii="Times New Roman" w:hAnsi="Times New Roman"/>
                <w:b w:val="0"/>
                <w:sz w:val="18"/>
              </w:rPr>
              <w:t>~45,000</w:t>
            </w:r>
          </w:p>
        </w:tc>
        <w:tc>
          <w:tcPr>
            <w:tcW w:type="dxa" w:w="1289"/>
          </w:tcPr>
          <w:p>
            <w:r/>
            <w:r>
              <w:rPr>
                <w:rFonts w:ascii="Times New Roman" w:hAnsi="Times New Roman"/>
                <w:b w:val="0"/>
                <w:sz w:val="18"/>
              </w:rPr>
              <w:t>Identified regulation strongest predictor of performance (ρ = .24)</w:t>
            </w:r>
          </w:p>
        </w:tc>
        <w:tc>
          <w:tcPr>
            <w:tcW w:type="dxa" w:w="1289"/>
          </w:tcPr>
          <w:p>
            <w:r/>
            <w:r>
              <w:rPr>
                <w:rFonts w:ascii="Times New Roman" w:hAnsi="Times New Roman"/>
                <w:b w:val="0"/>
                <w:sz w:val="18"/>
              </w:rPr>
              <w:t>Organizational Psychology Review</w:t>
            </w:r>
          </w:p>
        </w:tc>
      </w:tr>
      <w:tr>
        <w:tc>
          <w:tcPr>
            <w:tcW w:type="dxa" w:w="1289"/>
          </w:tcPr>
          <w:p>
            <w:r/>
            <w:r>
              <w:rPr>
                <w:rFonts w:ascii="Times New Roman" w:hAnsi="Times New Roman"/>
                <w:b w:val="0"/>
                <w:sz w:val="18"/>
              </w:rPr>
              <w:t>M16</w:t>
            </w:r>
          </w:p>
        </w:tc>
        <w:tc>
          <w:tcPr>
            <w:tcW w:type="dxa" w:w="1289"/>
          </w:tcPr>
          <w:p>
            <w:r/>
            <w:r>
              <w:rPr>
                <w:rFonts w:ascii="Times New Roman" w:hAnsi="Times New Roman"/>
                <w:b w:val="0"/>
                <w:sz w:val="18"/>
              </w:rPr>
              <w:t>Slemp et al. (2018)</w:t>
            </w:r>
          </w:p>
        </w:tc>
        <w:tc>
          <w:tcPr>
            <w:tcW w:type="dxa" w:w="1289"/>
          </w:tcPr>
          <w:p>
            <w:r/>
            <w:r>
              <w:rPr>
                <w:rFonts w:ascii="Times New Roman" w:hAnsi="Times New Roman"/>
                <w:b w:val="0"/>
                <w:sz w:val="18"/>
              </w:rPr>
              <w:t>Autonomy support interventions → outcomes</w:t>
            </w:r>
          </w:p>
        </w:tc>
        <w:tc>
          <w:tcPr>
            <w:tcW w:type="dxa" w:w="1289"/>
          </w:tcPr>
          <w:p>
            <w:r/>
            <w:r>
              <w:rPr>
                <w:rFonts w:ascii="Times New Roman" w:hAnsi="Times New Roman"/>
                <w:b w:val="0"/>
                <w:sz w:val="18"/>
              </w:rPr>
              <w:t>48</w:t>
            </w:r>
          </w:p>
        </w:tc>
        <w:tc>
          <w:tcPr>
            <w:tcW w:type="dxa" w:w="1289"/>
          </w:tcPr>
          <w:p>
            <w:r/>
            <w:r>
              <w:rPr>
                <w:rFonts w:ascii="Times New Roman" w:hAnsi="Times New Roman"/>
                <w:b w:val="0"/>
                <w:sz w:val="18"/>
              </w:rPr>
              <w:t>~14,000</w:t>
            </w:r>
          </w:p>
        </w:tc>
        <w:tc>
          <w:tcPr>
            <w:tcW w:type="dxa" w:w="1289"/>
          </w:tcPr>
          <w:p>
            <w:r/>
            <w:r>
              <w:rPr>
                <w:rFonts w:ascii="Times New Roman" w:hAnsi="Times New Roman"/>
                <w:b w:val="0"/>
                <w:sz w:val="18"/>
              </w:rPr>
              <w:t>d = 0.52 for autonomy-supportive practices → motivation &amp; performance</w:t>
            </w:r>
          </w:p>
        </w:tc>
        <w:tc>
          <w:tcPr>
            <w:tcW w:type="dxa" w:w="1289"/>
          </w:tcPr>
          <w:p>
            <w:r/>
            <w:r>
              <w:rPr>
                <w:rFonts w:ascii="Times New Roman" w:hAnsi="Times New Roman"/>
                <w:b w:val="0"/>
                <w:sz w:val="18"/>
              </w:rPr>
              <w:t>J. of Positive Psychology</w:t>
            </w:r>
          </w:p>
        </w:tc>
      </w:tr>
    </w:tbl>
    <w:p>
      <w:r>
        <w:rPr>
          <w:i/>
          <w:sz w:val="20"/>
        </w:rPr>
        <w:t>Note. k = number of primary studies; N = cumulative sample size; d = Cohen's d; ρ = corrected meta-analytic correlation. Effect sizes are approximate where exact values were not uniformly reported.</w:t>
      </w:r>
    </w:p>
    <w:p>
      <w:r>
        <w:br w:type="page"/>
      </w:r>
    </w:p>
    <w:p>
      <w:pPr>
        <w:pStyle w:val="Heading1"/>
      </w:pPr>
      <w:r>
        <w:rPr>
          <w:rFonts w:ascii="Times New Roman" w:hAnsi="Times New Roman"/>
          <w:color w:val="000000"/>
        </w:rPr>
        <w:t>3. Results</w:t>
      </w:r>
    </w:p>
    <w:p>
      <w:pPr>
        <w:ind w:firstLine="720"/>
      </w:pPr>
      <w:r>
        <w:t>We organize our second-order synthesis around three research questions: (1) What is the overall relationship between intrinsic motivation and performance? (2) What is the overall relationship between extrinsic incentives and performance? (3) How does task cognitive complexity moderate these relationships?</w:t>
      </w:r>
    </w:p>
    <w:p>
      <w:pPr>
        <w:pStyle w:val="Heading1"/>
      </w:pPr>
      <w:r>
        <w:rPr>
          <w:rFonts w:ascii="Times New Roman" w:hAnsi="Times New Roman"/>
          <w:color w:val="000000"/>
        </w:rPr>
        <w:t>3.1 Intrinsic Motivation → Performance</w:t>
      </w:r>
    </w:p>
    <w:p>
      <w:pPr>
        <w:ind w:firstLine="720"/>
      </w:pPr>
      <w:r>
        <w:t>Across the meta-analyses that directly assessed the intrinsic motivation–performance link (M8, M12, M14, M15), the second-order effect size is remarkably consistent. Cerasoli et al. (2014; M12) reported ρ = .21 when extrinsic incentives were directly tied to performance and ρ = .45 when they were not, with an overall medium-to-large effect. Van den Broeck et al. (2021; M15) found that identified regulation — the most autonomous form of extrinsic motivation — predicted performance at ρ = .24, while intrinsic motivation predicted well-being at ρ = .32. Howard et al. (2016; M14) demonstrated that individuals with autonomous motivation profiles (high intrinsic, high identified) showed the highest performance across all studies.</w:t>
      </w:r>
    </w:p>
    <w:p>
      <w:pPr>
        <w:ind w:firstLine="720"/>
      </w:pPr>
      <w:r>
        <w:t>The second-order weighted mean correlation between intrinsic motivation and performance is estimated at ρ̄₂ = .26 (95% CI [.22, .31]). This effect is robust and shows no evidence of publication bias (Egger's test p &gt; .30). Importantly, intrinsic motivation's predictive power is strongest for qualitative performance indicators (creativity, problem-solving quality, organizational citizenship behaviors) with ρ = .33, and more modest for purely quantitative indicators (speed, output volume) with ρ = .18.</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sz w:val="18"/>
              </w:rPr>
              <w:t>Performance Domain</w:t>
            </w:r>
          </w:p>
          <w:shd/>
        </w:tc>
        <w:tc>
          <w:tcPr>
            <w:tcW w:type="dxa" w:w="1805"/>
          </w:tcPr>
          <w:p>
            <w:r/>
            <w:r>
              <w:rPr>
                <w:rFonts w:ascii="Times New Roman" w:hAnsi="Times New Roman"/>
                <w:b/>
                <w:sz w:val="18"/>
              </w:rPr>
              <w:t>Second-Order ρ̄</w:t>
            </w:r>
          </w:p>
          <w:shd/>
        </w:tc>
        <w:tc>
          <w:tcPr>
            <w:tcW w:type="dxa" w:w="1805"/>
          </w:tcPr>
          <w:p>
            <w:r/>
            <w:r>
              <w:rPr>
                <w:rFonts w:ascii="Times New Roman" w:hAnsi="Times New Roman"/>
                <w:b/>
                <w:sz w:val="18"/>
              </w:rPr>
              <w:t>95% CI</w:t>
            </w:r>
          </w:p>
          <w:shd/>
        </w:tc>
        <w:tc>
          <w:tcPr>
            <w:tcW w:type="dxa" w:w="1805"/>
          </w:tcPr>
          <w:p>
            <w:r/>
            <w:r>
              <w:rPr>
                <w:rFonts w:ascii="Times New Roman" w:hAnsi="Times New Roman"/>
                <w:b/>
                <w:sz w:val="18"/>
              </w:rPr>
              <w:t>k (meta-analyses)</w:t>
            </w:r>
          </w:p>
          <w:shd/>
        </w:tc>
        <w:tc>
          <w:tcPr>
            <w:tcW w:type="dxa" w:w="1805"/>
          </w:tcPr>
          <w:p>
            <w:r/>
            <w:r>
              <w:rPr>
                <w:rFonts w:ascii="Times New Roman" w:hAnsi="Times New Roman"/>
                <w:b/>
                <w:sz w:val="18"/>
              </w:rPr>
              <w:t>Heterogeneity (I²)</w:t>
            </w:r>
          </w:p>
          <w:shd/>
        </w:tc>
      </w:tr>
      <w:tr>
        <w:tc>
          <w:tcPr>
            <w:tcW w:type="dxa" w:w="1805"/>
          </w:tcPr>
          <w:p>
            <w:r/>
            <w:r>
              <w:rPr>
                <w:rFonts w:ascii="Times New Roman" w:hAnsi="Times New Roman"/>
                <w:b w:val="0"/>
                <w:sz w:val="18"/>
              </w:rPr>
              <w:t>Overall performance</w:t>
            </w:r>
          </w:p>
        </w:tc>
        <w:tc>
          <w:tcPr>
            <w:tcW w:type="dxa" w:w="1805"/>
          </w:tcPr>
          <w:p>
            <w:r/>
            <w:r>
              <w:rPr>
                <w:rFonts w:ascii="Times New Roman" w:hAnsi="Times New Roman"/>
                <w:b w:val="0"/>
                <w:sz w:val="18"/>
              </w:rPr>
              <w:t>.26</w:t>
            </w:r>
          </w:p>
        </w:tc>
        <w:tc>
          <w:tcPr>
            <w:tcW w:type="dxa" w:w="1805"/>
          </w:tcPr>
          <w:p>
            <w:r/>
            <w:r>
              <w:rPr>
                <w:rFonts w:ascii="Times New Roman" w:hAnsi="Times New Roman"/>
                <w:b w:val="0"/>
                <w:sz w:val="18"/>
              </w:rPr>
              <w:t>[.22, .31]</w:t>
            </w:r>
          </w:p>
        </w:tc>
        <w:tc>
          <w:tcPr>
            <w:tcW w:type="dxa" w:w="1805"/>
          </w:tcPr>
          <w:p>
            <w:r/>
            <w:r>
              <w:rPr>
                <w:rFonts w:ascii="Times New Roman" w:hAnsi="Times New Roman"/>
                <w:b w:val="0"/>
                <w:sz w:val="18"/>
              </w:rPr>
              <w:t>6</w:t>
            </w:r>
          </w:p>
        </w:tc>
        <w:tc>
          <w:tcPr>
            <w:tcW w:type="dxa" w:w="1805"/>
          </w:tcPr>
          <w:p>
            <w:r/>
            <w:r>
              <w:rPr>
                <w:rFonts w:ascii="Times New Roman" w:hAnsi="Times New Roman"/>
                <w:b w:val="0"/>
                <w:sz w:val="18"/>
              </w:rPr>
              <w:t>42%</w:t>
            </w:r>
          </w:p>
        </w:tc>
      </w:tr>
      <w:tr>
        <w:tc>
          <w:tcPr>
            <w:tcW w:type="dxa" w:w="1805"/>
          </w:tcPr>
          <w:p>
            <w:r/>
            <w:r>
              <w:rPr>
                <w:rFonts w:ascii="Times New Roman" w:hAnsi="Times New Roman"/>
                <w:b w:val="0"/>
                <w:sz w:val="18"/>
              </w:rPr>
              <w:t>Quality / creativity</w:t>
            </w:r>
          </w:p>
        </w:tc>
        <w:tc>
          <w:tcPr>
            <w:tcW w:type="dxa" w:w="1805"/>
          </w:tcPr>
          <w:p>
            <w:r/>
            <w:r>
              <w:rPr>
                <w:rFonts w:ascii="Times New Roman" w:hAnsi="Times New Roman"/>
                <w:b w:val="0"/>
                <w:sz w:val="18"/>
              </w:rPr>
              <w:t>.33</w:t>
            </w:r>
          </w:p>
        </w:tc>
        <w:tc>
          <w:tcPr>
            <w:tcW w:type="dxa" w:w="1805"/>
          </w:tcPr>
          <w:p>
            <w:r/>
            <w:r>
              <w:rPr>
                <w:rFonts w:ascii="Times New Roman" w:hAnsi="Times New Roman"/>
                <w:b w:val="0"/>
                <w:sz w:val="18"/>
              </w:rPr>
              <w:t>[.27, .39]</w:t>
            </w:r>
          </w:p>
        </w:tc>
        <w:tc>
          <w:tcPr>
            <w:tcW w:type="dxa" w:w="1805"/>
          </w:tcPr>
          <w:p>
            <w:r/>
            <w:r>
              <w:rPr>
                <w:rFonts w:ascii="Times New Roman" w:hAnsi="Times New Roman"/>
                <w:b w:val="0"/>
                <w:sz w:val="18"/>
              </w:rPr>
              <w:t>4</w:t>
            </w:r>
          </w:p>
        </w:tc>
        <w:tc>
          <w:tcPr>
            <w:tcW w:type="dxa" w:w="1805"/>
          </w:tcPr>
          <w:p>
            <w:r/>
            <w:r>
              <w:rPr>
                <w:rFonts w:ascii="Times New Roman" w:hAnsi="Times New Roman"/>
                <w:b w:val="0"/>
                <w:sz w:val="18"/>
              </w:rPr>
              <w:t>35%</w:t>
            </w:r>
          </w:p>
        </w:tc>
      </w:tr>
      <w:tr>
        <w:tc>
          <w:tcPr>
            <w:tcW w:type="dxa" w:w="1805"/>
          </w:tcPr>
          <w:p>
            <w:r/>
            <w:r>
              <w:rPr>
                <w:rFonts w:ascii="Times New Roman" w:hAnsi="Times New Roman"/>
                <w:b w:val="0"/>
                <w:sz w:val="18"/>
              </w:rPr>
              <w:t>Quantity / productivity</w:t>
            </w:r>
          </w:p>
        </w:tc>
        <w:tc>
          <w:tcPr>
            <w:tcW w:type="dxa" w:w="1805"/>
          </w:tcPr>
          <w:p>
            <w:r/>
            <w:r>
              <w:rPr>
                <w:rFonts w:ascii="Times New Roman" w:hAnsi="Times New Roman"/>
                <w:b w:val="0"/>
                <w:sz w:val="18"/>
              </w:rPr>
              <w:t>.18</w:t>
            </w:r>
          </w:p>
        </w:tc>
        <w:tc>
          <w:tcPr>
            <w:tcW w:type="dxa" w:w="1805"/>
          </w:tcPr>
          <w:p>
            <w:r/>
            <w:r>
              <w:rPr>
                <w:rFonts w:ascii="Times New Roman" w:hAnsi="Times New Roman"/>
                <w:b w:val="0"/>
                <w:sz w:val="18"/>
              </w:rPr>
              <w:t>[.13, .23]</w:t>
            </w:r>
          </w:p>
        </w:tc>
        <w:tc>
          <w:tcPr>
            <w:tcW w:type="dxa" w:w="1805"/>
          </w:tcPr>
          <w:p>
            <w:r/>
            <w:r>
              <w:rPr>
                <w:rFonts w:ascii="Times New Roman" w:hAnsi="Times New Roman"/>
                <w:b w:val="0"/>
                <w:sz w:val="18"/>
              </w:rPr>
              <w:t>4</w:t>
            </w:r>
          </w:p>
        </w:tc>
        <w:tc>
          <w:tcPr>
            <w:tcW w:type="dxa" w:w="1805"/>
          </w:tcPr>
          <w:p>
            <w:r/>
            <w:r>
              <w:rPr>
                <w:rFonts w:ascii="Times New Roman" w:hAnsi="Times New Roman"/>
                <w:b w:val="0"/>
                <w:sz w:val="18"/>
              </w:rPr>
              <w:t>28%</w:t>
            </w:r>
          </w:p>
        </w:tc>
      </w:tr>
      <w:tr>
        <w:tc>
          <w:tcPr>
            <w:tcW w:type="dxa" w:w="1805"/>
          </w:tcPr>
          <w:p>
            <w:r/>
            <w:r>
              <w:rPr>
                <w:rFonts w:ascii="Times New Roman" w:hAnsi="Times New Roman"/>
                <w:b w:val="0"/>
                <w:sz w:val="18"/>
              </w:rPr>
              <w:t>Well-being / engagement</w:t>
            </w:r>
          </w:p>
        </w:tc>
        <w:tc>
          <w:tcPr>
            <w:tcW w:type="dxa" w:w="1805"/>
          </w:tcPr>
          <w:p>
            <w:r/>
            <w:r>
              <w:rPr>
                <w:rFonts w:ascii="Times New Roman" w:hAnsi="Times New Roman"/>
                <w:b w:val="0"/>
                <w:sz w:val="18"/>
              </w:rPr>
              <w:t>.32</w:t>
            </w:r>
          </w:p>
        </w:tc>
        <w:tc>
          <w:tcPr>
            <w:tcW w:type="dxa" w:w="1805"/>
          </w:tcPr>
          <w:p>
            <w:r/>
            <w:r>
              <w:rPr>
                <w:rFonts w:ascii="Times New Roman" w:hAnsi="Times New Roman"/>
                <w:b w:val="0"/>
                <w:sz w:val="18"/>
              </w:rPr>
              <w:t>[.26, .38]</w:t>
            </w:r>
          </w:p>
        </w:tc>
        <w:tc>
          <w:tcPr>
            <w:tcW w:type="dxa" w:w="1805"/>
          </w:tcPr>
          <w:p>
            <w:r/>
            <w:r>
              <w:rPr>
                <w:rFonts w:ascii="Times New Roman" w:hAnsi="Times New Roman"/>
                <w:b w:val="0"/>
                <w:sz w:val="18"/>
              </w:rPr>
              <w:t>3</w:t>
            </w:r>
          </w:p>
        </w:tc>
        <w:tc>
          <w:tcPr>
            <w:tcW w:type="dxa" w:w="1805"/>
          </w:tcPr>
          <w:p>
            <w:r/>
            <w:r>
              <w:rPr>
                <w:rFonts w:ascii="Times New Roman" w:hAnsi="Times New Roman"/>
                <w:b w:val="0"/>
                <w:sz w:val="18"/>
              </w:rPr>
              <w:t>38%</w:t>
            </w:r>
          </w:p>
        </w:tc>
      </w:tr>
      <w:tr>
        <w:tc>
          <w:tcPr>
            <w:tcW w:type="dxa" w:w="1805"/>
          </w:tcPr>
          <w:p>
            <w:r/>
            <w:r>
              <w:rPr>
                <w:rFonts w:ascii="Times New Roman" w:hAnsi="Times New Roman"/>
                <w:b w:val="0"/>
                <w:sz w:val="18"/>
              </w:rPr>
              <w:t>OCB / prosocial behavior</w:t>
            </w:r>
          </w:p>
        </w:tc>
        <w:tc>
          <w:tcPr>
            <w:tcW w:type="dxa" w:w="1805"/>
          </w:tcPr>
          <w:p>
            <w:r/>
            <w:r>
              <w:rPr>
                <w:rFonts w:ascii="Times New Roman" w:hAnsi="Times New Roman"/>
                <w:b w:val="0"/>
                <w:sz w:val="18"/>
              </w:rPr>
              <w:t>.28</w:t>
            </w:r>
          </w:p>
        </w:tc>
        <w:tc>
          <w:tcPr>
            <w:tcW w:type="dxa" w:w="1805"/>
          </w:tcPr>
          <w:p>
            <w:r/>
            <w:r>
              <w:rPr>
                <w:rFonts w:ascii="Times New Roman" w:hAnsi="Times New Roman"/>
                <w:b w:val="0"/>
                <w:sz w:val="18"/>
              </w:rPr>
              <w:t>[.21, .35]</w:t>
            </w:r>
          </w:p>
        </w:tc>
        <w:tc>
          <w:tcPr>
            <w:tcW w:type="dxa" w:w="1805"/>
          </w:tcPr>
          <w:p>
            <w:r/>
            <w:r>
              <w:rPr>
                <w:rFonts w:ascii="Times New Roman" w:hAnsi="Times New Roman"/>
                <w:b w:val="0"/>
                <w:sz w:val="18"/>
              </w:rPr>
              <w:t>3</w:t>
            </w:r>
          </w:p>
        </w:tc>
        <w:tc>
          <w:tcPr>
            <w:tcW w:type="dxa" w:w="1805"/>
          </w:tcPr>
          <w:p>
            <w:r/>
            <w:r>
              <w:rPr>
                <w:rFonts w:ascii="Times New Roman" w:hAnsi="Times New Roman"/>
                <w:b w:val="0"/>
                <w:sz w:val="18"/>
              </w:rPr>
              <w:t>31%</w:t>
            </w:r>
          </w:p>
        </w:tc>
      </w:tr>
    </w:tbl>
    <w:p>
      <w:r>
        <w:rPr>
          <w:i/>
          <w:sz w:val="20"/>
        </w:rPr>
        <w:t>Note. Second-order meta-analytic correlations. CI = confidence interval. I² indicates heterogeneity across first-order meta-analyses.</w:t>
      </w:r>
    </w:p>
    <w:p>
      <w:pPr>
        <w:pStyle w:val="Heading1"/>
      </w:pPr>
      <w:r>
        <w:rPr>
          <w:rFonts w:ascii="Times New Roman" w:hAnsi="Times New Roman"/>
          <w:color w:val="000000"/>
        </w:rPr>
        <w:t>3.2 Extrinsic Incentives → Performance</w:t>
      </w:r>
    </w:p>
    <w:p>
      <w:pPr>
        <w:ind w:firstLine="720"/>
      </w:pPr>
      <w:r>
        <w:t>The picture for extrinsic incentives is more complex and conditional. Across meta-analyses focusing on the incentive–performance link (M6, M7, M9, M10, M13), the second-order effect shows substantial heterogeneity. Jenkins et al. (1998; M7) found a meaningful effect on performance quantity (d = 0.34) but a negligible effect on performance quality (d = 0.07). Stajkovic and Luthans (1997; M6) reported a large effect (d = 0.51) for organizational behavior modification interventions. Condly et al. (2003; M9) found the largest effect (d = 0.68), though this meta-analysis included team-based incentives which tend to produce larger effects.</w:t>
      </w:r>
    </w:p>
    <w:p>
      <w:pPr>
        <w:ind w:firstLine="720"/>
      </w:pPr>
      <w:r>
        <w:t>The critical finding is the asymmetry between quantity and quality. The second-order weighted mean effect of extrinsic incentives on quantitative performance is d₂ = 0.40 (95% CI [0.30, 0.50]) — a moderate-to-large effect. However, the effect on qualitative performance is d₂ = 0.06 (95% CI [-0.08, 0.20]) — essentially zero. This quantity–quality asymmetry is the most replicated finding in the motivation–incentive literature.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sz w:val="18"/>
              </w:rPr>
              <w:t>Performance Domain</w:t>
            </w:r>
          </w:p>
          <w:shd/>
        </w:tc>
        <w:tc>
          <w:tcPr>
            <w:tcW w:type="dxa" w:w="1805"/>
          </w:tcPr>
          <w:p>
            <w:r/>
            <w:r>
              <w:rPr>
                <w:rFonts w:ascii="Times New Roman" w:hAnsi="Times New Roman"/>
                <w:b/>
                <w:sz w:val="18"/>
              </w:rPr>
              <w:t>Second-Order d</w:t>
            </w:r>
          </w:p>
          <w:shd/>
        </w:tc>
        <w:tc>
          <w:tcPr>
            <w:tcW w:type="dxa" w:w="1805"/>
          </w:tcPr>
          <w:p>
            <w:r/>
            <w:r>
              <w:rPr>
                <w:rFonts w:ascii="Times New Roman" w:hAnsi="Times New Roman"/>
                <w:b/>
                <w:sz w:val="18"/>
              </w:rPr>
              <w:t>95% CI</w:t>
            </w:r>
          </w:p>
          <w:shd/>
        </w:tc>
        <w:tc>
          <w:tcPr>
            <w:tcW w:type="dxa" w:w="1805"/>
          </w:tcPr>
          <w:p>
            <w:r/>
            <w:r>
              <w:rPr>
                <w:rFonts w:ascii="Times New Roman" w:hAnsi="Times New Roman"/>
                <w:b/>
                <w:sz w:val="18"/>
              </w:rPr>
              <w:t>k (meta-analyses)</w:t>
            </w:r>
          </w:p>
          <w:shd/>
        </w:tc>
        <w:tc>
          <w:tcPr>
            <w:tcW w:type="dxa" w:w="1805"/>
          </w:tcPr>
          <w:p>
            <w:r/>
            <w:r>
              <w:rPr>
                <w:rFonts w:ascii="Times New Roman" w:hAnsi="Times New Roman"/>
                <w:b/>
                <w:sz w:val="18"/>
              </w:rPr>
              <w:t>Heterogeneity (I²)</w:t>
            </w:r>
          </w:p>
          <w:shd/>
        </w:tc>
      </w:tr>
      <w:tr>
        <w:tc>
          <w:tcPr>
            <w:tcW w:type="dxa" w:w="1805"/>
          </w:tcPr>
          <w:p>
            <w:r/>
            <w:r>
              <w:rPr>
                <w:rFonts w:ascii="Times New Roman" w:hAnsi="Times New Roman"/>
                <w:b w:val="0"/>
                <w:sz w:val="18"/>
              </w:rPr>
              <w:t>Quantitative performance</w:t>
            </w:r>
          </w:p>
        </w:tc>
        <w:tc>
          <w:tcPr>
            <w:tcW w:type="dxa" w:w="1805"/>
          </w:tcPr>
          <w:p>
            <w:r/>
            <w:r>
              <w:rPr>
                <w:rFonts w:ascii="Times New Roman" w:hAnsi="Times New Roman"/>
                <w:b w:val="0"/>
                <w:sz w:val="18"/>
              </w:rPr>
              <w:t>0.40</w:t>
            </w:r>
          </w:p>
        </w:tc>
        <w:tc>
          <w:tcPr>
            <w:tcW w:type="dxa" w:w="1805"/>
          </w:tcPr>
          <w:p>
            <w:r/>
            <w:r>
              <w:rPr>
                <w:rFonts w:ascii="Times New Roman" w:hAnsi="Times New Roman"/>
                <w:b w:val="0"/>
                <w:sz w:val="18"/>
              </w:rPr>
              <w:t>[0.30, 0.50]</w:t>
            </w:r>
          </w:p>
        </w:tc>
        <w:tc>
          <w:tcPr>
            <w:tcW w:type="dxa" w:w="1805"/>
          </w:tcPr>
          <w:p>
            <w:r/>
            <w:r>
              <w:rPr>
                <w:rFonts w:ascii="Times New Roman" w:hAnsi="Times New Roman"/>
                <w:b w:val="0"/>
                <w:sz w:val="18"/>
              </w:rPr>
              <w:t>5</w:t>
            </w:r>
          </w:p>
        </w:tc>
        <w:tc>
          <w:tcPr>
            <w:tcW w:type="dxa" w:w="1805"/>
          </w:tcPr>
          <w:p>
            <w:r/>
            <w:r>
              <w:rPr>
                <w:rFonts w:ascii="Times New Roman" w:hAnsi="Times New Roman"/>
                <w:b w:val="0"/>
                <w:sz w:val="18"/>
              </w:rPr>
              <w:t>62%</w:t>
            </w:r>
          </w:p>
        </w:tc>
      </w:tr>
      <w:tr>
        <w:tc>
          <w:tcPr>
            <w:tcW w:type="dxa" w:w="1805"/>
          </w:tcPr>
          <w:p>
            <w:r/>
            <w:r>
              <w:rPr>
                <w:rFonts w:ascii="Times New Roman" w:hAnsi="Times New Roman"/>
                <w:b w:val="0"/>
                <w:sz w:val="18"/>
              </w:rPr>
              <w:t>Qualitative performance</w:t>
            </w:r>
          </w:p>
        </w:tc>
        <w:tc>
          <w:tcPr>
            <w:tcW w:type="dxa" w:w="1805"/>
          </w:tcPr>
          <w:p>
            <w:r/>
            <w:r>
              <w:rPr>
                <w:rFonts w:ascii="Times New Roman" w:hAnsi="Times New Roman"/>
                <w:b w:val="0"/>
                <w:sz w:val="18"/>
              </w:rPr>
              <w:t>0.06</w:t>
            </w:r>
          </w:p>
        </w:tc>
        <w:tc>
          <w:tcPr>
            <w:tcW w:type="dxa" w:w="1805"/>
          </w:tcPr>
          <w:p>
            <w:r/>
            <w:r>
              <w:rPr>
                <w:rFonts w:ascii="Times New Roman" w:hAnsi="Times New Roman"/>
                <w:b w:val="0"/>
                <w:sz w:val="18"/>
              </w:rPr>
              <w:t>[-0.08, 0.20]</w:t>
            </w:r>
          </w:p>
        </w:tc>
        <w:tc>
          <w:tcPr>
            <w:tcW w:type="dxa" w:w="1805"/>
          </w:tcPr>
          <w:p>
            <w:r/>
            <w:r>
              <w:rPr>
                <w:rFonts w:ascii="Times New Roman" w:hAnsi="Times New Roman"/>
                <w:b w:val="0"/>
                <w:sz w:val="18"/>
              </w:rPr>
              <w:t>4</w:t>
            </w:r>
          </w:p>
        </w:tc>
        <w:tc>
          <w:tcPr>
            <w:tcW w:type="dxa" w:w="1805"/>
          </w:tcPr>
          <w:p>
            <w:r/>
            <w:r>
              <w:rPr>
                <w:rFonts w:ascii="Times New Roman" w:hAnsi="Times New Roman"/>
                <w:b w:val="0"/>
                <w:sz w:val="18"/>
              </w:rPr>
              <w:t>71%</w:t>
            </w:r>
          </w:p>
        </w:tc>
      </w:tr>
      <w:tr>
        <w:tc>
          <w:tcPr>
            <w:tcW w:type="dxa" w:w="1805"/>
          </w:tcPr>
          <w:p>
            <w:r/>
            <w:r>
              <w:rPr>
                <w:rFonts w:ascii="Times New Roman" w:hAnsi="Times New Roman"/>
                <w:b w:val="0"/>
                <w:sz w:val="18"/>
              </w:rPr>
              <w:t>Creative performance</w:t>
            </w:r>
          </w:p>
        </w:tc>
        <w:tc>
          <w:tcPr>
            <w:tcW w:type="dxa" w:w="1805"/>
          </w:tcPr>
          <w:p>
            <w:r/>
            <w:r>
              <w:rPr>
                <w:rFonts w:ascii="Times New Roman" w:hAnsi="Times New Roman"/>
                <w:b w:val="0"/>
                <w:sz w:val="18"/>
              </w:rPr>
              <w:t>-0.04</w:t>
            </w:r>
          </w:p>
        </w:tc>
        <w:tc>
          <w:tcPr>
            <w:tcW w:type="dxa" w:w="1805"/>
          </w:tcPr>
          <w:p>
            <w:r/>
            <w:r>
              <w:rPr>
                <w:rFonts w:ascii="Times New Roman" w:hAnsi="Times New Roman"/>
                <w:b w:val="0"/>
                <w:sz w:val="18"/>
              </w:rPr>
              <w:t>[-0.18, 0.10]</w:t>
            </w:r>
          </w:p>
        </w:tc>
        <w:tc>
          <w:tcPr>
            <w:tcW w:type="dxa" w:w="1805"/>
          </w:tcPr>
          <w:p>
            <w:r/>
            <w:r>
              <w:rPr>
                <w:rFonts w:ascii="Times New Roman" w:hAnsi="Times New Roman"/>
                <w:b w:val="0"/>
                <w:sz w:val="18"/>
              </w:rPr>
              <w:t>3</w:t>
            </w:r>
          </w:p>
        </w:tc>
        <w:tc>
          <w:tcPr>
            <w:tcW w:type="dxa" w:w="1805"/>
          </w:tcPr>
          <w:p>
            <w:r/>
            <w:r>
              <w:rPr>
                <w:rFonts w:ascii="Times New Roman" w:hAnsi="Times New Roman"/>
                <w:b w:val="0"/>
                <w:sz w:val="18"/>
              </w:rPr>
              <w:t>58%</w:t>
            </w:r>
          </w:p>
        </w:tc>
      </w:tr>
      <w:tr>
        <w:tc>
          <w:tcPr>
            <w:tcW w:type="dxa" w:w="1805"/>
          </w:tcPr>
          <w:p>
            <w:r/>
            <w:r>
              <w:rPr>
                <w:rFonts w:ascii="Times New Roman" w:hAnsi="Times New Roman"/>
                <w:b w:val="0"/>
                <w:sz w:val="18"/>
              </w:rPr>
              <w:t>Team performance</w:t>
            </w:r>
          </w:p>
        </w:tc>
        <w:tc>
          <w:tcPr>
            <w:tcW w:type="dxa" w:w="1805"/>
          </w:tcPr>
          <w:p>
            <w:r/>
            <w:r>
              <w:rPr>
                <w:rFonts w:ascii="Times New Roman" w:hAnsi="Times New Roman"/>
                <w:b w:val="0"/>
                <w:sz w:val="18"/>
              </w:rPr>
              <w:t>0.52</w:t>
            </w:r>
          </w:p>
        </w:tc>
        <w:tc>
          <w:tcPr>
            <w:tcW w:type="dxa" w:w="1805"/>
          </w:tcPr>
          <w:p>
            <w:r/>
            <w:r>
              <w:rPr>
                <w:rFonts w:ascii="Times New Roman" w:hAnsi="Times New Roman"/>
                <w:b w:val="0"/>
                <w:sz w:val="18"/>
              </w:rPr>
              <w:t>[0.38, 0.66]</w:t>
            </w:r>
          </w:p>
        </w:tc>
        <w:tc>
          <w:tcPr>
            <w:tcW w:type="dxa" w:w="1805"/>
          </w:tcPr>
          <w:p>
            <w:r/>
            <w:r>
              <w:rPr>
                <w:rFonts w:ascii="Times New Roman" w:hAnsi="Times New Roman"/>
                <w:b w:val="0"/>
                <w:sz w:val="18"/>
              </w:rPr>
              <w:t>3</w:t>
            </w:r>
          </w:p>
        </w:tc>
        <w:tc>
          <w:tcPr>
            <w:tcW w:type="dxa" w:w="1805"/>
          </w:tcPr>
          <w:p>
            <w:r/>
            <w:r>
              <w:rPr>
                <w:rFonts w:ascii="Times New Roman" w:hAnsi="Times New Roman"/>
                <w:b w:val="0"/>
                <w:sz w:val="18"/>
              </w:rPr>
              <w:t>45%</w:t>
            </w:r>
          </w:p>
        </w:tc>
      </w:tr>
    </w:tbl>
    <w:p>
      <w:r>
        <w:rPr>
          <w:i/>
          <w:sz w:val="20"/>
        </w:rPr>
        <w:t>Note. Second-order Cohen's d. Positive values indicate incentives improve performance. High I² in qualitative and creative domains reflects the debate between rewarding and undermining perspectives.</w:t>
      </w:r>
    </w:p>
    <w:p>
      <w:pPr>
        <w:pStyle w:val="Heading1"/>
      </w:pPr>
      <w:r>
        <w:rPr>
          <w:rFonts w:ascii="Times New Roman" w:hAnsi="Times New Roman"/>
          <w:color w:val="000000"/>
        </w:rPr>
        <w:t>3.3 The Crowding-Out Effect: When Incentives Backfire</w:t>
      </w:r>
    </w:p>
    <w:p>
      <w:pPr>
        <w:ind w:firstLine="720"/>
      </w:pPr>
      <w:r>
        <w:t>The crowding-out debate is the most contentious area in the motivation–incentive literature. On one side, Deci, Koestner, and Ryan (1999; M8) conducted the definitive meta-analysis, finding that tangible, expected, contingent rewards significantly undermine intrinsic motivation (d = -0.28 for free-choice behavior, d = -0.40 for self-reported interest). On the other side, Cameron and Pierce (1994; M3) and Eisenberger and Cameron (1996; M5) argued that the detrimental effects were minimal and limited to very specific conditions.</w:t>
      </w:r>
    </w:p>
    <w:p>
      <w:pPr>
        <w:ind w:firstLine="720"/>
      </w:pPr>
      <w:r>
        <w:t>Our second-order synthesis resolves this debate by identifying the moderating conditions. The crowding-out effect is real and replicable under specific conditions: (1) the reward is tangible (not verbal), (2) the reward is expected (not unexpected), (3) the reward is contingent on task engagement or completion (not performance-contingent feedback), and (4) the task is inherently interesting (there must be intrinsic motivation to crowd out). Under these four conditions, the second-order effect is d₂ = -0.34 (95% CI [-0.42, -0.26]). When any of these conditions is violated, the effect diminishes substantially or reverses.</w:t>
      </w:r>
    </w:p>
    <w:p>
      <w:pPr>
        <w:ind w:firstLine="720"/>
      </w:pPr>
      <w:r>
        <w:t>Notably, verbal feedback and informational rewards consistently enhance intrinsic motivation (d₂ = +0.33, 95% CI [0.24, 0.42]), as predicted by cognitive evaluation theory (Deci &amp; Ryan, 1985). This finding held across all meta-analyses that examined verbal reinforcement (M1, M5, M8).</w:t>
      </w:r>
    </w:p>
    <w:p>
      <w:pPr>
        <w:pStyle w:val="Heading1"/>
      </w:pPr>
      <w:r>
        <w:rPr>
          <w:rFonts w:ascii="Times New Roman" w:hAnsi="Times New Roman"/>
          <w:color w:val="000000"/>
        </w:rPr>
        <w:t>3.4 Task Complexity as the Key Moderator</w:t>
      </w:r>
    </w:p>
    <w:p>
      <w:pPr>
        <w:ind w:firstLine="720"/>
      </w:pPr>
      <w:r>
        <w:t>Task cognitive complexity emerges as the single most important moderator in our second-order analysis. The pattern is consistent across multiple first-order meta-analyses: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sz w:val="18"/>
              </w:rPr>
              <w:t>Task Complexity</w:t>
            </w:r>
          </w:p>
          <w:shd/>
        </w:tc>
        <w:tc>
          <w:tcPr>
            <w:tcW w:type="dxa" w:w="1805"/>
          </w:tcPr>
          <w:p>
            <w:r/>
            <w:r>
              <w:rPr>
                <w:rFonts w:ascii="Times New Roman" w:hAnsi="Times New Roman"/>
                <w:b/>
                <w:sz w:val="18"/>
              </w:rPr>
              <w:t>Incentive Effect on Performance (d)</w:t>
            </w:r>
          </w:p>
          <w:shd/>
        </w:tc>
        <w:tc>
          <w:tcPr>
            <w:tcW w:type="dxa" w:w="1805"/>
          </w:tcPr>
          <w:p>
            <w:r/>
            <w:r>
              <w:rPr>
                <w:rFonts w:ascii="Times New Roman" w:hAnsi="Times New Roman"/>
                <w:b/>
                <w:sz w:val="18"/>
              </w:rPr>
              <w:t>Intrinsic Motivation Effect (ρ)</w:t>
            </w:r>
          </w:p>
          <w:shd/>
        </w:tc>
        <w:tc>
          <w:tcPr>
            <w:tcW w:type="dxa" w:w="1805"/>
          </w:tcPr>
          <w:p>
            <w:r/>
            <w:r>
              <w:rPr>
                <w:rFonts w:ascii="Times New Roman" w:hAnsi="Times New Roman"/>
                <w:b/>
                <w:sz w:val="18"/>
              </w:rPr>
              <w:t>Crowding-Out Risk</w:t>
            </w:r>
          </w:p>
          <w:shd/>
        </w:tc>
        <w:tc>
          <w:tcPr>
            <w:tcW w:type="dxa" w:w="1805"/>
          </w:tcPr>
          <w:p>
            <w:r/>
            <w:r>
              <w:rPr>
                <w:rFonts w:ascii="Times New Roman" w:hAnsi="Times New Roman"/>
                <w:b/>
                <w:sz w:val="18"/>
              </w:rPr>
              <w:t>Net Recommendation</w:t>
            </w:r>
          </w:p>
          <w:shd/>
        </w:tc>
      </w:tr>
      <w:tr>
        <w:tc>
          <w:tcPr>
            <w:tcW w:type="dxa" w:w="1805"/>
          </w:tcPr>
          <w:p>
            <w:r/>
            <w:r>
              <w:rPr>
                <w:rFonts w:ascii="Times New Roman" w:hAnsi="Times New Roman"/>
                <w:b w:val="0"/>
                <w:sz w:val="18"/>
              </w:rPr>
              <w:t>Low (algorithmic)</w:t>
            </w:r>
          </w:p>
        </w:tc>
        <w:tc>
          <w:tcPr>
            <w:tcW w:type="dxa" w:w="1805"/>
          </w:tcPr>
          <w:p>
            <w:r/>
            <w:r>
              <w:rPr>
                <w:rFonts w:ascii="Times New Roman" w:hAnsi="Times New Roman"/>
                <w:b w:val="0"/>
                <w:sz w:val="18"/>
              </w:rPr>
              <w:t>+0.48 [0.36, 0.60]</w:t>
            </w:r>
          </w:p>
        </w:tc>
        <w:tc>
          <w:tcPr>
            <w:tcW w:type="dxa" w:w="1805"/>
          </w:tcPr>
          <w:p>
            <w:r/>
            <w:r>
              <w:rPr>
                <w:rFonts w:ascii="Times New Roman" w:hAnsi="Times New Roman"/>
                <w:b w:val="0"/>
                <w:sz w:val="18"/>
              </w:rPr>
              <w:t>.16 [.10, .22]</w:t>
            </w:r>
          </w:p>
        </w:tc>
        <w:tc>
          <w:tcPr>
            <w:tcW w:type="dxa" w:w="1805"/>
          </w:tcPr>
          <w:p>
            <w:r/>
            <w:r>
              <w:rPr>
                <w:rFonts w:ascii="Times New Roman" w:hAnsi="Times New Roman"/>
                <w:b w:val="0"/>
                <w:sz w:val="18"/>
              </w:rPr>
              <w:t>Low (d = -0.10)</w:t>
            </w:r>
          </w:p>
        </w:tc>
        <w:tc>
          <w:tcPr>
            <w:tcW w:type="dxa" w:w="1805"/>
          </w:tcPr>
          <w:p>
            <w:r/>
            <w:r>
              <w:rPr>
                <w:rFonts w:ascii="Times New Roman" w:hAnsi="Times New Roman"/>
                <w:b w:val="0"/>
                <w:sz w:val="18"/>
              </w:rPr>
              <w:t>Incentives add value safely</w:t>
            </w:r>
          </w:p>
        </w:tc>
      </w:tr>
      <w:tr>
        <w:tc>
          <w:tcPr>
            <w:tcW w:type="dxa" w:w="1805"/>
          </w:tcPr>
          <w:p>
            <w:r/>
            <w:r>
              <w:rPr>
                <w:rFonts w:ascii="Times New Roman" w:hAnsi="Times New Roman"/>
                <w:b w:val="0"/>
                <w:sz w:val="18"/>
              </w:rPr>
              <w:t>Moderate (mixed)</w:t>
            </w:r>
          </w:p>
        </w:tc>
        <w:tc>
          <w:tcPr>
            <w:tcW w:type="dxa" w:w="1805"/>
          </w:tcPr>
          <w:p>
            <w:r/>
            <w:r>
              <w:rPr>
                <w:rFonts w:ascii="Times New Roman" w:hAnsi="Times New Roman"/>
                <w:b w:val="0"/>
                <w:sz w:val="18"/>
              </w:rPr>
              <w:t>+0.22 [0.12, 0.32]</w:t>
            </w:r>
          </w:p>
        </w:tc>
        <w:tc>
          <w:tcPr>
            <w:tcW w:type="dxa" w:w="1805"/>
          </w:tcPr>
          <w:p>
            <w:r/>
            <w:r>
              <w:rPr>
                <w:rFonts w:ascii="Times New Roman" w:hAnsi="Times New Roman"/>
                <w:b w:val="0"/>
                <w:sz w:val="18"/>
              </w:rPr>
              <w:t>.26 [.20, .32]</w:t>
            </w:r>
          </w:p>
        </w:tc>
        <w:tc>
          <w:tcPr>
            <w:tcW w:type="dxa" w:w="1805"/>
          </w:tcPr>
          <w:p>
            <w:r/>
            <w:r>
              <w:rPr>
                <w:rFonts w:ascii="Times New Roman" w:hAnsi="Times New Roman"/>
                <w:b w:val="0"/>
                <w:sz w:val="18"/>
              </w:rPr>
              <w:t>Moderate (d = -0.25)</w:t>
            </w:r>
          </w:p>
        </w:tc>
        <w:tc>
          <w:tcPr>
            <w:tcW w:type="dxa" w:w="1805"/>
          </w:tcPr>
          <w:p>
            <w:r/>
            <w:r>
              <w:rPr>
                <w:rFonts w:ascii="Times New Roman" w:hAnsi="Times New Roman"/>
                <w:b w:val="0"/>
                <w:sz w:val="18"/>
              </w:rPr>
              <w:t>Careful calibration required</w:t>
            </w:r>
          </w:p>
        </w:tc>
      </w:tr>
      <w:tr>
        <w:tc>
          <w:tcPr>
            <w:tcW w:type="dxa" w:w="1805"/>
          </w:tcPr>
          <w:p>
            <w:r/>
            <w:r>
              <w:rPr>
                <w:rFonts w:ascii="Times New Roman" w:hAnsi="Times New Roman"/>
                <w:b w:val="0"/>
                <w:sz w:val="18"/>
              </w:rPr>
              <w:t>High (heuristic)</w:t>
            </w:r>
          </w:p>
        </w:tc>
        <w:tc>
          <w:tcPr>
            <w:tcW w:type="dxa" w:w="1805"/>
          </w:tcPr>
          <w:p>
            <w:r/>
            <w:r>
              <w:rPr>
                <w:rFonts w:ascii="Times New Roman" w:hAnsi="Times New Roman"/>
                <w:b w:val="0"/>
                <w:sz w:val="18"/>
              </w:rPr>
              <w:t>+0.04 [-0.10, 0.18]</w:t>
            </w:r>
          </w:p>
        </w:tc>
        <w:tc>
          <w:tcPr>
            <w:tcW w:type="dxa" w:w="1805"/>
          </w:tcPr>
          <w:p>
            <w:r/>
            <w:r>
              <w:rPr>
                <w:rFonts w:ascii="Times New Roman" w:hAnsi="Times New Roman"/>
                <w:b w:val="0"/>
                <w:sz w:val="18"/>
              </w:rPr>
              <w:t>.38 [.30, .46]</w:t>
            </w:r>
          </w:p>
        </w:tc>
        <w:tc>
          <w:tcPr>
            <w:tcW w:type="dxa" w:w="1805"/>
          </w:tcPr>
          <w:p>
            <w:r/>
            <w:r>
              <w:rPr>
                <w:rFonts w:ascii="Times New Roman" w:hAnsi="Times New Roman"/>
                <w:b w:val="0"/>
                <w:sz w:val="18"/>
              </w:rPr>
              <w:t>High (d = -0.40)</w:t>
            </w:r>
          </w:p>
        </w:tc>
        <w:tc>
          <w:tcPr>
            <w:tcW w:type="dxa" w:w="1805"/>
          </w:tcPr>
          <w:p>
            <w:r/>
            <w:r>
              <w:rPr>
                <w:rFonts w:ascii="Times New Roman" w:hAnsi="Times New Roman"/>
                <w:b w:val="0"/>
                <w:sz w:val="18"/>
              </w:rPr>
              <w:t>Intrinsic motivation dominant; minimize controlling incentives</w:t>
            </w:r>
          </w:p>
        </w:tc>
      </w:tr>
    </w:tbl>
    <w:p>
      <w:r>
        <w:rPr>
          <w:i/>
          <w:sz w:val="20"/>
        </w:rPr>
        <w:t>Note. Effect sizes are second-order estimates across relevant meta-analyses. Crossover point: at moderate complexity, intrinsic and extrinsic effects are approximately equal.</w:t>
      </w:r>
    </w:p>
    <w:p>
      <w:pPr>
        <w:ind w:firstLine="720"/>
      </w:pPr>
      <w:r>
        <w:t>This crossover pattern is the central finding of our second-order analysis. In low-complexity tasks, extrinsic incentives are the dominant performance driver (d = 0.48) and crowding-out risk is minimal because there is little intrinsic motivation to crowd out. In high-complexity tasks, intrinsic motivation becomes the dominant driver (ρ = .38) while extrinsic incentives have near-zero direct effects and carry substantial crowding-out risk (d = -0.40).</w:t>
      </w:r>
    </w:p>
    <w:p>
      <w:pPr>
        <w:ind w:firstLine="720"/>
      </w:pPr>
      <w:r>
        <w:t>The crossover point occurs at approximately moderate complexity, where intrinsic and extrinsic effects are roughly equal. This finding integrates the seemingly contradictory results of Lazear (2000) — who found a 44% productivity increase from piece-rate pay in a simple windshield installation task — with Ariely et al. (2009) — who found that large incentives impaired performance in cognitive tasks. Both findings are correct; they simply represent different points on the complexity continuum.</w:t>
      </w:r>
    </w:p>
    <w:p>
      <w:pPr>
        <w:ind w:firstLine="720"/>
      </w:pPr>
      <w:r>
        <w:t>Weibel, Rost, and Osterloh (2010; M10) provided direct evidence for this moderator in the public sector context, finding that pay-for-performance effects were d = 0.40 for 'dull' (low-complexity) tasks but only d = 0.13 for 'interesting' (high-complexity) tasks. Similarly, Jenkins et al. (1998; M7) found strong incentive effects on quantity (typically associated with simpler tasks) but negligible effects on quality (typically associated with more complex tasks).</w:t>
      </w:r>
    </w:p>
    <w:p>
      <w:r>
        <w:br w:type="page"/>
      </w:r>
    </w:p>
    <w:p>
      <w:pPr>
        <w:pStyle w:val="Heading1"/>
      </w:pPr>
      <w:r>
        <w:rPr>
          <w:rFonts w:ascii="Times New Roman" w:hAnsi="Times New Roman"/>
          <w:color w:val="000000"/>
        </w:rPr>
        <w:t>4. Discussion</w:t>
      </w:r>
    </w:p>
    <w:p>
      <w:pPr>
        <w:ind w:firstLine="720"/>
      </w:pPr>
      <w:r>
        <w:t>Our second-order meta-analysis provides the most comprehensive quantitative synthesis of the intrinsic motivation–extrinsic incentive–performance literature to date. Three overarching conclusions emerge.</w:t>
      </w:r>
    </w:p>
    <w:p>
      <w:pPr>
        <w:pStyle w:val="Heading1"/>
      </w:pPr>
      <w:r>
        <w:rPr>
          <w:rFonts w:ascii="Times New Roman" w:hAnsi="Times New Roman"/>
          <w:color w:val="000000"/>
        </w:rPr>
        <w:t>4.1 The Coexistence Principle</w:t>
      </w:r>
    </w:p>
    <w:p>
      <w:pPr>
        <w:ind w:firstLine="720"/>
      </w:pPr>
      <w:r>
        <w:t>Intrinsic motivation and extrinsic incentives are not mutually exclusive forces operating on a single continuum. They coexist and independently predict different facets of performance (Cerasoli et al., 2014). Intrinsic motivation is the primary driver of performance quality — creativity, problem-solving depth, organizational citizenship — while extrinsic incentives are the primary driver of performance quantity — output volume, speed, task completion. This quality–quantity partition is the most robust finding in the field, replicating across every meta-analysis that examined both dimensions.</w:t>
      </w:r>
    </w:p>
    <w:p>
      <w:pPr>
        <w:ind w:firstLine="720"/>
      </w:pPr>
      <w:r>
        <w:t>The practical implication is clear: organizations need both. The question is not 'intrinsic vs. extrinsic' but 'what mix, for what work, for which people, in what context?' (Amabile, 1993; Cerasoli et al., 2014).</w:t>
      </w:r>
    </w:p>
    <w:p>
      <w:pPr>
        <w:pStyle w:val="Heading1"/>
      </w:pPr>
      <w:r>
        <w:rPr>
          <w:rFonts w:ascii="Times New Roman" w:hAnsi="Times New Roman"/>
          <w:color w:val="000000"/>
        </w:rPr>
        <w:t>4.2 The Complexity Contingency</w:t>
      </w:r>
    </w:p>
    <w:p>
      <w:pPr>
        <w:ind w:firstLine="720"/>
      </w:pPr>
      <w:r>
        <w:t>Task cognitive complexity is the primary contingency variable that determines the optimal intrinsic–extrinsic mix. Our second-order analysis reveals a clean crossover pattern: the predictive dominance shifts from extrinsic to intrinsic as complexity increases. This finding has direct implications for compensation design:</w:t>
      </w:r>
    </w:p>
    <w:p>
      <w:pPr>
        <w:ind w:firstLine="720"/>
      </w:pPr>
      <w:r>
        <w:t>For algorithmic work (manufacturing, data entry, routine processing): Strong performance-contingent incentives are both effective (d = 0.48) and safe (minimal crowding-out risk). Pay-for-performance is the appropriate default.</w:t>
      </w:r>
    </w:p>
    <w:p>
      <w:pPr>
        <w:ind w:firstLine="720"/>
      </w:pPr>
      <w:r>
        <w:t>For heuristic work (R&amp;D, strategy, creative professions, executive leadership): Controlling incentives are counterproductive. The optimal design emphasizes autonomy, mastery, and purpose (the intrinsic motivation drivers identified by SDT) supplemented by informational feedback rather than contingent rewards. Fixed compensation with discretionary recognition is preferable to formula-based incentives.</w:t>
      </w:r>
    </w:p>
    <w:p>
      <w:pPr>
        <w:ind w:firstLine="720"/>
      </w:pPr>
      <w:r>
        <w:t>For mixed work (sales, project management, professional services): Both channels contribute. The design challenge is to provide sufficient extrinsic incentives for quantitative targets without undermining the intrinsic motivation needed for qualitative excellence. This is where the 'art' of compensation design resides.</w:t>
      </w:r>
    </w:p>
    <w:p>
      <w:pPr>
        <w:pStyle w:val="Heading1"/>
      </w:pPr>
      <w:r>
        <w:rPr>
          <w:rFonts w:ascii="Times New Roman" w:hAnsi="Times New Roman"/>
          <w:color w:val="000000"/>
        </w:rPr>
        <w:t>4.3 The Crowding-Out Recovery Gap</w:t>
      </w:r>
    </w:p>
    <w:p>
      <w:pPr>
        <w:ind w:firstLine="720"/>
      </w:pPr>
      <w:r>
        <w:t>Our review reveals a critical gap in the literature: while the conditions that cause crowding-out are well-documented, the conditions that enable recovery from crowding-out are almost entirely unstudied. Gneezy and Rustichini (2000) demonstrated that introducing fines at a daycare center increased late pickups, and — critically — removing the fines did not restore the original social norm. This irreversibility finding has profound implications for organizations that have already implemented controlling incentive systems.</w:t>
      </w:r>
    </w:p>
    <w:p>
      <w:pPr>
        <w:ind w:firstLine="720"/>
      </w:pPr>
      <w:r>
        <w:t>Only one line of research addresses recovery: the SDT-based autonomy-supportive management interventions reviewed by Slemp et al. (2018; M16), which showed a meaningful positive effect (d = 0.52) on autonomous motivation. However, these studies did not specifically examine recovery from a previously crowded-out state. The question 'How do you rebuild intrinsic motivation after it has been damaged by controlling incentives?' remains unanswered — a research gap with enormous practical significance for M&amp;A integration, organizational turnarounds, and management transitions.</w:t>
      </w:r>
    </w:p>
    <w:p>
      <w:pPr>
        <w:pStyle w:val="Heading1"/>
      </w:pPr>
      <w:r>
        <w:rPr>
          <w:rFonts w:ascii="Times New Roman" w:hAnsi="Times New Roman"/>
          <w:color w:val="000000"/>
        </w:rPr>
        <w:t>4.4 Limitations</w:t>
      </w:r>
    </w:p>
    <w:p>
      <w:pPr>
        <w:ind w:firstLine="720"/>
      </w:pPr>
      <w:r>
        <w:t>Several limitations should be noted. First, second-order meta-analysis inherits the limitations of its constituent first-order meta-analyses, including potential publication bias, varying operationalizations of key constructs, and heterogeneous study designs. Second, the coding of task complexity was often done post hoc based on task descriptions rather than using standardized complexity measures. Third, our focus on published meta-analyses may exclude relevant primary studies not yet included in any meta-analysis. Fourth, cultural moderators were insufficiently examined; nearly all meta-analyses drew predominantly on Western (WEIRD) samples, limiting generalizability to East Asian, collectivist, or non-Western organizational contexts.</w:t>
      </w:r>
    </w:p>
    <w:p>
      <w:r>
        <w:br w:type="page"/>
      </w:r>
    </w:p>
    <w:p>
      <w:pPr>
        <w:pStyle w:val="Heading1"/>
      </w:pPr>
      <w:r>
        <w:rPr>
          <w:rFonts w:ascii="Times New Roman" w:hAnsi="Times New Roman"/>
          <w:color w:val="000000"/>
        </w:rPr>
        <w:t>5. Implications for Practice: The Motivation Architecture</w:t>
      </w:r>
    </w:p>
    <w:p>
      <w:pPr>
        <w:ind w:firstLine="720"/>
      </w:pPr>
      <w:r>
        <w:t>Based on our second-order synthesis, we propose a Motivation Architecture framework that translates the empirical findings into actionable design principles for organizations.</w:t>
      </w:r>
    </w:p>
    <w:p>
      <w:pPr>
        <w:pStyle w:val="Heading1"/>
      </w:pPr>
      <w:r>
        <w:rPr>
          <w:rFonts w:ascii="Times New Roman" w:hAnsi="Times New Roman"/>
          <w:color w:val="000000"/>
        </w:rPr>
        <w:t>5.1 Design Principle 1: Match the Mix to the Complexity</w:t>
      </w:r>
    </w:p>
    <w:p>
      <w:pPr>
        <w:ind w:firstLine="720"/>
      </w:pPr>
      <w:r>
        <w:t>The intrinsic–extrinsic ratio should be calibrated to the cognitive complexity of the work. For executive leadership (high complexity), the architecture should maximize autonomy, purpose, and mastery while providing competitive base compensation. For operational roles (low complexity), performance-contingent incentives are both safe and effective. For professional roles (moderate complexity), a blended approach is required, with incentives structured to reward outputs rather than control inputs.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
              <w:rPr>
                <w:rFonts w:ascii="Times New Roman" w:hAnsi="Times New Roman"/>
                <w:b/>
                <w:sz w:val="18"/>
              </w:rPr>
              <w:t>Job Complexity</w:t>
            </w:r>
          </w:p>
          <w:shd/>
        </w:tc>
        <w:tc>
          <w:tcPr>
            <w:tcW w:type="dxa" w:w="2256"/>
          </w:tcPr>
          <w:p>
            <w:r/>
            <w:r>
              <w:rPr>
                <w:rFonts w:ascii="Times New Roman" w:hAnsi="Times New Roman"/>
                <w:b/>
                <w:sz w:val="18"/>
              </w:rPr>
              <w:t>Recommended Intrinsic Emphasis</w:t>
            </w:r>
          </w:p>
          <w:shd/>
        </w:tc>
        <w:tc>
          <w:tcPr>
            <w:tcW w:type="dxa" w:w="2256"/>
          </w:tcPr>
          <w:p>
            <w:r/>
            <w:r>
              <w:rPr>
                <w:rFonts w:ascii="Times New Roman" w:hAnsi="Times New Roman"/>
                <w:b/>
                <w:sz w:val="18"/>
              </w:rPr>
              <w:t>Recommended Extrinsic Structure</w:t>
            </w:r>
          </w:p>
          <w:shd/>
        </w:tc>
        <w:tc>
          <w:tcPr>
            <w:tcW w:type="dxa" w:w="2256"/>
          </w:tcPr>
          <w:p>
            <w:r/>
            <w:r>
              <w:rPr>
                <w:rFonts w:ascii="Times New Roman" w:hAnsi="Times New Roman"/>
                <w:b/>
                <w:sz w:val="18"/>
              </w:rPr>
              <w:t>Crowding-Out Safeguard</w:t>
            </w:r>
          </w:p>
          <w:shd/>
        </w:tc>
      </w:tr>
      <w:tr>
        <w:tc>
          <w:tcPr>
            <w:tcW w:type="dxa" w:w="2256"/>
          </w:tcPr>
          <w:p>
            <w:r/>
            <w:r>
              <w:rPr>
                <w:rFonts w:ascii="Times New Roman" w:hAnsi="Times New Roman"/>
                <w:b w:val="0"/>
                <w:sz w:val="18"/>
              </w:rPr>
              <w:t>High (C-suite, R&amp;D, creative)</w:t>
            </w:r>
          </w:p>
        </w:tc>
        <w:tc>
          <w:tcPr>
            <w:tcW w:type="dxa" w:w="2256"/>
          </w:tcPr>
          <w:p>
            <w:r/>
            <w:r>
              <w:rPr>
                <w:rFonts w:ascii="Times New Roman" w:hAnsi="Times New Roman"/>
                <w:b w:val="0"/>
                <w:sz w:val="18"/>
              </w:rPr>
              <w:t>Primary: autonomy, mastery, purpose, ownership</w:t>
            </w:r>
          </w:p>
        </w:tc>
        <w:tc>
          <w:tcPr>
            <w:tcW w:type="dxa" w:w="2256"/>
          </w:tcPr>
          <w:p>
            <w:r/>
            <w:r>
              <w:rPr>
                <w:rFonts w:ascii="Times New Roman" w:hAnsi="Times New Roman"/>
                <w:b w:val="0"/>
                <w:sz w:val="18"/>
              </w:rPr>
              <w:t>Base salary + long-term equity + discretionary bonus</w:t>
            </w:r>
          </w:p>
        </w:tc>
        <w:tc>
          <w:tcPr>
            <w:tcW w:type="dxa" w:w="2256"/>
          </w:tcPr>
          <w:p>
            <w:r/>
            <w:r>
              <w:rPr>
                <w:rFonts w:ascii="Times New Roman" w:hAnsi="Times New Roman"/>
                <w:b w:val="0"/>
                <w:sz w:val="18"/>
              </w:rPr>
              <w:t>Avoid formula-based short-term incentives</w:t>
            </w:r>
          </w:p>
        </w:tc>
      </w:tr>
      <w:tr>
        <w:tc>
          <w:tcPr>
            <w:tcW w:type="dxa" w:w="2256"/>
          </w:tcPr>
          <w:p>
            <w:r/>
            <w:r>
              <w:rPr>
                <w:rFonts w:ascii="Times New Roman" w:hAnsi="Times New Roman"/>
                <w:b w:val="0"/>
                <w:sz w:val="18"/>
              </w:rPr>
              <w:t>Moderate (professional, managerial)</w:t>
            </w:r>
          </w:p>
        </w:tc>
        <w:tc>
          <w:tcPr>
            <w:tcW w:type="dxa" w:w="2256"/>
          </w:tcPr>
          <w:p>
            <w:r/>
            <w:r>
              <w:rPr>
                <w:rFonts w:ascii="Times New Roman" w:hAnsi="Times New Roman"/>
                <w:b w:val="0"/>
                <w:sz w:val="18"/>
              </w:rPr>
              <w:t>Strong: meaningful work, skill development, team belonging</w:t>
            </w:r>
          </w:p>
        </w:tc>
        <w:tc>
          <w:tcPr>
            <w:tcW w:type="dxa" w:w="2256"/>
          </w:tcPr>
          <w:p>
            <w:r/>
            <w:r>
              <w:rPr>
                <w:rFonts w:ascii="Times New Roman" w:hAnsi="Times New Roman"/>
                <w:b w:val="0"/>
                <w:sz w:val="18"/>
              </w:rPr>
              <w:t>Base + moderate variable (20-30%) tied to outcomes</w:t>
            </w:r>
          </w:p>
        </w:tc>
        <w:tc>
          <w:tcPr>
            <w:tcW w:type="dxa" w:w="2256"/>
          </w:tcPr>
          <w:p>
            <w:r/>
            <w:r>
              <w:rPr>
                <w:rFonts w:ascii="Times New Roman" w:hAnsi="Times New Roman"/>
                <w:b w:val="0"/>
                <w:sz w:val="18"/>
              </w:rPr>
              <w:t>Ensure variable pay is informational, not controlling</w:t>
            </w:r>
          </w:p>
        </w:tc>
      </w:tr>
      <w:tr>
        <w:tc>
          <w:tcPr>
            <w:tcW w:type="dxa" w:w="2256"/>
          </w:tcPr>
          <w:p>
            <w:r/>
            <w:r>
              <w:rPr>
                <w:rFonts w:ascii="Times New Roman" w:hAnsi="Times New Roman"/>
                <w:b w:val="0"/>
                <w:sz w:val="18"/>
              </w:rPr>
              <w:t>Low (operational, routine)</w:t>
            </w:r>
          </w:p>
        </w:tc>
        <w:tc>
          <w:tcPr>
            <w:tcW w:type="dxa" w:w="2256"/>
          </w:tcPr>
          <w:p>
            <w:r/>
            <w:r>
              <w:rPr>
                <w:rFonts w:ascii="Times New Roman" w:hAnsi="Times New Roman"/>
                <w:b w:val="0"/>
                <w:sz w:val="18"/>
              </w:rPr>
              <w:t>Supporting: recognition, job enrichment, skill variety</w:t>
            </w:r>
          </w:p>
        </w:tc>
        <w:tc>
          <w:tcPr>
            <w:tcW w:type="dxa" w:w="2256"/>
          </w:tcPr>
          <w:p>
            <w:r/>
            <w:r>
              <w:rPr>
                <w:rFonts w:ascii="Times New Roman" w:hAnsi="Times New Roman"/>
                <w:b w:val="0"/>
                <w:sz w:val="18"/>
              </w:rPr>
              <w:t>Base + performance-contingent piece rates or bonuses</w:t>
            </w:r>
          </w:p>
        </w:tc>
        <w:tc>
          <w:tcPr>
            <w:tcW w:type="dxa" w:w="2256"/>
          </w:tcPr>
          <w:p>
            <w:r/>
            <w:r>
              <w:rPr>
                <w:rFonts w:ascii="Times New Roman" w:hAnsi="Times New Roman"/>
                <w:b w:val="0"/>
                <w:sz w:val="18"/>
              </w:rPr>
              <w:t>Low risk; monitor for over-reliance and gaming</w:t>
            </w:r>
          </w:p>
        </w:tc>
      </w:tr>
    </w:tbl>
    <w:p>
      <w:r>
        <w:rPr>
          <w:i/>
          <w:sz w:val="20"/>
        </w:rPr>
        <w:t>Note. Framework calibrates intrinsic and extrinsic levers to task cognitive complexity, based on second-order meta-analytic evidence.</w:t>
      </w:r>
    </w:p>
    <w:p>
      <w:pPr>
        <w:pStyle w:val="Heading1"/>
      </w:pPr>
      <w:r>
        <w:rPr>
          <w:rFonts w:ascii="Times New Roman" w:hAnsi="Times New Roman"/>
          <w:color w:val="000000"/>
        </w:rPr>
        <w:t>5.2 Design Principle 2: Protect Intrinsic Motivation at the Top</w:t>
      </w:r>
    </w:p>
    <w:p>
      <w:pPr>
        <w:ind w:firstLine="720"/>
      </w:pPr>
      <w:r>
        <w:t>For senior leadership — where work is maximally complex and intrinsic motivation is the dominant performance driver — the compensation architecture should be designed to not crowd out intrinsic motivation. This means: (a) avoiding formula-based short-term bonuses tied to easily measurable but potentially distorting KPIs (Holmstrom &amp; Milgrom, 1991; Kerr, 1975); (b) using long-term equity to align interests without creating controlling contingencies; (c) providing genuine decision-making autonomy as the primary 'reward' for performance; and (d) using peer recognition and informational feedback rather than evaluative surveillance.</w:t>
      </w:r>
    </w:p>
    <w:p>
      <w:pPr>
        <w:ind w:firstLine="720"/>
      </w:pPr>
      <w:r>
        <w:t>McClelland and Boyatzis (1982) found that the 'leadership motive pattern' — high power motivation combined with high activity inhibition and low affiliation need — predicted long-term managerial success. Translating this into our framework: effective leaders are driven by the intrinsic desire for influence and impact (Prestige-type power motivation), not by contingent external rewards. Incentive systems that make leaders' rewards highly contingent on short-term metrics may inadvertently select for or encourage Dominance-type power motivation (control through coercion) rather than Prestige-type motivation (influence through voluntary followership; Henrich &amp; Gil-White, 2001).</w:t>
      </w:r>
    </w:p>
    <w:p>
      <w:pPr>
        <w:pStyle w:val="Heading1"/>
      </w:pPr>
      <w:r>
        <w:rPr>
          <w:rFonts w:ascii="Times New Roman" w:hAnsi="Times New Roman"/>
          <w:color w:val="000000"/>
        </w:rPr>
        <w:t>5.3 Design Principle 3: Use Incentives Informationally, Not Controllingly</w:t>
      </w:r>
    </w:p>
    <w:p>
      <w:pPr>
        <w:ind w:firstLine="720"/>
      </w:pPr>
      <w:r>
        <w:t>The crowding-out literature's most actionable insight is the distinction between controlling and informational functions of incentives (Deci &amp; Ryan, 1985; Frey &amp; Jegen, 2001). The same reward can either crowd out or crowd in intrinsic motivation depending on how it is perceived. When a reward is perceived as controlling ('You must achieve X to receive Y'), it undermines autonomy and erodes intrinsic motivation. When a reward is perceived as informational ('Your achievement of X demonstrates competence and is recognized'), it enhances competence satisfaction and supports intrinsic motivation.</w:t>
      </w:r>
    </w:p>
    <w:p>
      <w:pPr>
        <w:ind w:firstLine="720"/>
      </w:pPr>
      <w:r>
        <w:t>Bénabou and Tirole (2003) formalized this insight in their signaling model: rewards transmit information about the principal's beliefs regarding the agent's ability or the task's attractiveness. A large contingent reward signals 'I don't trust you to do this without being paid' or 'This task is unpleasant' — either message undermines intrinsic motivation. This mechanism explains Gneezy and Rustichini's (2000) finding that small rewards reduced performance below the no-reward condition: a trivial payment carries the worst possible signal ('This isn't worth doing for free, and it's only worth a trivial amount').</w:t>
      </w:r>
    </w:p>
    <w:p>
      <w:r>
        <w:br w:type="page"/>
      </w:r>
    </w:p>
    <w:p>
      <w:pPr>
        <w:pStyle w:val="Heading1"/>
      </w:pPr>
      <w:r>
        <w:rPr>
          <w:rFonts w:ascii="Times New Roman" w:hAnsi="Times New Roman"/>
          <w:color w:val="000000"/>
        </w:rPr>
        <w:t>6. Future Research Directions</w:t>
      </w:r>
    </w:p>
    <w:p>
      <w:pPr>
        <w:ind w:firstLine="720"/>
      </w:pPr>
      <w:r>
        <w:t>Our second-order analysis identifies several critical gaps in the existing meta-analytic literature that warrant future investigation.</w:t>
      </w:r>
    </w:p>
    <w:p>
      <w:pPr>
        <w:ind w:firstLine="720"/>
      </w:pPr>
      <w:r>
        <w:t>First, the crowding-out recovery mechanism: How can organizations restore intrinsic motivation after it has been damaged by controlling incentive systems? This question is paramount for organizational turnarounds and post-M&amp;A integration (Research Gap 3).</w:t>
      </w:r>
    </w:p>
    <w:p>
      <w:pPr>
        <w:ind w:firstLine="720"/>
      </w:pPr>
      <w:r>
        <w:t>Second, the developmental trajectory of motivation: How do individuals' motivation structures evolve over their careers, and what organizational interventions accelerate the internalization of extrinsic to autonomous motivation? (Research Gap 1).</w:t>
      </w:r>
    </w:p>
    <w:p>
      <w:pPr>
        <w:ind w:firstLine="720"/>
      </w:pPr>
      <w:r>
        <w:t>Third, the Prestige vs. Dominance distinction in power motivation: Under what conditions does power motivation develop toward Prestige-type (influence through competence and generosity) rather than Dominance-type (influence through coercion and fear)? This question is central to leadership selection and development (Research Gap 2).</w:t>
      </w:r>
    </w:p>
    <w:p>
      <w:pPr>
        <w:ind w:firstLine="720"/>
      </w:pPr>
      <w:r>
        <w:t>Fourth, cultural moderators: Nearly all meta-analyses in our sample drew from Western samples. The applicability of the intrinsic–extrinsic interaction to East Asian organizational contexts — where concepts like ikigai (purpose in life; Kono &amp; Walker, 2024), the way (道), and shu-ha-ri (守破離) may represent culturally distinct motivational structures — requires dedicated investigation (Research Gap 5).</w:t>
      </w:r>
    </w:p>
    <w:p>
      <w:pPr>
        <w:ind w:firstLine="720"/>
      </w:pPr>
      <w:r>
        <w:t>Fifth, motivation scaling: How does a founder's motivation architecture propagate through an organization as it grows from 50 to 500 to 5,000 employees, and what institutional mechanisms preserve or degrade the motivation culture? (Research Gap 7).</w:t>
      </w:r>
    </w:p>
    <w:p>
      <w:r>
        <w:br w:type="page"/>
      </w:r>
    </w:p>
    <w:p>
      <w:pPr>
        <w:pStyle w:val="Heading1"/>
      </w:pPr>
      <w:r>
        <w:rPr>
          <w:rFonts w:ascii="Times New Roman" w:hAnsi="Times New Roman"/>
          <w:color w:val="000000"/>
        </w:rPr>
        <w:t>7. Conclusion</w:t>
      </w:r>
    </w:p>
    <w:p>
      <w:pPr>
        <w:ind w:firstLine="720"/>
      </w:pPr>
      <w:r>
        <w:t>Four decades of research, synthesized across 16 first-order meta-analyses encompassing more than 1,200 primary studies and 500,000 participants, converge on a coherent picture: intrinsic motivation and extrinsic incentives jointly predict performance, but their relative contributions depend critically on task cognitive complexity. In low-complexity work, extrinsic incentives are the dominant lever. In high-complexity work, intrinsic motivation is the dominant lever, and controlling incentives carry substantial crowding-out risk. The crossover occurs at moderate complexity.</w:t>
      </w:r>
    </w:p>
    <w:p>
      <w:pPr>
        <w:ind w:firstLine="720"/>
      </w:pPr>
      <w:r>
        <w:t>For organizational design, this means that the motivation architecture must be calibrated to the cognitive demands of the work. One-size-fits-all incentive systems are theoretically incoherent and empirically unsupported. The most effective organizations will be those that design differentiated motivation systems — protecting intrinsic motivation where it matters most (leadership, innovation, complex problem-solving) while deploying extrinsic incentives where they are both safe and effective (routine operations, measurable outputs).</w:t>
      </w:r>
    </w:p>
    <w:p>
      <w:pPr>
        <w:ind w:firstLine="720"/>
      </w:pPr>
      <w:r>
        <w:t>The remaining frontier lies in understanding motivation dynamics: how motivation develops, how it recovers from damage, and how it propagates through growing organizations. These questions define the next generation of motivation research — and the next generation of organizational design.</w:t>
      </w:r>
    </w:p>
    <w:p>
      <w:r>
        <w:br w:type="page"/>
      </w:r>
    </w:p>
    <w:p>
      <w:pPr>
        <w:pStyle w:val="Heading1"/>
      </w:pPr>
      <w:r>
        <w:rPr>
          <w:rFonts w:ascii="Times New Roman" w:hAnsi="Times New Roman"/>
          <w:color w:val="000000"/>
        </w:rPr>
        <w:t>References</w:t>
      </w:r>
    </w:p>
    <w:p>
      <w:pPr>
        <w:ind w:hanging="720" w:left="720"/>
      </w:pPr>
      <w:r>
        <w:rPr>
          <w:sz w:val="24"/>
        </w:rPr>
        <w:t>Amabile, T. M. (1993). Motivational synergy: Toward new conceptualizations of intrinsic and extrinsic motivation in the workplace. Human Resource Management Review, 3(3), 185–201.</w:t>
      </w:r>
    </w:p>
    <w:p>
      <w:pPr>
        <w:ind w:hanging="720" w:left="720"/>
      </w:pPr>
      <w:r>
        <w:rPr>
          <w:sz w:val="24"/>
        </w:rPr>
        <w:t>Ariely, D., Gneezy, U., Loewenstein, G., &amp; Mazar, N. (2009). Large stakes and big mistakes. Review of Economic Studies, 76(2), 451–469.</w:t>
      </w:r>
    </w:p>
    <w:p>
      <w:pPr>
        <w:ind w:hanging="720" w:left="720"/>
      </w:pPr>
      <w:r>
        <w:rPr>
          <w:sz w:val="24"/>
        </w:rPr>
        <w:t>Bénabou, R., &amp; Tirole, J. (2003). Intrinsic and extrinsic motivation. Review of Economic Studies, 70(3), 489–520.</w:t>
      </w:r>
    </w:p>
    <w:p>
      <w:pPr>
        <w:ind w:hanging="720" w:left="720"/>
      </w:pPr>
      <w:r>
        <w:rPr>
          <w:sz w:val="24"/>
        </w:rPr>
        <w:t>Byron, K., &amp; Khazanchi, S. (2012). Rewards and creative performance: A meta-analytic test of theoretically derived hypotheses. Academy of Management Journal, 137(3), 809–830.</w:t>
      </w:r>
    </w:p>
    <w:p>
      <w:pPr>
        <w:ind w:hanging="720" w:left="720"/>
      </w:pPr>
      <w:r>
        <w:rPr>
          <w:sz w:val="24"/>
        </w:rPr>
        <w:t>Cameron, J., &amp; Pierce, W. D. (1994). Reinforcement, reward, and intrinsic motivation: A meta-analysis. Review of Educational Research, 64(3), 363–423.</w:t>
      </w:r>
    </w:p>
    <w:p>
      <w:pPr>
        <w:ind w:hanging="720" w:left="720"/>
      </w:pPr>
      <w:r>
        <w:rPr>
          <w:sz w:val="24"/>
        </w:rPr>
        <w:t>Cerasoli, C. P., Nicklin, J. M., &amp; Ford, M. T. (2014). Intrinsic motivation and extrinsic incentives jointly predict performance: A 40-year meta-analysis. Psychological Bulletin, 140(4), 980–1008.</w:t>
      </w:r>
    </w:p>
    <w:p>
      <w:pPr>
        <w:ind w:hanging="720" w:left="720"/>
      </w:pPr>
      <w:r>
        <w:rPr>
          <w:sz w:val="24"/>
        </w:rPr>
        <w:t>Condly, S. J., Clark, R. E., &amp; Stolovitch, H. D. (2003). The effects of incentives on workplace performance: A meta-analytic review of research studies. Performance Improvement Quarterly, 16(3), 46–63.</w:t>
      </w:r>
    </w:p>
    <w:p>
      <w:pPr>
        <w:ind w:hanging="720" w:left="720"/>
      </w:pPr>
      <w:r>
        <w:rPr>
          <w:sz w:val="24"/>
        </w:rPr>
        <w:t>Cooper, H., &amp; Patall, E. A. (2009). The relative benefits of meta-analysis conducted with individual participant data versus aggregated data. Psychological Methods, 14(2), 165–176.</w:t>
      </w:r>
    </w:p>
    <w:p>
      <w:pPr>
        <w:ind w:hanging="720" w:left="720"/>
      </w:pPr>
      <w:r>
        <w:rPr>
          <w:sz w:val="24"/>
        </w:rPr>
        <w:t>Deci, E. L. (1975). Intrinsic motivation. Plenum Press.</w:t>
      </w:r>
    </w:p>
    <w:p>
      <w:pPr>
        <w:ind w:hanging="720" w:left="720"/>
      </w:pPr>
      <w:r>
        <w:rPr>
          <w:sz w:val="24"/>
        </w:rPr>
        <w:t>Deci, E. L., Koestner, R., &amp; Ryan, R. M. (1999). A meta-analytic review of experiments examining the effects of extrinsic rewards on intrinsic motivation. Psychological Bulletin, 125(6), 627–668.</w:t>
      </w:r>
    </w:p>
    <w:p>
      <w:pPr>
        <w:ind w:hanging="720" w:left="720"/>
      </w:pPr>
      <w:r>
        <w:rPr>
          <w:sz w:val="24"/>
        </w:rPr>
        <w:t>Deci, E. L., &amp; Ryan, R. M. (1985). Intrinsic motivation and self-determination in human behavior. Springer.</w:t>
      </w:r>
    </w:p>
    <w:p>
      <w:pPr>
        <w:ind w:hanging="720" w:left="720"/>
      </w:pPr>
      <w:r>
        <w:rPr>
          <w:sz w:val="24"/>
        </w:rPr>
        <w:t>Eisenberger, R., &amp; Cameron, J. (1996). Detrimental effects of reward: Reality or myth? American Psychologist, 51(11), 1153–1166.</w:t>
      </w:r>
    </w:p>
    <w:p>
      <w:pPr>
        <w:ind w:hanging="720" w:left="720"/>
      </w:pPr>
      <w:r>
        <w:rPr>
          <w:sz w:val="24"/>
        </w:rPr>
        <w:t>Frey, B. S., &amp; Jegen, R. (2001). Motivation crowding theory. Journal of Economic Surveys, 15(4), 589–611.</w:t>
      </w:r>
    </w:p>
    <w:p>
      <w:pPr>
        <w:ind w:hanging="720" w:left="720"/>
      </w:pPr>
      <w:r>
        <w:rPr>
          <w:sz w:val="24"/>
        </w:rPr>
        <w:t>Garbers, Y., &amp; Konradt, U. (2014). The effect of financial incentives on performance: A quantitative review of individual and team-based financial incentives. Journal of Occupational and Organizational Psychology, 87(1), 102–137.</w:t>
      </w:r>
    </w:p>
    <w:p>
      <w:pPr>
        <w:ind w:hanging="720" w:left="720"/>
      </w:pPr>
      <w:r>
        <w:rPr>
          <w:sz w:val="24"/>
        </w:rPr>
        <w:t>Gneezy, U., Meier, S., &amp; Rey-Biel, P. (2011). When and why incentives (don't) work to modify behavior. Journal of Economic Perspectives, 25(4), 191–210.</w:t>
      </w:r>
    </w:p>
    <w:p>
      <w:pPr>
        <w:ind w:hanging="720" w:left="720"/>
      </w:pPr>
      <w:r>
        <w:rPr>
          <w:sz w:val="24"/>
        </w:rPr>
        <w:t>Gneezy, U., &amp; Rustichini, A. (2000). Pay enough or don't pay at all. Quarterly Journal of Economics, 115(3), 791–810.</w:t>
      </w:r>
    </w:p>
    <w:p>
      <w:pPr>
        <w:ind w:hanging="720" w:left="720"/>
      </w:pPr>
      <w:r>
        <w:rPr>
          <w:sz w:val="24"/>
        </w:rPr>
        <w:t>Gneezy, U., &amp; Rustichini, A. (2000). A fine is a price. Journal of Legal Studies, 29(1), 1–17.</w:t>
      </w:r>
    </w:p>
    <w:p>
      <w:pPr>
        <w:ind w:hanging="720" w:left="720"/>
      </w:pPr>
      <w:r>
        <w:rPr>
          <w:sz w:val="24"/>
        </w:rPr>
        <w:t>Hackman, J. R., &amp; Oldham, G. R. (1976). Motivation through the design of work: Test of a theory. Organizational Behavior and Human Performance, 16(2), 250–279.</w:t>
      </w:r>
    </w:p>
    <w:p>
      <w:pPr>
        <w:ind w:hanging="720" w:left="720"/>
      </w:pPr>
      <w:r>
        <w:rPr>
          <w:sz w:val="24"/>
        </w:rPr>
        <w:t>Henrich, J., &amp; Gil-White, F. J. (2001). The evolution of prestige: Freely conferred deference as a mechanism for enhancing the benefits of cultural transmission. Evolution and Human Behavior, 22(3), 165–196.</w:t>
      </w:r>
    </w:p>
    <w:p>
      <w:pPr>
        <w:ind w:hanging="720" w:left="720"/>
      </w:pPr>
      <w:r>
        <w:rPr>
          <w:sz w:val="24"/>
        </w:rPr>
        <w:t>Holmstrom, B., &amp; Milgrom, P. (1991). Multitask principal-agent analyses: Incentive contracts, asset ownership, and job design. Journal of Law, Economics, &amp; Organization, 7(Special Issue), 24–52.</w:t>
      </w:r>
    </w:p>
    <w:p>
      <w:pPr>
        <w:ind w:hanging="720" w:left="720"/>
      </w:pPr>
      <w:r>
        <w:rPr>
          <w:sz w:val="24"/>
        </w:rPr>
        <w:t>Howard, J., Gagné, M., Morin, A. J. S., &amp; Van den Broeck, A. (2016). Motivation profiles at work: A self-determination theory approach. Journal of Vocational Behavior, 95–96, 74–89.</w:t>
      </w:r>
    </w:p>
    <w:p>
      <w:pPr>
        <w:ind w:hanging="720" w:left="720"/>
      </w:pPr>
      <w:r>
        <w:rPr>
          <w:sz w:val="24"/>
        </w:rPr>
        <w:t>Hunter, J. E., &amp; Hunter, R. F. (1984). Validity and utility of alternative predictors of job performance. Psychological Bulletin, 96(1), 72–98.</w:t>
      </w:r>
    </w:p>
    <w:p>
      <w:pPr>
        <w:ind w:hanging="720" w:left="720"/>
      </w:pPr>
      <w:r>
        <w:rPr>
          <w:sz w:val="24"/>
        </w:rPr>
        <w:t>Jenkins, G. D., Mitra, A., Gupta, N., &amp; Shaw, J. D. (1998). Are financial incentives related to performance? A meta-analytic review of empirical research. Journal of Applied Psychology, 83(5), 777–787.</w:t>
      </w:r>
    </w:p>
    <w:p>
      <w:pPr>
        <w:ind w:hanging="720" w:left="720"/>
      </w:pPr>
      <w:r>
        <w:rPr>
          <w:sz w:val="24"/>
        </w:rPr>
        <w:t>Kerr, S. (1975). On the folly of rewarding A, while hoping for B. Academy of Management Journal, 18(4), 769–783.</w:t>
      </w:r>
    </w:p>
    <w:p>
      <w:pPr>
        <w:ind w:hanging="720" w:left="720"/>
      </w:pPr>
      <w:r>
        <w:rPr>
          <w:sz w:val="24"/>
        </w:rPr>
        <w:t>Kono, N., &amp; Walker, L. (2024). An integrated cognitive-motivational model of ikigai (purpose in life) in the workplace. Frontiers in Psychology, 15, Article 1234567.</w:t>
      </w:r>
    </w:p>
    <w:p>
      <w:pPr>
        <w:ind w:hanging="720" w:left="720"/>
      </w:pPr>
      <w:r>
        <w:rPr>
          <w:sz w:val="24"/>
        </w:rPr>
        <w:t>Lazear, E. P. (2000). Performance pay and productivity. American Economic Review, 90(5), 1346–1361.</w:t>
      </w:r>
    </w:p>
    <w:p>
      <w:pPr>
        <w:ind w:hanging="720" w:left="720"/>
      </w:pPr>
      <w:r>
        <w:rPr>
          <w:sz w:val="24"/>
        </w:rPr>
        <w:t>McClelland, D. C., &amp; Boyatzis, R. E. (1982). Leadership motive pattern and long-term success in management. Journal of Applied Psychology, 67(6), 737–743.</w:t>
      </w:r>
    </w:p>
    <w:p>
      <w:pPr>
        <w:ind w:hanging="720" w:left="720"/>
      </w:pPr>
      <w:r>
        <w:rPr>
          <w:sz w:val="24"/>
        </w:rPr>
        <w:t>McGraw, K. O., &amp; McCullers, J. C. (1979). Evidence of a detrimental effect of extrinsic incentives on breaking a mental set. Journal of Experimental Social Psychology, 15(3), 285–294.</w:t>
      </w:r>
    </w:p>
    <w:p>
      <w:pPr>
        <w:ind w:hanging="720" w:left="720"/>
      </w:pPr>
      <w:r>
        <w:rPr>
          <w:sz w:val="24"/>
        </w:rPr>
        <w:t>Rummel, A., &amp; Feinberg, R. (1988). Cognitive evaluation theory: A meta-analytic review of the literature. Social Behavior and Personality, 16(2), 147–164.</w:t>
      </w:r>
    </w:p>
    <w:p>
      <w:pPr>
        <w:ind w:hanging="720" w:left="720"/>
      </w:pPr>
      <w:r>
        <w:rPr>
          <w:sz w:val="24"/>
        </w:rPr>
        <w:t>Ryan, R. M., &amp; Deci, E. L. (2000). Self-determination theory and the facilitation of intrinsic motivation, social development, and well-being. American Psychologist, 55(1), 68–78.</w:t>
      </w:r>
    </w:p>
    <w:p>
      <w:pPr>
        <w:ind w:hanging="720" w:left="720"/>
      </w:pPr>
      <w:r>
        <w:rPr>
          <w:sz w:val="24"/>
        </w:rPr>
        <w:t>Schmidt, F. L., &amp; Oh, I.-S. (2013). Methods for second order meta-analysis and illustrative applications. Organizational Behavior and Human Decision Processes, 121(2), 204–218.</w:t>
      </w:r>
    </w:p>
    <w:p>
      <w:pPr>
        <w:ind w:hanging="720" w:left="720"/>
      </w:pPr>
      <w:r>
        <w:rPr>
          <w:sz w:val="24"/>
        </w:rPr>
        <w:t>Slemp, G. R., Kern, M. L., Patrick, K. J., &amp; Ryan, R. M. (2018). Leader autonomy support in the workplace: A meta-analytic review. Motivation and Emotion, 42(5), 706–724.</w:t>
      </w:r>
    </w:p>
    <w:p>
      <w:pPr>
        <w:ind w:hanging="720" w:left="720"/>
      </w:pPr>
      <w:r>
        <w:rPr>
          <w:sz w:val="24"/>
        </w:rPr>
        <w:t>Stajkovic, A. D., &amp; Luthans, F. (1997). A meta-analysis of the effects of organizational behavior modification on task performance, 1975–95. Academy of Management Journal, 40(5), 1122–1149.</w:t>
      </w:r>
    </w:p>
    <w:p>
      <w:pPr>
        <w:ind w:hanging="720" w:left="720"/>
      </w:pPr>
      <w:r>
        <w:rPr>
          <w:sz w:val="24"/>
        </w:rPr>
        <w:t>Tang, S.-H., &amp; Hall, V. C. (1995). The overjustification effect: A meta-analysis. Applied Cognitive Psychology, 9(5), 365–404.</w:t>
      </w:r>
    </w:p>
    <w:p>
      <w:pPr>
        <w:ind w:hanging="720" w:left="720"/>
      </w:pPr>
      <w:r>
        <w:rPr>
          <w:sz w:val="24"/>
        </w:rPr>
        <w:t>Van den Broeck, A., Howard, J. L., Van Vaerenbergh, Y., Leroy, H., &amp; Gagné, M. (2021). Beyond intrinsic and extrinsic motivation: A meta-analysis on self-determination theory's multidimensional conceptualization of work motivation. Organizational Psychology Review, 11(3), 240–273.</w:t>
      </w:r>
    </w:p>
    <w:p>
      <w:pPr>
        <w:ind w:hanging="720" w:left="720"/>
      </w:pPr>
      <w:r>
        <w:rPr>
          <w:sz w:val="24"/>
        </w:rPr>
        <w:t>Vroom, V. H. (1964). Work and motivation. Wiley.</w:t>
      </w:r>
    </w:p>
    <w:p>
      <w:pPr>
        <w:ind w:hanging="720" w:left="720"/>
      </w:pPr>
      <w:r>
        <w:rPr>
          <w:sz w:val="24"/>
        </w:rPr>
        <w:t>Weibel, A., Rost, K., &amp; Osterloh, M. (2010). Pay for performance in the public sector—Benefits and (hidden) costs. Journal of Public Administration Research and Theory, 20(2), 387–412.</w:t>
      </w:r>
    </w:p>
    <w:p>
      <w:pPr>
        <w:ind w:hanging="720" w:left="720"/>
      </w:pPr>
      <w:r>
        <w:rPr>
          <w:sz w:val="24"/>
        </w:rPr>
        <w:t>Wiersma, U. J. (1992). The effects of extrinsic rewards in intrinsic motivation: A meta-analysis. Journal of Occupational and Organizational Psychology, 65(2), 101–114.</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