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8E75E6"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047386"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8E75E6"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8E75E6"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8E75E6"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8E75E6"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8E75E6"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8E75E6"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8E75E6"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8E75E6"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8E75E6"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8E75E6"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8E75E6"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8E75E6"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8E75E6"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8E75E6"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8E75E6"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8E75E6"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8E75E6"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8E75E6"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8E75E6"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8E75E6"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8E75E6"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8E75E6"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8E75E6"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8E75E6"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8E75E6"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8E75E6"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8E75E6"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8E75E6"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8E75E6"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8E75E6"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8E75E6"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8E75E6"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8E75E6"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8E75E6"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8E75E6"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8E75E6"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8E75E6"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8E75E6"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8E75E6"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8E75E6"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8E75E6"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8E75E6"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8E75E6"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8E75E6"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8E75E6"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8E75E6"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8E75E6"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77777777"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38BBB5E2"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0ECDB723"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rPr>
          <w:rFonts w:hint="eastAsia"/>
        </w:rPr>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66259DDD" w:rsidR="00C662B0" w:rsidRDefault="008E75E6" w:rsidP="00483B31">
      <w:pPr>
        <w:pStyle w:val="2"/>
        <w:spacing w:before="240"/>
        <w:ind w:left="578" w:hanging="578"/>
        <w:rPr>
          <w:rFonts w:ascii="宋体" w:eastAsia="宋体" w:hAnsi="宋体" w:hint="eastAsia"/>
        </w:rPr>
      </w:pPr>
      <w:r w:rsidRPr="00483B31">
        <w:rPr>
          <w:rFonts w:ascii="宋体" w:eastAsia="宋体" w:hAnsi="宋体" w:hint="eastAsia"/>
        </w:rPr>
        <w:lastRenderedPageBreak/>
        <w:t>语义细胞的学习原则</w:t>
      </w:r>
    </w:p>
    <w:p w14:paraId="6C023F05" w14:textId="4B4D3321" w:rsidR="00483B31" w:rsidRDefault="006573F4" w:rsidP="006573F4">
      <w:pPr>
        <w:pStyle w:val="a1"/>
        <w:spacing w:line="360" w:lineRule="auto"/>
        <w:ind w:firstLine="480"/>
        <w:rPr>
          <w:rFonts w:hint="eastAsia"/>
        </w:rPr>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hint="eastAsia"/>
        </w:rPr>
      </w:pPr>
      <w:r w:rsidRPr="006573F4">
        <w:rPr>
          <w:rFonts w:ascii="宋体" w:eastAsia="宋体" w:hAnsi="宋体" w:hint="eastAsia"/>
        </w:rPr>
        <w:t>合理粒度原则</w:t>
      </w:r>
    </w:p>
    <w:p w14:paraId="6DF627A3" w14:textId="4D1E835F" w:rsidR="006573F4" w:rsidRDefault="001D7886" w:rsidP="001070CF">
      <w:pPr>
        <w:pStyle w:val="a1"/>
        <w:spacing w:line="360" w:lineRule="auto"/>
        <w:ind w:firstLine="480"/>
        <w:rPr>
          <w:rFonts w:hint="eastAsia"/>
        </w:rPr>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方面做出了卓越的贡献，提出了合理力度原则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rPr>
          <w:rFonts w:hint="eastAsia"/>
        </w:rPr>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191A2492" w14:textId="5945E40D" w:rsidR="00D53496" w:rsidRDefault="00475DD1" w:rsidP="000C6A86">
      <w:pPr>
        <w:pStyle w:val="a1"/>
        <w:spacing w:line="360" w:lineRule="auto"/>
        <w:ind w:firstLineChars="0" w:firstLine="0"/>
        <w:jc w:val="left"/>
        <w:rPr>
          <w:rFonts w:hint="eastAsia"/>
        </w:rPr>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5975287" w14:textId="77777777" w:rsidR="003F486A" w:rsidRPr="003F486A" w:rsidRDefault="003F486A" w:rsidP="000C6A86">
      <w:pPr>
        <w:pStyle w:val="a1"/>
        <w:spacing w:line="360" w:lineRule="auto"/>
        <w:ind w:firstLineChars="0" w:firstLine="0"/>
        <w:jc w:val="left"/>
        <w:rPr>
          <w:rFonts w:hint="eastAsia"/>
        </w:rPr>
      </w:pPr>
      <w:bookmarkStart w:id="19" w:name="_GoBack"/>
      <w:bookmarkEnd w:id="19"/>
    </w:p>
    <w:p w14:paraId="4B0415B7" w14:textId="77777777" w:rsidR="003F486A" w:rsidRPr="003F486A" w:rsidRDefault="003F486A" w:rsidP="000C6A86">
      <w:pPr>
        <w:pStyle w:val="a1"/>
        <w:spacing w:line="360" w:lineRule="auto"/>
        <w:ind w:firstLineChars="0" w:firstLine="0"/>
        <w:jc w:val="left"/>
        <w:rPr>
          <w:rFonts w:hint="eastAsia"/>
          <w:i/>
        </w:rPr>
      </w:pPr>
    </w:p>
    <w:p w14:paraId="4070F920" w14:textId="77777777" w:rsidR="00C662B0" w:rsidRPr="007505F9" w:rsidRDefault="00C662B0" w:rsidP="000C68E6">
      <w:pPr>
        <w:pStyle w:val="a1"/>
        <w:ind w:firstLine="480"/>
      </w:pPr>
    </w:p>
    <w:p w14:paraId="4912246E" w14:textId="77777777" w:rsidR="00C662B0" w:rsidRDefault="00C662B0" w:rsidP="000C68E6">
      <w:pPr>
        <w:pStyle w:val="a1"/>
        <w:ind w:firstLine="480"/>
      </w:pPr>
    </w:p>
    <w:p w14:paraId="580C67B3" w14:textId="77777777" w:rsidR="00C662B0" w:rsidRDefault="00C662B0" w:rsidP="000C68E6">
      <w:pPr>
        <w:pStyle w:val="a1"/>
        <w:ind w:firstLine="480"/>
      </w:pPr>
    </w:p>
    <w:p w14:paraId="57DD7993" w14:textId="77777777" w:rsidR="000C68E6" w:rsidRDefault="000C68E6" w:rsidP="000C68E6">
      <w:pPr>
        <w:pStyle w:val="a1"/>
        <w:ind w:firstLine="480"/>
      </w:pPr>
    </w:p>
    <w:p w14:paraId="668DE620" w14:textId="77777777" w:rsidR="000C68E6" w:rsidRDefault="000C68E6" w:rsidP="000C68E6">
      <w:pPr>
        <w:pStyle w:val="a1"/>
        <w:ind w:firstLine="480"/>
      </w:pPr>
    </w:p>
    <w:p w14:paraId="6CC23EC7" w14:textId="77777777" w:rsidR="000C68E6" w:rsidRDefault="000C68E6" w:rsidP="000C68E6">
      <w:pPr>
        <w:pStyle w:val="a1"/>
        <w:ind w:firstLine="480"/>
      </w:pPr>
    </w:p>
    <w:p w14:paraId="72EF3A5F" w14:textId="77777777" w:rsidR="000C68E6" w:rsidRDefault="000C68E6" w:rsidP="000C68E6">
      <w:pPr>
        <w:pStyle w:val="a1"/>
        <w:ind w:firstLine="480"/>
      </w:pPr>
    </w:p>
    <w:p w14:paraId="5E9F45DF" w14:textId="77777777" w:rsidR="000C68E6" w:rsidRDefault="000C68E6" w:rsidP="000C68E6">
      <w:pPr>
        <w:pStyle w:val="a1"/>
        <w:ind w:firstLine="480"/>
      </w:pPr>
    </w:p>
    <w:p w14:paraId="1F48637D" w14:textId="77777777" w:rsidR="000C68E6" w:rsidRDefault="000C68E6" w:rsidP="000C68E6">
      <w:pPr>
        <w:pStyle w:val="a1"/>
        <w:ind w:firstLine="480"/>
      </w:pPr>
    </w:p>
    <w:p w14:paraId="371D8655" w14:textId="77777777" w:rsidR="000C68E6" w:rsidRDefault="000C68E6" w:rsidP="000C68E6">
      <w:pPr>
        <w:pStyle w:val="a1"/>
        <w:ind w:firstLine="480"/>
      </w:pPr>
    </w:p>
    <w:p w14:paraId="02B72F25" w14:textId="77777777" w:rsidR="000C68E6" w:rsidRDefault="000C68E6" w:rsidP="000C68E6">
      <w:pPr>
        <w:pStyle w:val="a1"/>
        <w:ind w:firstLine="480"/>
      </w:pPr>
    </w:p>
    <w:p w14:paraId="48983DC3" w14:textId="77777777" w:rsidR="000C68E6" w:rsidRDefault="000C68E6" w:rsidP="000C68E6">
      <w:pPr>
        <w:pStyle w:val="a1"/>
        <w:ind w:firstLine="480"/>
      </w:pPr>
    </w:p>
    <w:p w14:paraId="138638D6" w14:textId="77777777" w:rsidR="000C68E6" w:rsidRDefault="000C68E6" w:rsidP="000C68E6">
      <w:pPr>
        <w:pStyle w:val="a1"/>
        <w:ind w:firstLine="480"/>
      </w:pPr>
    </w:p>
    <w:p w14:paraId="1F3F2FCD" w14:textId="77777777" w:rsidR="000C68E6" w:rsidRDefault="000C68E6" w:rsidP="000C68E6">
      <w:pPr>
        <w:pStyle w:val="a1"/>
        <w:ind w:firstLine="480"/>
      </w:pPr>
    </w:p>
    <w:p w14:paraId="56199EF1" w14:textId="77777777" w:rsidR="000C68E6" w:rsidRDefault="000C68E6" w:rsidP="000C68E6">
      <w:pPr>
        <w:pStyle w:val="a1"/>
        <w:ind w:firstLine="480"/>
      </w:pPr>
    </w:p>
    <w:p w14:paraId="2FF36ABA" w14:textId="77777777" w:rsidR="000C68E6" w:rsidRDefault="000C68E6" w:rsidP="000C68E6">
      <w:pPr>
        <w:pStyle w:val="a1"/>
        <w:ind w:firstLine="480"/>
      </w:pPr>
    </w:p>
    <w:p w14:paraId="28523FFB" w14:textId="77777777" w:rsidR="000C68E6" w:rsidRDefault="000C68E6" w:rsidP="000C68E6">
      <w:pPr>
        <w:pStyle w:val="a1"/>
        <w:ind w:firstLine="480"/>
      </w:pPr>
    </w:p>
    <w:p w14:paraId="766D54ED" w14:textId="77777777" w:rsidR="000C68E6" w:rsidRDefault="000C68E6" w:rsidP="000C68E6">
      <w:pPr>
        <w:pStyle w:val="a1"/>
        <w:ind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2F571FAC" w14:textId="77777777" w:rsidR="000C68E6" w:rsidRDefault="000C68E6" w:rsidP="000C68E6">
      <w:pPr>
        <w:pStyle w:val="a1"/>
        <w:ind w:firstLine="480"/>
      </w:pPr>
    </w:p>
    <w:p w14:paraId="50378F54" w14:textId="77777777" w:rsidR="000C68E6" w:rsidRPr="000C68E6" w:rsidRDefault="000C68E6" w:rsidP="000C68E6">
      <w:pPr>
        <w:pStyle w:val="a1"/>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8E75E6" w:rsidRDefault="008E75E6"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8E75E6" w:rsidRPr="00EA7A7A" w:rsidRDefault="008E75E6"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8E75E6" w:rsidRDefault="008E75E6" w:rsidP="00193032">
                              <w:r>
                                <w:rPr>
                                  <w:rFonts w:hint="eastAsia"/>
                                </w:rPr>
                                <w:t>根据错误的文件名以及行号确定</w:t>
                              </w:r>
                            </w:p>
                            <w:p w14:paraId="7F5483D6" w14:textId="77777777" w:rsidR="008E75E6" w:rsidRDefault="008E75E6"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8E75E6" w:rsidRDefault="008E75E6"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8E75E6" w:rsidRDefault="008E75E6"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8E75E6" w:rsidRDefault="008E75E6"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8E75E6" w:rsidRPr="00EA7A7A" w:rsidRDefault="008E75E6"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8E75E6" w:rsidRDefault="008E75E6" w:rsidP="00193032">
                        <w:r>
                          <w:rPr>
                            <w:rFonts w:hint="eastAsia"/>
                          </w:rPr>
                          <w:t>根据错误的文件名以及行号确定</w:t>
                        </w:r>
                      </w:p>
                      <w:p w14:paraId="7F5483D6" w14:textId="77777777" w:rsidR="008E75E6" w:rsidRDefault="008E75E6"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8E75E6" w:rsidRDefault="008E75E6"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8E75E6" w:rsidRDefault="008E75E6"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F8364E6" w14:textId="77777777" w:rsidR="001E7681" w:rsidRDefault="001E7681">
      <w:r>
        <w:separator/>
      </w:r>
    </w:p>
  </w:endnote>
  <w:endnote w:type="continuationSeparator" w:id="0">
    <w:p w14:paraId="59CEE234" w14:textId="77777777" w:rsidR="001E7681" w:rsidRDefault="001E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3F486A">
      <w:rPr>
        <w:rStyle w:val="af7"/>
        <w:noProof/>
      </w:rPr>
      <w:t>18</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3F486A">
      <w:rPr>
        <w:rStyle w:val="af7"/>
        <w:noProof/>
      </w:rPr>
      <w:t>19</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20</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0C6A86">
      <w:rPr>
        <w:rStyle w:val="af7"/>
        <w:noProof/>
      </w:rPr>
      <w:t>21</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0C6A86">
      <w:rPr>
        <w:rStyle w:val="af7"/>
        <w:noProof/>
      </w:rPr>
      <w:t>22</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21</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22</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0C6A86">
      <w:rPr>
        <w:rStyle w:val="af7"/>
        <w:noProof/>
      </w:rPr>
      <w:t>23</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24</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23</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24</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25</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26</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25</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26</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27</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28</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27</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8E75E6" w:rsidRDefault="008E75E6">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28</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29</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30</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6573F4">
      <w:rPr>
        <w:rStyle w:val="af7"/>
        <w:noProof/>
      </w:rPr>
      <w:t>29</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8E75E6" w:rsidRPr="005F5043"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8E75E6" w:rsidRDefault="008E75E6" w:rsidP="00193032">
    <w:pPr>
      <w:pStyle w:val="af6"/>
      <w:jc w:val="center"/>
    </w:pPr>
    <w:r>
      <w:rPr>
        <w:rStyle w:val="af7"/>
      </w:rPr>
      <w:fldChar w:fldCharType="begin"/>
    </w:r>
    <w:r>
      <w:rPr>
        <w:rStyle w:val="af7"/>
      </w:rPr>
      <w:instrText xml:space="preserve"> PAGE </w:instrText>
    </w:r>
    <w:r>
      <w:rPr>
        <w:rStyle w:val="af7"/>
      </w:rPr>
      <w:fldChar w:fldCharType="separate"/>
    </w:r>
    <w:r w:rsidR="007505F9">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56532CC" w14:textId="77777777" w:rsidR="001E7681" w:rsidRDefault="001E7681">
      <w:r>
        <w:separator/>
      </w:r>
    </w:p>
  </w:footnote>
  <w:footnote w:type="continuationSeparator" w:id="0">
    <w:p w14:paraId="22F40F6E" w14:textId="77777777" w:rsidR="001E7681" w:rsidRDefault="001E7681">
      <w:r>
        <w:continuationSeparator/>
      </w:r>
    </w:p>
  </w:footnote>
  <w:footnote w:id="1">
    <w:p w14:paraId="5EF63223" w14:textId="77777777" w:rsidR="008E75E6" w:rsidRDefault="008E75E6">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505F9">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8E75E6" w:rsidRPr="00EF609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3F486A">
      <w:rPr>
        <w:rFonts w:hint="eastAsia"/>
        <w:noProof/>
      </w:rPr>
      <w:t>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8E75E6" w:rsidRPr="005B5113" w:rsidRDefault="008E75E6"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8E75E6" w:rsidRPr="0025157C"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8E75E6" w:rsidRPr="0025157C"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8E75E6" w:rsidRPr="005B5113" w:rsidRDefault="008E75E6"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8E75E6" w:rsidRDefault="008E75E6"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505F9">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8E75E6" w:rsidRDefault="008E75E6"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505F9">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8E75E6" w:rsidRPr="0001043E" w:rsidRDefault="008E75E6"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505F9">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6573F4">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8E75E6" w:rsidRDefault="008E75E6">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6573F4">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505F9">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8E75E6" w:rsidRPr="00F53623" w:rsidRDefault="008E75E6"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8E75E6" w:rsidRPr="004266E6" w:rsidRDefault="008E75E6"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8E75E6" w:rsidRPr="004266E6" w:rsidRDefault="008E75E6"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8E75E6" w:rsidRDefault="008E75E6"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505F9">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505F9">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8E75E6" w:rsidRPr="004266E6" w:rsidRDefault="008E75E6"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505F9">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8E75E6" w:rsidRDefault="008E75E6">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505F9">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8E75E6" w:rsidRPr="004266E6" w:rsidRDefault="008E75E6"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505F9">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8E75E6" w:rsidRPr="00C42988" w:rsidRDefault="008E75E6"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3F486A">
      <w:rPr>
        <w:rFonts w:hint="eastAsia"/>
        <w:noProof/>
      </w:rPr>
      <w:t>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BAB075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468B"/>
    <w:rsid w:val="000A10CA"/>
    <w:rsid w:val="000A25A6"/>
    <w:rsid w:val="000B0A1C"/>
    <w:rsid w:val="000B2884"/>
    <w:rsid w:val="000B3516"/>
    <w:rsid w:val="000C5DC4"/>
    <w:rsid w:val="000C68E6"/>
    <w:rsid w:val="000C6A86"/>
    <w:rsid w:val="000D1ACC"/>
    <w:rsid w:val="000D671A"/>
    <w:rsid w:val="000E0BBA"/>
    <w:rsid w:val="000E3D29"/>
    <w:rsid w:val="000E468F"/>
    <w:rsid w:val="001070CF"/>
    <w:rsid w:val="00107F04"/>
    <w:rsid w:val="00111F12"/>
    <w:rsid w:val="0011452F"/>
    <w:rsid w:val="001174F9"/>
    <w:rsid w:val="00117600"/>
    <w:rsid w:val="00130937"/>
    <w:rsid w:val="00135D03"/>
    <w:rsid w:val="00137BBE"/>
    <w:rsid w:val="00143FD7"/>
    <w:rsid w:val="00150331"/>
    <w:rsid w:val="00165EB9"/>
    <w:rsid w:val="00193032"/>
    <w:rsid w:val="001A4A5E"/>
    <w:rsid w:val="001B1FA1"/>
    <w:rsid w:val="001C7C7B"/>
    <w:rsid w:val="001D1C6F"/>
    <w:rsid w:val="001D5076"/>
    <w:rsid w:val="001D7886"/>
    <w:rsid w:val="001E0DDD"/>
    <w:rsid w:val="001E5F2B"/>
    <w:rsid w:val="001E7681"/>
    <w:rsid w:val="001F65F0"/>
    <w:rsid w:val="00201323"/>
    <w:rsid w:val="0021342A"/>
    <w:rsid w:val="00217B8C"/>
    <w:rsid w:val="00220849"/>
    <w:rsid w:val="00222A97"/>
    <w:rsid w:val="0022398A"/>
    <w:rsid w:val="00226956"/>
    <w:rsid w:val="002365D9"/>
    <w:rsid w:val="0023676C"/>
    <w:rsid w:val="00246191"/>
    <w:rsid w:val="002461B1"/>
    <w:rsid w:val="00247F93"/>
    <w:rsid w:val="0025275C"/>
    <w:rsid w:val="0025350C"/>
    <w:rsid w:val="00255CA2"/>
    <w:rsid w:val="00261949"/>
    <w:rsid w:val="00263619"/>
    <w:rsid w:val="002700D8"/>
    <w:rsid w:val="0027241E"/>
    <w:rsid w:val="00276B6C"/>
    <w:rsid w:val="00285E2D"/>
    <w:rsid w:val="00287CE2"/>
    <w:rsid w:val="002A2634"/>
    <w:rsid w:val="002A2A15"/>
    <w:rsid w:val="002A4B4B"/>
    <w:rsid w:val="002B41ED"/>
    <w:rsid w:val="002C0ED7"/>
    <w:rsid w:val="002C4968"/>
    <w:rsid w:val="002E36A6"/>
    <w:rsid w:val="002E5E6E"/>
    <w:rsid w:val="002E5FCF"/>
    <w:rsid w:val="002F21EA"/>
    <w:rsid w:val="002F40A3"/>
    <w:rsid w:val="002F64C4"/>
    <w:rsid w:val="00310D55"/>
    <w:rsid w:val="00316156"/>
    <w:rsid w:val="00320ECD"/>
    <w:rsid w:val="00324161"/>
    <w:rsid w:val="00334216"/>
    <w:rsid w:val="00340C80"/>
    <w:rsid w:val="003411E8"/>
    <w:rsid w:val="0034125C"/>
    <w:rsid w:val="003620D2"/>
    <w:rsid w:val="003631D5"/>
    <w:rsid w:val="00370D26"/>
    <w:rsid w:val="00384F32"/>
    <w:rsid w:val="003867F6"/>
    <w:rsid w:val="003A2890"/>
    <w:rsid w:val="003B6030"/>
    <w:rsid w:val="003C0142"/>
    <w:rsid w:val="003C10E5"/>
    <w:rsid w:val="003E1CD0"/>
    <w:rsid w:val="003F486A"/>
    <w:rsid w:val="00404007"/>
    <w:rsid w:val="00405C07"/>
    <w:rsid w:val="0040621F"/>
    <w:rsid w:val="0042234E"/>
    <w:rsid w:val="00427686"/>
    <w:rsid w:val="00435617"/>
    <w:rsid w:val="00436AF4"/>
    <w:rsid w:val="00441717"/>
    <w:rsid w:val="00445556"/>
    <w:rsid w:val="0045487D"/>
    <w:rsid w:val="00455231"/>
    <w:rsid w:val="004631B5"/>
    <w:rsid w:val="004635B2"/>
    <w:rsid w:val="00475DD1"/>
    <w:rsid w:val="00483B31"/>
    <w:rsid w:val="00485C2C"/>
    <w:rsid w:val="00490A04"/>
    <w:rsid w:val="0049257D"/>
    <w:rsid w:val="004A08F8"/>
    <w:rsid w:val="004A26A5"/>
    <w:rsid w:val="004B69A9"/>
    <w:rsid w:val="004C39E9"/>
    <w:rsid w:val="004C4E6B"/>
    <w:rsid w:val="004C705B"/>
    <w:rsid w:val="004D3C74"/>
    <w:rsid w:val="004E7D0D"/>
    <w:rsid w:val="004F3418"/>
    <w:rsid w:val="004F3DB5"/>
    <w:rsid w:val="004F6838"/>
    <w:rsid w:val="00503D80"/>
    <w:rsid w:val="005132AE"/>
    <w:rsid w:val="0051647B"/>
    <w:rsid w:val="0053213E"/>
    <w:rsid w:val="005352F4"/>
    <w:rsid w:val="00542491"/>
    <w:rsid w:val="005429F6"/>
    <w:rsid w:val="00547FB7"/>
    <w:rsid w:val="0055030F"/>
    <w:rsid w:val="005517FE"/>
    <w:rsid w:val="00554BDF"/>
    <w:rsid w:val="00572D2F"/>
    <w:rsid w:val="00573558"/>
    <w:rsid w:val="005805B1"/>
    <w:rsid w:val="00581A3F"/>
    <w:rsid w:val="00591AAC"/>
    <w:rsid w:val="005D40AA"/>
    <w:rsid w:val="005D7C0A"/>
    <w:rsid w:val="005E07C8"/>
    <w:rsid w:val="005F00C0"/>
    <w:rsid w:val="005F157A"/>
    <w:rsid w:val="005F498B"/>
    <w:rsid w:val="00603857"/>
    <w:rsid w:val="00605228"/>
    <w:rsid w:val="00606581"/>
    <w:rsid w:val="006160E6"/>
    <w:rsid w:val="00620C63"/>
    <w:rsid w:val="006301D2"/>
    <w:rsid w:val="00642630"/>
    <w:rsid w:val="00644250"/>
    <w:rsid w:val="006573F4"/>
    <w:rsid w:val="00662571"/>
    <w:rsid w:val="00671975"/>
    <w:rsid w:val="00672D85"/>
    <w:rsid w:val="00673445"/>
    <w:rsid w:val="00674BCE"/>
    <w:rsid w:val="00676CDF"/>
    <w:rsid w:val="00681ACD"/>
    <w:rsid w:val="00682CF4"/>
    <w:rsid w:val="006838AB"/>
    <w:rsid w:val="00687C88"/>
    <w:rsid w:val="00691702"/>
    <w:rsid w:val="006958AD"/>
    <w:rsid w:val="006A3FD5"/>
    <w:rsid w:val="006A508B"/>
    <w:rsid w:val="006A69C8"/>
    <w:rsid w:val="006A7DF9"/>
    <w:rsid w:val="006B50D7"/>
    <w:rsid w:val="006C550A"/>
    <w:rsid w:val="006D1287"/>
    <w:rsid w:val="006D3445"/>
    <w:rsid w:val="006D380D"/>
    <w:rsid w:val="006D3FA8"/>
    <w:rsid w:val="006D6C83"/>
    <w:rsid w:val="006F30E4"/>
    <w:rsid w:val="006F66A9"/>
    <w:rsid w:val="00710248"/>
    <w:rsid w:val="00742621"/>
    <w:rsid w:val="007435AB"/>
    <w:rsid w:val="0074523D"/>
    <w:rsid w:val="007462C4"/>
    <w:rsid w:val="007505F9"/>
    <w:rsid w:val="00764348"/>
    <w:rsid w:val="00773F96"/>
    <w:rsid w:val="00774BAE"/>
    <w:rsid w:val="00775801"/>
    <w:rsid w:val="0078210D"/>
    <w:rsid w:val="007A4398"/>
    <w:rsid w:val="007B2DCE"/>
    <w:rsid w:val="007B596C"/>
    <w:rsid w:val="007B7491"/>
    <w:rsid w:val="007B79F4"/>
    <w:rsid w:val="007B7C43"/>
    <w:rsid w:val="007C69F7"/>
    <w:rsid w:val="007D2D51"/>
    <w:rsid w:val="007D76AE"/>
    <w:rsid w:val="007E0CC8"/>
    <w:rsid w:val="007E1563"/>
    <w:rsid w:val="007E33EF"/>
    <w:rsid w:val="007F2654"/>
    <w:rsid w:val="007F3D16"/>
    <w:rsid w:val="007F501C"/>
    <w:rsid w:val="00810223"/>
    <w:rsid w:val="0081481E"/>
    <w:rsid w:val="00817268"/>
    <w:rsid w:val="00824FF0"/>
    <w:rsid w:val="008259A4"/>
    <w:rsid w:val="0082631F"/>
    <w:rsid w:val="008357C3"/>
    <w:rsid w:val="00842E64"/>
    <w:rsid w:val="00846259"/>
    <w:rsid w:val="008564B1"/>
    <w:rsid w:val="00863F6D"/>
    <w:rsid w:val="008668AA"/>
    <w:rsid w:val="00866EBD"/>
    <w:rsid w:val="00871B13"/>
    <w:rsid w:val="00882D1C"/>
    <w:rsid w:val="008868B2"/>
    <w:rsid w:val="008936D2"/>
    <w:rsid w:val="008B4E36"/>
    <w:rsid w:val="008B5C0C"/>
    <w:rsid w:val="008C1730"/>
    <w:rsid w:val="008C7409"/>
    <w:rsid w:val="008D0F84"/>
    <w:rsid w:val="008D27F7"/>
    <w:rsid w:val="008E1325"/>
    <w:rsid w:val="008E75E6"/>
    <w:rsid w:val="008F224D"/>
    <w:rsid w:val="008F7B8E"/>
    <w:rsid w:val="00914B9A"/>
    <w:rsid w:val="009155B8"/>
    <w:rsid w:val="00932894"/>
    <w:rsid w:val="009336BD"/>
    <w:rsid w:val="00933D08"/>
    <w:rsid w:val="0094626C"/>
    <w:rsid w:val="00950C73"/>
    <w:rsid w:val="00952B07"/>
    <w:rsid w:val="00956780"/>
    <w:rsid w:val="00957A4E"/>
    <w:rsid w:val="00963C33"/>
    <w:rsid w:val="00972139"/>
    <w:rsid w:val="00973FBB"/>
    <w:rsid w:val="00976244"/>
    <w:rsid w:val="009869BC"/>
    <w:rsid w:val="00990DA5"/>
    <w:rsid w:val="009B50CE"/>
    <w:rsid w:val="009B79EF"/>
    <w:rsid w:val="009C153B"/>
    <w:rsid w:val="009D71DB"/>
    <w:rsid w:val="009E0B9F"/>
    <w:rsid w:val="009E2D75"/>
    <w:rsid w:val="009E3164"/>
    <w:rsid w:val="009F5E7C"/>
    <w:rsid w:val="009F7BBF"/>
    <w:rsid w:val="00A13987"/>
    <w:rsid w:val="00A179D6"/>
    <w:rsid w:val="00A2655E"/>
    <w:rsid w:val="00A3191B"/>
    <w:rsid w:val="00A32893"/>
    <w:rsid w:val="00A43A2F"/>
    <w:rsid w:val="00A475E6"/>
    <w:rsid w:val="00A61F93"/>
    <w:rsid w:val="00A6670E"/>
    <w:rsid w:val="00A7503C"/>
    <w:rsid w:val="00A764B7"/>
    <w:rsid w:val="00A854A6"/>
    <w:rsid w:val="00A91EF7"/>
    <w:rsid w:val="00A9373B"/>
    <w:rsid w:val="00A96533"/>
    <w:rsid w:val="00AA3AAF"/>
    <w:rsid w:val="00AA65DA"/>
    <w:rsid w:val="00AA6AD5"/>
    <w:rsid w:val="00AB720A"/>
    <w:rsid w:val="00AC2A51"/>
    <w:rsid w:val="00AC2A64"/>
    <w:rsid w:val="00AC6B0D"/>
    <w:rsid w:val="00AD2E04"/>
    <w:rsid w:val="00AE3D92"/>
    <w:rsid w:val="00AF44A9"/>
    <w:rsid w:val="00B0677D"/>
    <w:rsid w:val="00B0680D"/>
    <w:rsid w:val="00B13C06"/>
    <w:rsid w:val="00B256E9"/>
    <w:rsid w:val="00B260E7"/>
    <w:rsid w:val="00B30EE7"/>
    <w:rsid w:val="00B31751"/>
    <w:rsid w:val="00B35BB9"/>
    <w:rsid w:val="00B557F1"/>
    <w:rsid w:val="00B574A2"/>
    <w:rsid w:val="00B6709B"/>
    <w:rsid w:val="00B75DAF"/>
    <w:rsid w:val="00B8327F"/>
    <w:rsid w:val="00B92F88"/>
    <w:rsid w:val="00B97044"/>
    <w:rsid w:val="00BA3690"/>
    <w:rsid w:val="00BA4AC9"/>
    <w:rsid w:val="00BA782C"/>
    <w:rsid w:val="00BB4040"/>
    <w:rsid w:val="00BB5AA7"/>
    <w:rsid w:val="00BC51B0"/>
    <w:rsid w:val="00BD4D9D"/>
    <w:rsid w:val="00BE45B0"/>
    <w:rsid w:val="00BF0859"/>
    <w:rsid w:val="00BF19C0"/>
    <w:rsid w:val="00BF1AA3"/>
    <w:rsid w:val="00BF559D"/>
    <w:rsid w:val="00BF752F"/>
    <w:rsid w:val="00BF7B05"/>
    <w:rsid w:val="00C067C9"/>
    <w:rsid w:val="00C152DB"/>
    <w:rsid w:val="00C17E3F"/>
    <w:rsid w:val="00C24E75"/>
    <w:rsid w:val="00C373BC"/>
    <w:rsid w:val="00C531E3"/>
    <w:rsid w:val="00C549D4"/>
    <w:rsid w:val="00C555E8"/>
    <w:rsid w:val="00C662B0"/>
    <w:rsid w:val="00C66E33"/>
    <w:rsid w:val="00C73FDB"/>
    <w:rsid w:val="00C76F06"/>
    <w:rsid w:val="00C944A6"/>
    <w:rsid w:val="00CA5795"/>
    <w:rsid w:val="00CB2EDC"/>
    <w:rsid w:val="00CB33EC"/>
    <w:rsid w:val="00CC0DDD"/>
    <w:rsid w:val="00CC2377"/>
    <w:rsid w:val="00CC594C"/>
    <w:rsid w:val="00CD1401"/>
    <w:rsid w:val="00CD397C"/>
    <w:rsid w:val="00CD618F"/>
    <w:rsid w:val="00CE642D"/>
    <w:rsid w:val="00CF020D"/>
    <w:rsid w:val="00CF7D93"/>
    <w:rsid w:val="00D0141F"/>
    <w:rsid w:val="00D015B9"/>
    <w:rsid w:val="00D05BF7"/>
    <w:rsid w:val="00D12DBF"/>
    <w:rsid w:val="00D16319"/>
    <w:rsid w:val="00D227A7"/>
    <w:rsid w:val="00D25F0D"/>
    <w:rsid w:val="00D3047B"/>
    <w:rsid w:val="00D327A0"/>
    <w:rsid w:val="00D349CB"/>
    <w:rsid w:val="00D40ABF"/>
    <w:rsid w:val="00D53496"/>
    <w:rsid w:val="00D70F74"/>
    <w:rsid w:val="00D75222"/>
    <w:rsid w:val="00D84B07"/>
    <w:rsid w:val="00D93616"/>
    <w:rsid w:val="00D9403E"/>
    <w:rsid w:val="00DB350B"/>
    <w:rsid w:val="00DC036C"/>
    <w:rsid w:val="00DE03B9"/>
    <w:rsid w:val="00DE27F6"/>
    <w:rsid w:val="00DF0C46"/>
    <w:rsid w:val="00DF726A"/>
    <w:rsid w:val="00E1070A"/>
    <w:rsid w:val="00E1460C"/>
    <w:rsid w:val="00E27D01"/>
    <w:rsid w:val="00E40CD5"/>
    <w:rsid w:val="00E4214B"/>
    <w:rsid w:val="00E464F1"/>
    <w:rsid w:val="00E47CA6"/>
    <w:rsid w:val="00E508FC"/>
    <w:rsid w:val="00E56502"/>
    <w:rsid w:val="00E65561"/>
    <w:rsid w:val="00E70E69"/>
    <w:rsid w:val="00E71125"/>
    <w:rsid w:val="00E75E27"/>
    <w:rsid w:val="00E83489"/>
    <w:rsid w:val="00E83C98"/>
    <w:rsid w:val="00EA1326"/>
    <w:rsid w:val="00EA169C"/>
    <w:rsid w:val="00EA4F9B"/>
    <w:rsid w:val="00EA5F33"/>
    <w:rsid w:val="00EA6D82"/>
    <w:rsid w:val="00EC33AA"/>
    <w:rsid w:val="00EC7A13"/>
    <w:rsid w:val="00ED16DA"/>
    <w:rsid w:val="00ED5271"/>
    <w:rsid w:val="00EE056D"/>
    <w:rsid w:val="00EE10DE"/>
    <w:rsid w:val="00EE5890"/>
    <w:rsid w:val="00EF3CAC"/>
    <w:rsid w:val="00F0472C"/>
    <w:rsid w:val="00F064BB"/>
    <w:rsid w:val="00F11078"/>
    <w:rsid w:val="00F131E3"/>
    <w:rsid w:val="00F20A27"/>
    <w:rsid w:val="00F2282D"/>
    <w:rsid w:val="00F26B04"/>
    <w:rsid w:val="00F3184A"/>
    <w:rsid w:val="00F45F45"/>
    <w:rsid w:val="00F47323"/>
    <w:rsid w:val="00F55B8D"/>
    <w:rsid w:val="00F647F6"/>
    <w:rsid w:val="00F6540F"/>
    <w:rsid w:val="00F7470F"/>
    <w:rsid w:val="00F75BC1"/>
    <w:rsid w:val="00F803B1"/>
    <w:rsid w:val="00F83BF3"/>
    <w:rsid w:val="00F9543F"/>
    <w:rsid w:val="00FA5E91"/>
    <w:rsid w:val="00FA68D4"/>
    <w:rsid w:val="00FB20FE"/>
    <w:rsid w:val="00FB7986"/>
    <w:rsid w:val="00FC28A4"/>
    <w:rsid w:val="00FC5078"/>
    <w:rsid w:val="00FD0A4C"/>
    <w:rsid w:val="00FD19AD"/>
    <w:rsid w:val="00FD4174"/>
    <w:rsid w:val="00FF0DBB"/>
    <w:rsid w:val="00FF1451"/>
    <w:rsid w:val="00FF1562"/>
    <w:rsid w:val="00FF4818"/>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2192</TotalTime>
  <Pages>40</Pages>
  <Words>3835</Words>
  <Characters>21862</Characters>
  <Application>Microsoft Macintosh Word</Application>
  <DocSecurity>0</DocSecurity>
  <Lines>182</Lines>
  <Paragraphs>51</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25646</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64</cp:revision>
  <cp:lastPrinted>2007-04-19T06:27:00Z</cp:lastPrinted>
  <dcterms:created xsi:type="dcterms:W3CDTF">2016-11-29T12:13:00Z</dcterms:created>
  <dcterms:modified xsi:type="dcterms:W3CDTF">2016-12-12T03:30:00Z</dcterms:modified>
</cp:coreProperties>
</file>