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8E75E6"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076751"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8E75E6"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8E75E6"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8E75E6"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8E75E6"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8E75E6"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8E75E6"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8E75E6"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8E75E6"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8E75E6"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8E75E6"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8E75E6"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8E75E6"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8E75E6"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8E75E6"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8E75E6"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8E75E6"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8E75E6"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8E75E6"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8E75E6"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8E75E6"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8E75E6"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8E75E6"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8E75E6"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8E75E6"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8E75E6"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8E75E6"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8E75E6"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8E75E6"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8E75E6"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8E75E6"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8E75E6"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8E75E6"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8E75E6"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8E75E6"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8E75E6"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8E75E6"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8E75E6"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8E75E6"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8E75E6"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8E75E6"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8E75E6"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8E75E6"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8E75E6"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8E75E6"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8E75E6"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8E75E6"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6DDDDE5B"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D9AA0F7" w:rsidR="00FB7986" w:rsidRPr="008259A4" w:rsidRDefault="00FB7986" w:rsidP="00FB7986">
      <w:pPr>
        <w:pStyle w:val="a1"/>
        <w:spacing w:line="360" w:lineRule="auto"/>
        <w:ind w:firstLine="480"/>
        <w:rPr>
          <w:i/>
        </w:rPr>
      </w:pPr>
      <w:r>
        <w:rPr>
          <w:rFonts w:hint="eastAsia"/>
        </w:rPr>
        <w:t>模糊语义细胞</w:t>
      </w:r>
      <w:r w:rsidR="00A7503C">
        <w:rPr>
          <w:rFonts w:hint="eastAsia"/>
        </w:rPr>
        <w:t>非常形象</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554BDF">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7777777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Pr="00D327A0">
        <w:rPr>
          <w:rFonts w:hint="eastAsia"/>
          <w:b/>
        </w:rPr>
        <w:t>隶属度</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54809AE0" w:rsidR="00EE10DE" w:rsidRDefault="008E75E6"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676CDF">
        <w:rPr>
          <w:rFonts w:hint="eastAsia"/>
        </w:rPr>
        <w:t>为半径的球形邻域内的所有邻近点的集合，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77777777"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38BBB5E2"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0ECDB723"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rPr>
          <w:rFonts w:hint="eastAsia"/>
        </w:rPr>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66259DDD" w:rsidR="00C662B0" w:rsidRDefault="008E75E6" w:rsidP="00483B31">
      <w:pPr>
        <w:pStyle w:val="2"/>
        <w:spacing w:before="240"/>
        <w:ind w:left="578" w:hanging="578"/>
        <w:rPr>
          <w:rFonts w:ascii="宋体" w:eastAsia="宋体" w:hAnsi="宋体" w:hint="eastAsia"/>
        </w:rPr>
      </w:pPr>
      <w:r w:rsidRPr="00483B31">
        <w:rPr>
          <w:rFonts w:ascii="宋体" w:eastAsia="宋体" w:hAnsi="宋体" w:hint="eastAsia"/>
        </w:rPr>
        <w:lastRenderedPageBreak/>
        <w:t>语义细胞的学习原则</w:t>
      </w:r>
    </w:p>
    <w:p w14:paraId="6C023F05" w14:textId="4B4D3321" w:rsidR="00483B31" w:rsidRDefault="006573F4" w:rsidP="006573F4">
      <w:pPr>
        <w:pStyle w:val="a1"/>
        <w:spacing w:line="360" w:lineRule="auto"/>
        <w:ind w:firstLine="480"/>
        <w:rPr>
          <w:rFonts w:hint="eastAsia"/>
        </w:rPr>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hint="eastAsia"/>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rPr>
          <w:rFonts w:hint="eastAsia"/>
        </w:rPr>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3845C656" w:rsidR="00D53496" w:rsidRDefault="00EC33AA" w:rsidP="00EC33AA">
      <w:pPr>
        <w:pStyle w:val="a1"/>
        <w:spacing w:line="360" w:lineRule="auto"/>
        <w:ind w:firstLineChars="0" w:firstLine="0"/>
        <w:jc w:val="left"/>
        <w:rPr>
          <w:rFonts w:hint="eastAsia"/>
        </w:rPr>
      </w:pPr>
      <w:r w:rsidRPr="00EC33AA">
        <w:rPr>
          <w:rFonts w:hint="eastAsia"/>
          <w:b/>
        </w:rPr>
        <w:t>定义</w:t>
      </w:r>
      <w:r w:rsidRPr="00EC33AA">
        <w:rPr>
          <w:rFonts w:hint="eastAsia"/>
          <w:b/>
        </w:rPr>
        <w:t>6</w:t>
      </w:r>
      <w:r w:rsidRPr="00EC33AA">
        <w:rPr>
          <w:b/>
        </w:rPr>
        <w:t>.</w:t>
      </w:r>
      <w:r w:rsidRPr="00EC33AA">
        <w:rPr>
          <w:rFonts w:hint="eastAsia"/>
          <w:b/>
        </w:rPr>
        <w:t>（语义细胞的覆盖率）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4FFF95BC" w:rsidR="00C662B0" w:rsidRDefault="00475DD1" w:rsidP="006912DD">
      <w:pPr>
        <w:pStyle w:val="a1"/>
        <w:spacing w:line="360" w:lineRule="auto"/>
        <w:ind w:firstLineChars="0" w:firstLine="0"/>
        <w:jc w:val="left"/>
        <w:rPr>
          <w:rFonts w:hint="eastAsia"/>
        </w:rPr>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≤1</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0C6A86">
        <w:rPr>
          <w:rFonts w:hint="eastAsia"/>
        </w:rPr>
        <w:t>，越多的元素落入这个领域，覆盖率越高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m:t>
        </m:r>
        <m:r>
          <w:rPr>
            <w:rFonts w:ascii="Cambria Math" w:hAnsi="Cambria Math"/>
          </w:rPr>
          <m:t>δ</m:t>
        </m:r>
        <m:r>
          <w:rPr>
            <w:rFonts w:ascii="Cambria Math" w:hAnsi="Cambria Math"/>
          </w:rPr>
          <m:t>&gt;</m:t>
        </m:r>
      </m:oMath>
      <w:r w:rsidR="009B003A">
        <w:rPr>
          <w:rFonts w:hint="eastAsia"/>
        </w:rPr>
        <w:t>，</w:t>
      </w:r>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1296ABE6"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δ(ε)</m:t>
                </m:r>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rPr>
          <w:rFonts w:hint="eastAsia"/>
        </w:rPr>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6157F5CF" w:rsidR="000C68E6" w:rsidRDefault="005E529A" w:rsidP="005E529A">
      <w:pPr>
        <w:pStyle w:val="a1"/>
        <w:spacing w:line="360" w:lineRule="auto"/>
        <w:ind w:firstLineChars="0" w:firstLine="0"/>
        <w:rPr>
          <w:rFonts w:hint="eastAsia"/>
        </w:rPr>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从大到小排序，对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68E33B69" w:rsidR="00106D8C" w:rsidRDefault="00106D8C" w:rsidP="005E529A">
      <w:pPr>
        <w:pStyle w:val="a1"/>
        <w:spacing w:line="360" w:lineRule="auto"/>
        <w:ind w:firstLineChars="0" w:firstLine="0"/>
      </w:pPr>
      <w:r>
        <w:rPr>
          <w:rFonts w:hint="eastAsia"/>
        </w:rPr>
        <w:tab/>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δ(ε)dε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w:p>
    <w:p w14:paraId="2FD65E9F" w14:textId="2D787A6A" w:rsidR="00E96DF4" w:rsidRDefault="00106D8C" w:rsidP="005E529A">
      <w:pPr>
        <w:pStyle w:val="a1"/>
        <w:spacing w:line="360" w:lineRule="auto"/>
        <w:ind w:firstLineChars="0" w:firstLine="0"/>
        <w:rPr>
          <w:rFonts w:hint="eastAsia"/>
        </w:rPr>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01FD001D" w14:textId="2902E6BE" w:rsidR="00404C53" w:rsidRDefault="00404C53" w:rsidP="005E529A">
      <w:pPr>
        <w:pStyle w:val="a1"/>
        <w:spacing w:line="360" w:lineRule="auto"/>
        <w:ind w:firstLineChars="0" w:firstLine="0"/>
        <w:rPr>
          <w:rFonts w:hint="eastAsia"/>
        </w:rPr>
      </w:pPr>
      <w:r>
        <w:rPr>
          <w:rFonts w:hint="eastAsia"/>
        </w:rPr>
        <w:tab/>
      </w:r>
      <w:r>
        <w:rPr>
          <w:rFonts w:hint="eastAsia"/>
        </w:rPr>
        <w:t>以上讨论了合理粒度原则的第一个方面，</w:t>
      </w:r>
      <w:bookmarkStart w:id="19" w:name="_GoBack"/>
      <w:bookmarkEnd w:id="19"/>
    </w:p>
    <w:p w14:paraId="1BDE2710" w14:textId="348D5812" w:rsidR="00404C53" w:rsidRPr="00404C53" w:rsidRDefault="00404C53" w:rsidP="005E529A">
      <w:pPr>
        <w:pStyle w:val="a1"/>
        <w:spacing w:line="360" w:lineRule="auto"/>
        <w:ind w:firstLineChars="0" w:firstLine="0"/>
        <w:rPr>
          <w:rFonts w:hint="eastAsia"/>
        </w:rPr>
      </w:pPr>
      <w:r>
        <w:rPr>
          <w:rFonts w:hint="eastAsia"/>
        </w:rPr>
        <w:t xml:space="preserve">   </w:t>
      </w:r>
    </w:p>
    <w:p w14:paraId="4EEF4CD9" w14:textId="77777777" w:rsidR="005E529A" w:rsidRDefault="005E529A" w:rsidP="005E529A">
      <w:pPr>
        <w:pStyle w:val="a1"/>
        <w:spacing w:line="360" w:lineRule="auto"/>
        <w:ind w:firstLineChars="0" w:firstLine="0"/>
        <w:rPr>
          <w:rFonts w:hint="eastAsia"/>
        </w:rPr>
      </w:pPr>
    </w:p>
    <w:p w14:paraId="1F48637D" w14:textId="77777777" w:rsidR="000C68E6" w:rsidRDefault="000C68E6" w:rsidP="005E529A">
      <w:pPr>
        <w:pStyle w:val="a1"/>
        <w:spacing w:line="360" w:lineRule="auto"/>
        <w:ind w:firstLineChars="0" w:firstLine="480"/>
      </w:pPr>
    </w:p>
    <w:p w14:paraId="371D8655" w14:textId="77777777" w:rsidR="000C68E6" w:rsidRDefault="000C68E6" w:rsidP="005E529A">
      <w:pPr>
        <w:pStyle w:val="a1"/>
        <w:spacing w:line="360" w:lineRule="auto"/>
        <w:ind w:firstLineChars="0" w:firstLine="480"/>
      </w:pPr>
    </w:p>
    <w:p w14:paraId="02B72F25" w14:textId="77777777" w:rsidR="000C68E6"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2F571FAC" w14:textId="77777777" w:rsidR="000C68E6" w:rsidRDefault="000C68E6" w:rsidP="000C68E6">
      <w:pPr>
        <w:pStyle w:val="a1"/>
        <w:ind w:firstLine="480"/>
      </w:pPr>
    </w:p>
    <w:p w14:paraId="50378F54" w14:textId="77777777" w:rsidR="000C68E6" w:rsidRPr="000C68E6" w:rsidRDefault="000C68E6" w:rsidP="000C68E6">
      <w:pPr>
        <w:pStyle w:val="a1"/>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w:t>
      </w:r>
      <w:r>
        <w:rPr>
          <w:rFonts w:hAnsi="宋体"/>
          <w:sz w:val="24"/>
          <w:szCs w:val="24"/>
        </w:rPr>
        <w:lastRenderedPageBreak/>
        <w:t>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8E75E6" w:rsidRDefault="008E75E6"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8E75E6" w:rsidRPr="00EA7A7A" w:rsidRDefault="008E75E6"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8E75E6" w:rsidRDefault="008E75E6" w:rsidP="00193032">
                              <w:r>
                                <w:rPr>
                                  <w:rFonts w:hint="eastAsia"/>
                                </w:rPr>
                                <w:t>根据错误的文件名以及行号确定</w:t>
                              </w:r>
                            </w:p>
                            <w:p w14:paraId="7F5483D6" w14:textId="77777777" w:rsidR="008E75E6" w:rsidRDefault="008E75E6"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8E75E6" w:rsidRDefault="008E75E6"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8E75E6" w:rsidRDefault="008E75E6"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8E75E6" w:rsidRDefault="008E75E6"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8E75E6" w:rsidRPr="00EA7A7A" w:rsidRDefault="008E75E6"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8E75E6" w:rsidRDefault="008E75E6" w:rsidP="00193032">
                        <w:r>
                          <w:rPr>
                            <w:rFonts w:hint="eastAsia"/>
                          </w:rPr>
                          <w:t>根据错误的文件名以及行号确定</w:t>
                        </w:r>
                      </w:p>
                      <w:p w14:paraId="7F5483D6" w14:textId="77777777" w:rsidR="008E75E6" w:rsidRDefault="008E75E6"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8E75E6" w:rsidRDefault="008E75E6"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8E75E6" w:rsidRDefault="008E75E6"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AF033E5" w14:textId="77777777" w:rsidR="0014406C" w:rsidRDefault="0014406C">
      <w:r>
        <w:separator/>
      </w:r>
    </w:p>
  </w:endnote>
  <w:endnote w:type="continuationSeparator" w:id="0">
    <w:p w14:paraId="46E85686" w14:textId="77777777" w:rsidR="0014406C" w:rsidRDefault="0014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8E75E6" w:rsidRDefault="008E75E6">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16</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19</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20</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21</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22</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21</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22</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23</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8E75E6" w:rsidRDefault="008E75E6">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24</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23</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24</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25</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26</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25</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26</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27</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28</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27</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8E75E6" w:rsidRDefault="008E75E6">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28</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29</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30</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29</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8E75E6" w:rsidRPr="005F5043"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5A0C48">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EAD163E" w14:textId="77777777" w:rsidR="0014406C" w:rsidRDefault="0014406C">
      <w:r>
        <w:separator/>
      </w:r>
    </w:p>
  </w:footnote>
  <w:footnote w:type="continuationSeparator" w:id="0">
    <w:p w14:paraId="25C46E66" w14:textId="77777777" w:rsidR="0014406C" w:rsidRDefault="0014406C">
      <w:r>
        <w:continuationSeparator/>
      </w:r>
    </w:p>
  </w:footnote>
  <w:footnote w:id="1">
    <w:p w14:paraId="5EF63223" w14:textId="77777777" w:rsidR="008E75E6" w:rsidRDefault="008E75E6">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A0C48">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8E75E6" w:rsidRPr="00EF609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A0C48">
      <w:rPr>
        <w:rFonts w:hint="eastAsia"/>
        <w:noProof/>
      </w:rPr>
      <w:t>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8E75E6" w:rsidRPr="005B5113" w:rsidRDefault="008E75E6"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8E75E6" w:rsidRPr="0025157C"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8E75E6" w:rsidRPr="0025157C"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8E75E6" w:rsidRPr="005B5113" w:rsidRDefault="008E75E6"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8E75E6" w:rsidRDefault="008E75E6"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5A0C48">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8E75E6" w:rsidRDefault="008E75E6"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A0C48">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8E75E6" w:rsidRPr="0001043E" w:rsidRDefault="008E75E6"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A0C48">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573F4">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A0C48">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8E75E6" w:rsidRPr="00F53623" w:rsidRDefault="008E75E6"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8E75E6" w:rsidRPr="004266E6" w:rsidRDefault="008E75E6"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8E75E6" w:rsidRPr="004266E6" w:rsidRDefault="008E75E6"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8E75E6" w:rsidRDefault="008E75E6"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5A0C48">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5A0C48">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5A0C48">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8E75E6" w:rsidRDefault="008E75E6">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5A0C48">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A0C48">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8E75E6" w:rsidRPr="00C42988" w:rsidRDefault="008E75E6"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5A0C48">
      <w:rPr>
        <w:rFonts w:hint="eastAsia"/>
        <w:noProof/>
      </w:rPr>
      <w:t>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62F01E2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2061B"/>
    <w:rsid w:val="000246B5"/>
    <w:rsid w:val="00024995"/>
    <w:rsid w:val="000259B6"/>
    <w:rsid w:val="00027575"/>
    <w:rsid w:val="000400EA"/>
    <w:rsid w:val="000426B5"/>
    <w:rsid w:val="00043CE8"/>
    <w:rsid w:val="00047C58"/>
    <w:rsid w:val="00060E86"/>
    <w:rsid w:val="00066A37"/>
    <w:rsid w:val="00071217"/>
    <w:rsid w:val="000916E0"/>
    <w:rsid w:val="0009468B"/>
    <w:rsid w:val="000A10CA"/>
    <w:rsid w:val="000A25A6"/>
    <w:rsid w:val="000B0A1C"/>
    <w:rsid w:val="000B2884"/>
    <w:rsid w:val="000B3516"/>
    <w:rsid w:val="000C5DC4"/>
    <w:rsid w:val="000C68E6"/>
    <w:rsid w:val="000C6A86"/>
    <w:rsid w:val="000D1ACC"/>
    <w:rsid w:val="000D671A"/>
    <w:rsid w:val="000E0BBA"/>
    <w:rsid w:val="000E3D29"/>
    <w:rsid w:val="000E468F"/>
    <w:rsid w:val="00106D8C"/>
    <w:rsid w:val="001070CF"/>
    <w:rsid w:val="00107F04"/>
    <w:rsid w:val="00111F12"/>
    <w:rsid w:val="0011452F"/>
    <w:rsid w:val="001174F9"/>
    <w:rsid w:val="00117600"/>
    <w:rsid w:val="00130937"/>
    <w:rsid w:val="00135D03"/>
    <w:rsid w:val="00137BBE"/>
    <w:rsid w:val="00143FD7"/>
    <w:rsid w:val="0014406C"/>
    <w:rsid w:val="00150331"/>
    <w:rsid w:val="00165EB9"/>
    <w:rsid w:val="00193032"/>
    <w:rsid w:val="001A4A5E"/>
    <w:rsid w:val="001B1FA1"/>
    <w:rsid w:val="001C7C7B"/>
    <w:rsid w:val="001D1C6F"/>
    <w:rsid w:val="001D5076"/>
    <w:rsid w:val="001D7886"/>
    <w:rsid w:val="001E0DDD"/>
    <w:rsid w:val="001E5F2B"/>
    <w:rsid w:val="001F65F0"/>
    <w:rsid w:val="00201323"/>
    <w:rsid w:val="0021342A"/>
    <w:rsid w:val="00217B8C"/>
    <w:rsid w:val="00220849"/>
    <w:rsid w:val="00222A97"/>
    <w:rsid w:val="0022398A"/>
    <w:rsid w:val="00226956"/>
    <w:rsid w:val="002365D9"/>
    <w:rsid w:val="0023676C"/>
    <w:rsid w:val="00246191"/>
    <w:rsid w:val="002461B1"/>
    <w:rsid w:val="00247F93"/>
    <w:rsid w:val="0025275C"/>
    <w:rsid w:val="0025350C"/>
    <w:rsid w:val="00255CA2"/>
    <w:rsid w:val="00261949"/>
    <w:rsid w:val="00263619"/>
    <w:rsid w:val="002700D8"/>
    <w:rsid w:val="0027241E"/>
    <w:rsid w:val="00276B6C"/>
    <w:rsid w:val="00285E2D"/>
    <w:rsid w:val="00287CE2"/>
    <w:rsid w:val="002A2634"/>
    <w:rsid w:val="002A2A15"/>
    <w:rsid w:val="002A4B4B"/>
    <w:rsid w:val="002B41ED"/>
    <w:rsid w:val="002C0ED7"/>
    <w:rsid w:val="002C4968"/>
    <w:rsid w:val="002E36A6"/>
    <w:rsid w:val="002E5E6E"/>
    <w:rsid w:val="002E5FCF"/>
    <w:rsid w:val="002F21EA"/>
    <w:rsid w:val="002F40A3"/>
    <w:rsid w:val="002F64C4"/>
    <w:rsid w:val="00310D55"/>
    <w:rsid w:val="00316156"/>
    <w:rsid w:val="00320ECD"/>
    <w:rsid w:val="00324161"/>
    <w:rsid w:val="00334216"/>
    <w:rsid w:val="00340C80"/>
    <w:rsid w:val="003411E8"/>
    <w:rsid w:val="0034125C"/>
    <w:rsid w:val="003620D2"/>
    <w:rsid w:val="003631D5"/>
    <w:rsid w:val="00370D26"/>
    <w:rsid w:val="00384F32"/>
    <w:rsid w:val="003867F6"/>
    <w:rsid w:val="003A2890"/>
    <w:rsid w:val="003B6030"/>
    <w:rsid w:val="003C0142"/>
    <w:rsid w:val="003C10E5"/>
    <w:rsid w:val="003E1CD0"/>
    <w:rsid w:val="003F486A"/>
    <w:rsid w:val="00404007"/>
    <w:rsid w:val="00404C53"/>
    <w:rsid w:val="00405C07"/>
    <w:rsid w:val="0040621F"/>
    <w:rsid w:val="0042234E"/>
    <w:rsid w:val="00427686"/>
    <w:rsid w:val="00435617"/>
    <w:rsid w:val="00436AF4"/>
    <w:rsid w:val="00441717"/>
    <w:rsid w:val="00445556"/>
    <w:rsid w:val="0045487D"/>
    <w:rsid w:val="00455231"/>
    <w:rsid w:val="004631B5"/>
    <w:rsid w:val="004635B2"/>
    <w:rsid w:val="00475DD1"/>
    <w:rsid w:val="00483B31"/>
    <w:rsid w:val="00485C2C"/>
    <w:rsid w:val="00490A04"/>
    <w:rsid w:val="0049257D"/>
    <w:rsid w:val="004A08F8"/>
    <w:rsid w:val="004A26A5"/>
    <w:rsid w:val="004B69A9"/>
    <w:rsid w:val="004C39E9"/>
    <w:rsid w:val="004C4E6B"/>
    <w:rsid w:val="004C705B"/>
    <w:rsid w:val="004D3C74"/>
    <w:rsid w:val="004E7D0D"/>
    <w:rsid w:val="004F3418"/>
    <w:rsid w:val="004F3DB5"/>
    <w:rsid w:val="004F6838"/>
    <w:rsid w:val="00503D80"/>
    <w:rsid w:val="005132AE"/>
    <w:rsid w:val="0051647B"/>
    <w:rsid w:val="0053213E"/>
    <w:rsid w:val="005352F4"/>
    <w:rsid w:val="00542491"/>
    <w:rsid w:val="005429F6"/>
    <w:rsid w:val="00547FB7"/>
    <w:rsid w:val="0055030F"/>
    <w:rsid w:val="005517FE"/>
    <w:rsid w:val="00554BDF"/>
    <w:rsid w:val="00572D2F"/>
    <w:rsid w:val="00573558"/>
    <w:rsid w:val="005805B1"/>
    <w:rsid w:val="00581A3F"/>
    <w:rsid w:val="00591AAC"/>
    <w:rsid w:val="005A0C48"/>
    <w:rsid w:val="005D40AA"/>
    <w:rsid w:val="005D7C0A"/>
    <w:rsid w:val="005E07C8"/>
    <w:rsid w:val="005E529A"/>
    <w:rsid w:val="005F00C0"/>
    <w:rsid w:val="005F157A"/>
    <w:rsid w:val="005F498B"/>
    <w:rsid w:val="00603857"/>
    <w:rsid w:val="00605228"/>
    <w:rsid w:val="00606581"/>
    <w:rsid w:val="006160E6"/>
    <w:rsid w:val="00620C63"/>
    <w:rsid w:val="006301D2"/>
    <w:rsid w:val="00642630"/>
    <w:rsid w:val="00644250"/>
    <w:rsid w:val="006573F4"/>
    <w:rsid w:val="00662571"/>
    <w:rsid w:val="00671975"/>
    <w:rsid w:val="00672D85"/>
    <w:rsid w:val="00673445"/>
    <w:rsid w:val="00674BCE"/>
    <w:rsid w:val="00676CDF"/>
    <w:rsid w:val="00681ACD"/>
    <w:rsid w:val="00682CF4"/>
    <w:rsid w:val="006838AB"/>
    <w:rsid w:val="00687C88"/>
    <w:rsid w:val="006912DD"/>
    <w:rsid w:val="00691702"/>
    <w:rsid w:val="006958AD"/>
    <w:rsid w:val="006A3FD5"/>
    <w:rsid w:val="006A508B"/>
    <w:rsid w:val="006A69C8"/>
    <w:rsid w:val="006A7DF9"/>
    <w:rsid w:val="006B50D7"/>
    <w:rsid w:val="006C550A"/>
    <w:rsid w:val="006D1287"/>
    <w:rsid w:val="006D3445"/>
    <w:rsid w:val="006D380D"/>
    <w:rsid w:val="006D3FA8"/>
    <w:rsid w:val="006D6C83"/>
    <w:rsid w:val="006F30E4"/>
    <w:rsid w:val="006F66A9"/>
    <w:rsid w:val="00710248"/>
    <w:rsid w:val="00742621"/>
    <w:rsid w:val="007435AB"/>
    <w:rsid w:val="0074523D"/>
    <w:rsid w:val="007462C4"/>
    <w:rsid w:val="007505F9"/>
    <w:rsid w:val="00764348"/>
    <w:rsid w:val="00773F96"/>
    <w:rsid w:val="00774BAE"/>
    <w:rsid w:val="00775801"/>
    <w:rsid w:val="0078210D"/>
    <w:rsid w:val="007A4398"/>
    <w:rsid w:val="007B2DCE"/>
    <w:rsid w:val="007B4E71"/>
    <w:rsid w:val="007B596C"/>
    <w:rsid w:val="007B7491"/>
    <w:rsid w:val="007B79F4"/>
    <w:rsid w:val="007B7C43"/>
    <w:rsid w:val="007C69F7"/>
    <w:rsid w:val="007D2D51"/>
    <w:rsid w:val="007D76AE"/>
    <w:rsid w:val="007E0CC8"/>
    <w:rsid w:val="007E1563"/>
    <w:rsid w:val="007E33EF"/>
    <w:rsid w:val="007F2654"/>
    <w:rsid w:val="007F3D16"/>
    <w:rsid w:val="007F501C"/>
    <w:rsid w:val="00810223"/>
    <w:rsid w:val="0081481E"/>
    <w:rsid w:val="00817268"/>
    <w:rsid w:val="00824FF0"/>
    <w:rsid w:val="008259A4"/>
    <w:rsid w:val="0082631F"/>
    <w:rsid w:val="008357C3"/>
    <w:rsid w:val="00842E64"/>
    <w:rsid w:val="00846259"/>
    <w:rsid w:val="008564B1"/>
    <w:rsid w:val="00863F6D"/>
    <w:rsid w:val="008668AA"/>
    <w:rsid w:val="00866EBD"/>
    <w:rsid w:val="00871B13"/>
    <w:rsid w:val="00882D1C"/>
    <w:rsid w:val="008868B2"/>
    <w:rsid w:val="008936D2"/>
    <w:rsid w:val="008B4E36"/>
    <w:rsid w:val="008B5C0C"/>
    <w:rsid w:val="008C1730"/>
    <w:rsid w:val="008C7409"/>
    <w:rsid w:val="008D0F84"/>
    <w:rsid w:val="008D27F7"/>
    <w:rsid w:val="008E1325"/>
    <w:rsid w:val="008E75E6"/>
    <w:rsid w:val="008F224D"/>
    <w:rsid w:val="008F7B8E"/>
    <w:rsid w:val="00914B9A"/>
    <w:rsid w:val="009155B8"/>
    <w:rsid w:val="00932894"/>
    <w:rsid w:val="009336BD"/>
    <w:rsid w:val="00933B2E"/>
    <w:rsid w:val="00933D08"/>
    <w:rsid w:val="0094626C"/>
    <w:rsid w:val="00950C73"/>
    <w:rsid w:val="00952B07"/>
    <w:rsid w:val="00956780"/>
    <w:rsid w:val="00957A4E"/>
    <w:rsid w:val="00963C33"/>
    <w:rsid w:val="00972065"/>
    <w:rsid w:val="00972139"/>
    <w:rsid w:val="00973FBB"/>
    <w:rsid w:val="00976244"/>
    <w:rsid w:val="009869BC"/>
    <w:rsid w:val="00990DA5"/>
    <w:rsid w:val="009B003A"/>
    <w:rsid w:val="009B50CE"/>
    <w:rsid w:val="009B79EF"/>
    <w:rsid w:val="009C153B"/>
    <w:rsid w:val="009D71DB"/>
    <w:rsid w:val="009E0B9F"/>
    <w:rsid w:val="009E2D75"/>
    <w:rsid w:val="009E3164"/>
    <w:rsid w:val="009F5E7C"/>
    <w:rsid w:val="009F7BBF"/>
    <w:rsid w:val="00A13987"/>
    <w:rsid w:val="00A179D6"/>
    <w:rsid w:val="00A2655E"/>
    <w:rsid w:val="00A3191B"/>
    <w:rsid w:val="00A32893"/>
    <w:rsid w:val="00A43A2F"/>
    <w:rsid w:val="00A475E6"/>
    <w:rsid w:val="00A61F93"/>
    <w:rsid w:val="00A6670E"/>
    <w:rsid w:val="00A7503C"/>
    <w:rsid w:val="00A764B7"/>
    <w:rsid w:val="00A854A6"/>
    <w:rsid w:val="00A91EF7"/>
    <w:rsid w:val="00A9373B"/>
    <w:rsid w:val="00A96533"/>
    <w:rsid w:val="00AA3AAF"/>
    <w:rsid w:val="00AA65DA"/>
    <w:rsid w:val="00AA6AD5"/>
    <w:rsid w:val="00AB720A"/>
    <w:rsid w:val="00AC2A51"/>
    <w:rsid w:val="00AC2A64"/>
    <w:rsid w:val="00AC6B0D"/>
    <w:rsid w:val="00AD2E04"/>
    <w:rsid w:val="00AE3D92"/>
    <w:rsid w:val="00AF44A9"/>
    <w:rsid w:val="00B0677D"/>
    <w:rsid w:val="00B0680D"/>
    <w:rsid w:val="00B13C06"/>
    <w:rsid w:val="00B256E9"/>
    <w:rsid w:val="00B25839"/>
    <w:rsid w:val="00B260E7"/>
    <w:rsid w:val="00B30EE7"/>
    <w:rsid w:val="00B31751"/>
    <w:rsid w:val="00B35BB9"/>
    <w:rsid w:val="00B557F1"/>
    <w:rsid w:val="00B574A2"/>
    <w:rsid w:val="00B6709B"/>
    <w:rsid w:val="00B75DAF"/>
    <w:rsid w:val="00B8327F"/>
    <w:rsid w:val="00B92F88"/>
    <w:rsid w:val="00B97044"/>
    <w:rsid w:val="00BA3690"/>
    <w:rsid w:val="00BA4AC9"/>
    <w:rsid w:val="00BA782C"/>
    <w:rsid w:val="00BB4040"/>
    <w:rsid w:val="00BB5AA7"/>
    <w:rsid w:val="00BC51B0"/>
    <w:rsid w:val="00BD4D9D"/>
    <w:rsid w:val="00BE45B0"/>
    <w:rsid w:val="00BF0859"/>
    <w:rsid w:val="00BF19C0"/>
    <w:rsid w:val="00BF1AA3"/>
    <w:rsid w:val="00BF559D"/>
    <w:rsid w:val="00BF752F"/>
    <w:rsid w:val="00BF7B05"/>
    <w:rsid w:val="00C067C9"/>
    <w:rsid w:val="00C152DB"/>
    <w:rsid w:val="00C17E3F"/>
    <w:rsid w:val="00C24E75"/>
    <w:rsid w:val="00C373BC"/>
    <w:rsid w:val="00C531E3"/>
    <w:rsid w:val="00C549D4"/>
    <w:rsid w:val="00C555E8"/>
    <w:rsid w:val="00C662B0"/>
    <w:rsid w:val="00C66E33"/>
    <w:rsid w:val="00C73FDB"/>
    <w:rsid w:val="00C751EE"/>
    <w:rsid w:val="00C76F06"/>
    <w:rsid w:val="00C944A6"/>
    <w:rsid w:val="00CA5795"/>
    <w:rsid w:val="00CB2EDC"/>
    <w:rsid w:val="00CB33EC"/>
    <w:rsid w:val="00CC0DDD"/>
    <w:rsid w:val="00CC2377"/>
    <w:rsid w:val="00CC594C"/>
    <w:rsid w:val="00CD1401"/>
    <w:rsid w:val="00CD397C"/>
    <w:rsid w:val="00CD618F"/>
    <w:rsid w:val="00CE642D"/>
    <w:rsid w:val="00CF020D"/>
    <w:rsid w:val="00CF7D93"/>
    <w:rsid w:val="00D0141F"/>
    <w:rsid w:val="00D015B9"/>
    <w:rsid w:val="00D05BF7"/>
    <w:rsid w:val="00D12DBF"/>
    <w:rsid w:val="00D16319"/>
    <w:rsid w:val="00D227A7"/>
    <w:rsid w:val="00D25F0D"/>
    <w:rsid w:val="00D3047B"/>
    <w:rsid w:val="00D327A0"/>
    <w:rsid w:val="00D349CB"/>
    <w:rsid w:val="00D40ABF"/>
    <w:rsid w:val="00D513A9"/>
    <w:rsid w:val="00D53496"/>
    <w:rsid w:val="00D70F74"/>
    <w:rsid w:val="00D75222"/>
    <w:rsid w:val="00D84B07"/>
    <w:rsid w:val="00D93616"/>
    <w:rsid w:val="00D9403E"/>
    <w:rsid w:val="00DB350B"/>
    <w:rsid w:val="00DC036C"/>
    <w:rsid w:val="00DE03B9"/>
    <w:rsid w:val="00DE27F6"/>
    <w:rsid w:val="00DF0C46"/>
    <w:rsid w:val="00DF726A"/>
    <w:rsid w:val="00E1070A"/>
    <w:rsid w:val="00E1460C"/>
    <w:rsid w:val="00E22116"/>
    <w:rsid w:val="00E27D01"/>
    <w:rsid w:val="00E40CD5"/>
    <w:rsid w:val="00E4214B"/>
    <w:rsid w:val="00E464F1"/>
    <w:rsid w:val="00E47CA6"/>
    <w:rsid w:val="00E508FC"/>
    <w:rsid w:val="00E56502"/>
    <w:rsid w:val="00E65561"/>
    <w:rsid w:val="00E70E69"/>
    <w:rsid w:val="00E71125"/>
    <w:rsid w:val="00E75E27"/>
    <w:rsid w:val="00E83489"/>
    <w:rsid w:val="00E83C98"/>
    <w:rsid w:val="00E96DF4"/>
    <w:rsid w:val="00EA1326"/>
    <w:rsid w:val="00EA169C"/>
    <w:rsid w:val="00EA4F9B"/>
    <w:rsid w:val="00EA5F33"/>
    <w:rsid w:val="00EA6D82"/>
    <w:rsid w:val="00EC33AA"/>
    <w:rsid w:val="00EC7A13"/>
    <w:rsid w:val="00ED16DA"/>
    <w:rsid w:val="00ED5271"/>
    <w:rsid w:val="00EE056D"/>
    <w:rsid w:val="00EE10DE"/>
    <w:rsid w:val="00EE5890"/>
    <w:rsid w:val="00EF3CAC"/>
    <w:rsid w:val="00F0472C"/>
    <w:rsid w:val="00F064BB"/>
    <w:rsid w:val="00F11078"/>
    <w:rsid w:val="00F131E3"/>
    <w:rsid w:val="00F20A27"/>
    <w:rsid w:val="00F2282D"/>
    <w:rsid w:val="00F26B04"/>
    <w:rsid w:val="00F3184A"/>
    <w:rsid w:val="00F45F45"/>
    <w:rsid w:val="00F47323"/>
    <w:rsid w:val="00F55B8D"/>
    <w:rsid w:val="00F647F6"/>
    <w:rsid w:val="00F6540F"/>
    <w:rsid w:val="00F7470F"/>
    <w:rsid w:val="00F75BC1"/>
    <w:rsid w:val="00F803B1"/>
    <w:rsid w:val="00F83BF3"/>
    <w:rsid w:val="00F9543F"/>
    <w:rsid w:val="00FA5E91"/>
    <w:rsid w:val="00FA68D4"/>
    <w:rsid w:val="00FB20FE"/>
    <w:rsid w:val="00FB7986"/>
    <w:rsid w:val="00FC28A4"/>
    <w:rsid w:val="00FC5078"/>
    <w:rsid w:val="00FD0A4C"/>
    <w:rsid w:val="00FD19AD"/>
    <w:rsid w:val="00FD4174"/>
    <w:rsid w:val="00FF0DBB"/>
    <w:rsid w:val="00FF1451"/>
    <w:rsid w:val="00FF1562"/>
    <w:rsid w:val="00FF4818"/>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2235</TotalTime>
  <Pages>40</Pages>
  <Words>3934</Words>
  <Characters>22427</Characters>
  <Application>Microsoft Macintosh Word</Application>
  <DocSecurity>0</DocSecurity>
  <Lines>186</Lines>
  <Paragraphs>52</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26309</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70</cp:revision>
  <cp:lastPrinted>2007-04-19T06:27:00Z</cp:lastPrinted>
  <dcterms:created xsi:type="dcterms:W3CDTF">2016-11-29T12:13:00Z</dcterms:created>
  <dcterms:modified xsi:type="dcterms:W3CDTF">2016-12-12T11:39:00Z</dcterms:modified>
</cp:coreProperties>
</file>