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0D7377"/>
          <w:spacing w:val="300"/>
          <w:sz w:val="22"/>
          <w:szCs w:val="22"/>
        </w:rPr>
        <w:t xml:space="preserve">COMMERCIAL PROPOSAL</w:t>
      </w:r>
    </w:p>
    <w:p>
      <w:pPr>
        <w:spacing w:after="200"/>
      </w:pPr>
    </w:p>
    <w:p>
      <w:pPr>
        <w:pBdr>
          <w:top w:val="single" w:color="0D7377" w:sz="4" w:space="8"/>
          <w:bottom w:val="single" w:color="0D7377" w:sz="4" w:space="8"/>
        </w:pBdr>
        <w:spacing w:after="100" w:before="100"/>
        <w:jc w:val="center"/>
      </w:pPr>
      <w:r>
        <w:rPr>
          <w:rFonts w:ascii="Arial" w:cs="Arial" w:eastAsia="Arial" w:hAnsi="Arial"/>
          <w:b/>
          <w:bCs/>
          <w:color w:val="1B2A4A"/>
          <w:sz w:val="48"/>
          <w:szCs w:val="48"/>
        </w:rPr>
        <w:t xml:space="preserve">Workforce Risk Intelligence Platform</w:t>
      </w:r>
    </w:p>
    <w:p>
      <w:pPr>
        <w:spacing w:after="200"/>
      </w:pPr>
    </w:p>
    <w:p>
      <w:pPr>
        <w:jc w:val="center"/>
      </w:pPr>
      <w:r>
        <w:rPr>
          <w:rFonts w:ascii="Arial" w:cs="Arial" w:eastAsia="Arial" w:hAnsi="Arial"/>
          <w:color w:val="4A5568"/>
          <w:sz w:val="24"/>
          <w:szCs w:val="24"/>
        </w:rPr>
        <w:t xml:space="preserve">Integrated Compliance, Employee Relations &amp; Risk Management</w:t>
      </w:r>
    </w:p>
    <w:p>
      <w:pPr>
        <w:spacing w:after="600"/>
      </w:pPr>
    </w:p>
    <w:p>
      <w:pPr>
        <w:spacing w:after="80"/>
        <w:jc w:val="center"/>
      </w:pPr>
      <w:r>
        <w:rPr>
          <w:rFonts w:ascii="Arial" w:cs="Arial" w:eastAsia="Arial" w:hAnsi="Arial"/>
          <w:b/>
          <w:bCs/>
          <w:color w:val="0D7377"/>
          <w:spacing w:val="200"/>
          <w:sz w:val="20"/>
          <w:szCs w:val="20"/>
        </w:rPr>
        <w:t xml:space="preserve">Prepared For</w:t>
      </w:r>
    </w:p>
    <w:p>
      <w:pPr>
        <w:spacing w:after="80"/>
        <w:jc w:val="center"/>
      </w:pPr>
      <w:r>
        <w:rPr>
          <w:rFonts w:ascii="Arial" w:cs="Arial" w:eastAsia="Arial" w:hAnsi="Arial"/>
          <w:b/>
          <w:bCs/>
          <w:color w:val="1B2A4A"/>
          <w:sz w:val="28"/>
          <w:szCs w:val="28"/>
        </w:rPr>
        <w:t xml:space="preserve">[Partner Health System]</w:t>
      </w:r>
    </w:p>
    <w:p>
      <w:pPr>
        <w:jc w:val="center"/>
      </w:pPr>
      <w:r>
        <w:rPr>
          <w:rFonts w:ascii="Arial" w:cs="Arial" w:eastAsia="Arial" w:hAnsi="Arial"/>
          <w:color w:val="4A5568"/>
          <w:sz w:val="22"/>
          <w:szCs w:val="22"/>
        </w:rPr>
        <w:t xml:space="preserve">Los Angeles, California</w:t>
      </w:r>
    </w:p>
    <w:p>
      <w:pPr>
        <w:spacing w:after="600"/>
      </w:pPr>
    </w:p>
    <w:p>
      <w:pPr>
        <w:spacing w:after="60"/>
        <w:jc w:val="center"/>
      </w:pPr>
      <w:r>
        <w:rPr>
          <w:rFonts w:ascii="Arial" w:cs="Arial" w:eastAsia="Arial" w:hAnsi="Arial"/>
          <w:color w:val="4A5568"/>
          <w:sz w:val="20"/>
          <w:szCs w:val="20"/>
        </w:rPr>
        <w:t xml:space="preserve">Prepared By: [Your Company Name]</w:t>
      </w:r>
    </w:p>
    <w:p>
      <w:pPr>
        <w:spacing w:after="60"/>
        <w:jc w:val="center"/>
      </w:pPr>
      <w:r>
        <w:rPr>
          <w:rFonts w:ascii="Arial" w:cs="Arial" w:eastAsia="Arial" w:hAnsi="Arial"/>
          <w:color w:val="4A5568"/>
          <w:sz w:val="20"/>
          <w:szCs w:val="20"/>
        </w:rPr>
        <w:t xml:space="preserve">Date: March 2026  |  Valid Through: June 30, 2026</w:t>
      </w:r>
    </w:p>
    <w:p>
      <w:pPr>
        <w:jc w:val="center"/>
      </w:pPr>
      <w:r>
        <w:rPr>
          <w:rFonts w:ascii="Arial" w:cs="Arial" w:eastAsia="Arial" w:hAnsi="Arial"/>
          <w:b/>
          <w:bCs/>
          <w:color w:val="C0392B"/>
          <w:spacing w:val="200"/>
          <w:sz w:val="18"/>
          <w:szCs w:val="18"/>
        </w:rPr>
        <w:t xml:space="preserve">CONFIDENTIAL</w:t>
      </w:r>
    </w:p>
    <w:p>
      <w:pPr>
        <w:sectPr>
          <w:pgSz w:w="12240" w:h="15840" w:orient="portrait"/>
          <w:pgMar w:top="1440" w:right="1440" w:bottom="1440" w:left="1440" w:header="708" w:footer="708" w:gutter="0"/>
          <w:pgNumType/>
          <w:docGrid w:linePitch="360"/>
        </w:sectPr>
      </w:pPr>
    </w:p>
    <w:p>
      <w:pPr>
        <w:pBdr>
          <w:bottom w:val="single" w:color="0D7377" w:sz="6" w:space="4"/>
        </w:pBdr>
        <w:spacing w:after="120" w:before="360"/>
      </w:pPr>
      <w:r>
        <w:rPr>
          <w:rFonts w:ascii="Arial" w:cs="Arial" w:eastAsia="Arial" w:hAnsi="Arial"/>
          <w:b/>
          <w:bCs/>
          <w:color w:val="1B2A4A"/>
          <w:sz w:val="28"/>
          <w:szCs w:val="28"/>
        </w:rPr>
        <w:t xml:space="preserve">1. Executive Summary</w:t>
      </w:r>
    </w:p>
    <w:p>
      <w:pPr>
        <w:spacing w:after="160" w:before="0" w:line="276"/>
      </w:pPr>
      <w:r>
        <w:rPr>
          <w:rFonts w:ascii="Arial" w:cs="Arial" w:eastAsia="Arial" w:hAnsi="Arial"/>
          <w:color w:val="4A5568"/>
          <w:sz w:val="21"/>
          <w:szCs w:val="21"/>
        </w:rPr>
        <w:t xml:space="preserve">This proposal outlines a multi-year platform engagement between [Your Company] and [Partner Health System] (the “Client”) to deploy a fully integrated Workforce Risk Intelligence Platform spanning employee compliance tracking, incident reporting and case management, predictive risk analytics, and structured decision support for hiring, termination, and employee relations actions.</w:t>
      </w:r>
    </w:p>
    <w:p>
      <w:pPr>
        <w:spacing w:after="160" w:before="0" w:line="276"/>
      </w:pPr>
      <w:r>
        <w:rPr>
          <w:rFonts w:ascii="Arial" w:cs="Arial" w:eastAsia="Arial" w:hAnsi="Arial"/>
          <w:color w:val="4A5568"/>
          <w:sz w:val="21"/>
          <w:szCs w:val="21"/>
        </w:rPr>
        <w:t xml:space="preserve">The platform is designed to function as the Client’s single pane of glass for people-risk—replacing fragmented spreadsheets, siloed HR tools, and expensive outside-counsel reliance with a unified system that captures signal, surfaces exposure, and documents defensible decision-making in real time.</w:t>
      </w:r>
    </w:p>
    <w:p>
      <w:pPr>
        <w:spacing w:after="100" w:before="240"/>
      </w:pPr>
      <w:r>
        <w:rPr>
          <w:rFonts w:ascii="Arial" w:cs="Arial" w:eastAsia="Arial" w:hAnsi="Arial"/>
          <w:b/>
          <w:bCs/>
          <w:color w:val="0D7377"/>
          <w:sz w:val="24"/>
          <w:szCs w:val="24"/>
        </w:rPr>
        <w:t xml:space="preserve">What We Deliver</w:t>
      </w:r>
    </w:p>
    <w:p>
      <w:pPr>
        <w:pStyle w:val="ListParagraph"/>
        <w:numPr>
          <w:ilvl w:val="0"/>
          <w:numId w:val="2"/>
        </w:numPr>
        <w:spacing w:after="80" w:line="276"/>
      </w:pPr>
      <w:r>
        <w:rPr>
          <w:rFonts w:ascii="Arial" w:cs="Arial" w:eastAsia="Arial" w:hAnsi="Arial"/>
          <w:b/>
          <w:bCs/>
          <w:color w:val="1B2A4A"/>
          <w:sz w:val="21"/>
          <w:szCs w:val="21"/>
        </w:rPr>
        <w:t xml:space="preserve">Compliance Engine: </w:t>
      </w:r>
      <w:r>
        <w:rPr>
          <w:rFonts w:ascii="Arial" w:cs="Arial" w:eastAsia="Arial" w:hAnsi="Arial"/>
          <w:color w:val="4A5568"/>
          <w:sz w:val="21"/>
          <w:szCs w:val="21"/>
        </w:rPr>
        <w:t xml:space="preserve">Automated license, certification, and training tracking for every employee against California and federal healthcare mandates (OSHA, Joint Commission, Title 22, HIPAA).</w:t>
      </w:r>
    </w:p>
    <w:p>
      <w:pPr>
        <w:pStyle w:val="ListParagraph"/>
        <w:numPr>
          <w:ilvl w:val="0"/>
          <w:numId w:val="2"/>
        </w:numPr>
        <w:spacing w:after="80" w:line="276"/>
      </w:pPr>
      <w:r>
        <w:rPr>
          <w:rFonts w:ascii="Arial" w:cs="Arial" w:eastAsia="Arial" w:hAnsi="Arial"/>
          <w:b/>
          <w:bCs/>
          <w:color w:val="1B2A4A"/>
          <w:sz w:val="21"/>
          <w:szCs w:val="21"/>
        </w:rPr>
        <w:t xml:space="preserve">Incident Reporting → Risk Dashboard: </w:t>
      </w:r>
      <w:r>
        <w:rPr>
          <w:rFonts w:ascii="Arial" w:cs="Arial" w:eastAsia="Arial" w:hAnsi="Arial"/>
          <w:color w:val="4A5568"/>
          <w:sz w:val="21"/>
          <w:szCs w:val="21"/>
        </w:rPr>
        <w:t xml:space="preserve">An IR intake system that feeds into a configurable risk management dashboard, tagging and scoring every event by severity, recurrence, department, and root cause.</w:t>
      </w:r>
    </w:p>
    <w:p>
      <w:pPr>
        <w:pStyle w:val="ListParagraph"/>
        <w:numPr>
          <w:ilvl w:val="0"/>
          <w:numId w:val="2"/>
        </w:numPr>
        <w:spacing w:after="80" w:line="276"/>
      </w:pPr>
      <w:r>
        <w:rPr>
          <w:rFonts w:ascii="Arial" w:cs="Arial" w:eastAsia="Arial" w:hAnsi="Arial"/>
          <w:b/>
          <w:bCs/>
          <w:color w:val="1B2A4A"/>
          <w:sz w:val="21"/>
          <w:szCs w:val="21"/>
        </w:rPr>
        <w:t xml:space="preserve">Employee Relations Case Management: </w:t>
      </w:r>
      <w:r>
        <w:rPr>
          <w:rFonts w:ascii="Arial" w:cs="Arial" w:eastAsia="Arial" w:hAnsi="Arial"/>
          <w:color w:val="4A5568"/>
          <w:sz w:val="21"/>
          <w:szCs w:val="21"/>
        </w:rPr>
        <w:t xml:space="preserve">Full-lifecycle case tracking—from initial complaint through investigation, corrective action, and resolution—with decision-tree reasoning, document generation, and audit trails.</w:t>
      </w:r>
    </w:p>
    <w:p>
      <w:pPr>
        <w:pStyle w:val="ListParagraph"/>
        <w:numPr>
          <w:ilvl w:val="0"/>
          <w:numId w:val="2"/>
        </w:numPr>
        <w:spacing w:after="80" w:line="276"/>
      </w:pPr>
      <w:r>
        <w:rPr>
          <w:rFonts w:ascii="Arial" w:cs="Arial" w:eastAsia="Arial" w:hAnsi="Arial"/>
          <w:b/>
          <w:bCs/>
          <w:color w:val="1B2A4A"/>
          <w:sz w:val="21"/>
          <w:szCs w:val="21"/>
        </w:rPr>
        <w:t xml:space="preserve">Hire/Fire Decision Support: </w:t>
      </w:r>
      <w:r>
        <w:rPr>
          <w:rFonts w:ascii="Arial" w:cs="Arial" w:eastAsia="Arial" w:hAnsi="Arial"/>
          <w:color w:val="4A5568"/>
          <w:sz w:val="21"/>
          <w:szCs w:val="21"/>
        </w:rPr>
        <w:t xml:space="preserve">Structured frameworks for onboarding risk (background check gap analysis, credential verification) and termination risk (wrongful termination exposure scoring, separation checklist automation).</w:t>
      </w:r>
    </w:p>
    <w:p>
      <w:pPr>
        <w:pStyle w:val="ListParagraph"/>
        <w:numPr>
          <w:ilvl w:val="0"/>
          <w:numId w:val="2"/>
        </w:numPr>
        <w:spacing w:after="80" w:line="276"/>
      </w:pPr>
      <w:r>
        <w:rPr>
          <w:rFonts w:ascii="Arial" w:cs="Arial" w:eastAsia="Arial" w:hAnsi="Arial"/>
          <w:b/>
          <w:bCs/>
          <w:color w:val="1B2A4A"/>
          <w:sz w:val="21"/>
          <w:szCs w:val="21"/>
        </w:rPr>
        <w:t xml:space="preserve">Right-Tail Risk Analytics: </w:t>
      </w:r>
      <w:r>
        <w:rPr>
          <w:rFonts w:ascii="Arial" w:cs="Arial" w:eastAsia="Arial" w:hAnsi="Arial"/>
          <w:color w:val="4A5568"/>
          <w:sz w:val="21"/>
          <w:szCs w:val="21"/>
        </w:rPr>
        <w:t xml:space="preserve">Predictive models that surface where low-probability, high-severity exposure is concentrating—by department, role type, tenure band, or policy cluster—before it materializes as litigation or regulatory action.</w:t>
      </w:r>
    </w:p>
    <w:p>
      <w:pPr>
        <w:spacing w:after="100" w:before="240"/>
      </w:pPr>
      <w:r>
        <w:rPr>
          <w:rFonts w:ascii="Arial" w:cs="Arial" w:eastAsia="Arial" w:hAnsi="Arial"/>
          <w:b/>
          <w:bCs/>
          <w:color w:val="0D7377"/>
          <w:sz w:val="24"/>
          <w:szCs w:val="24"/>
        </w:rPr>
        <w:t xml:space="preserve">Why This Matters for a Mid-to-Large LA Health System</w:t>
      </w:r>
    </w:p>
    <w:p>
      <w:pPr>
        <w:spacing w:after="160" w:before="0" w:line="276"/>
      </w:pPr>
      <w:r>
        <w:rPr>
          <w:rFonts w:ascii="Arial" w:cs="Arial" w:eastAsia="Arial" w:hAnsi="Arial"/>
          <w:color w:val="4A5568"/>
          <w:sz w:val="21"/>
          <w:szCs w:val="21"/>
        </w:rPr>
        <w:t xml:space="preserve">California’s regulatory density (DFEH/CRD, Cal/OSHA, AB 5 implications, WARN Act, PAGA exposure) makes healthcare employers in Los Angeles among the most litigation-exposed in the country. The average PAGA settlement for a mid-size healthcare employer exceeds $1.2M. A single wrongful termination claim that reaches trial averages $450K–$800K in defense costs alone, before any verdict. Our platform is built to compress these numbers by 40–60% through earlier intervention, better documentation, and defensible process.</w:t>
      </w:r>
    </w:p>
    <w:p>
      <w:r>
        <w:br w:type="page"/>
      </w:r>
    </w:p>
    <w:p>
      <w:pPr>
        <w:pBdr>
          <w:bottom w:val="single" w:color="0D7377" w:sz="6" w:space="4"/>
        </w:pBdr>
        <w:spacing w:after="120" w:before="360"/>
      </w:pPr>
      <w:r>
        <w:rPr>
          <w:rFonts w:ascii="Arial" w:cs="Arial" w:eastAsia="Arial" w:hAnsi="Arial"/>
          <w:b/>
          <w:bCs/>
          <w:color w:val="1B2A4A"/>
          <w:sz w:val="28"/>
          <w:szCs w:val="28"/>
        </w:rPr>
        <w:t xml:space="preserve">2. Deal Structure Overview</w:t>
      </w:r>
    </w:p>
    <w:p>
      <w:pPr>
        <w:spacing w:after="160" w:before="0" w:line="276"/>
      </w:pPr>
      <w:r>
        <w:rPr>
          <w:rFonts w:ascii="Arial" w:cs="Arial" w:eastAsia="Arial" w:hAnsi="Arial"/>
          <w:color w:val="4A5568"/>
          <w:sz w:val="21"/>
          <w:szCs w:val="21"/>
        </w:rPr>
        <w:t xml:space="preserve">The engagement is structured as a SaaS subscription with professional services onboarding. All pricing below assumes a Client employee population of approximately 3,500–7,000 eligible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1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Structure</w:t>
            </w:r>
          </w:p>
        </w:tc>
        <w:tc>
          <w:tcPr>
            <w:tcW w:type="dxa" w:w="316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Range</w:t>
            </w:r>
          </w:p>
        </w:tc>
      </w:tr>
      <w:tr>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Platform Subscription</w:t>
            </w:r>
          </w:p>
        </w:tc>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Per-Employee-Per-Month (PEPM)</w:t>
            </w:r>
          </w:p>
        </w:tc>
        <w:tc>
          <w:tcPr>
            <w:tcW w:type="dxa" w:w="3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$8.50 – $14.00 PEPM</w:t>
            </w:r>
          </w:p>
        </w:tc>
      </w:tr>
      <w:tr>
        <w:tc>
          <w:tcPr>
            <w:tcW w:type="dxa" w:w="31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Implementation &amp; Onboarding</w:t>
            </w:r>
          </w:p>
        </w:tc>
        <w:tc>
          <w:tcPr>
            <w:tcW w:type="dxa" w:w="31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Fixed Project Fee</w:t>
            </w:r>
          </w:p>
        </w:tc>
        <w:tc>
          <w:tcPr>
            <w:tcW w:type="dxa" w:w="31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$85,000 – $150,000</w:t>
            </w:r>
          </w:p>
        </w:tc>
      </w:tr>
      <w:tr>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Data Migration &amp; Integration</w:t>
            </w:r>
          </w:p>
        </w:tc>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Fixed + T&amp;M Hybrid</w:t>
            </w:r>
          </w:p>
        </w:tc>
        <w:tc>
          <w:tcPr>
            <w:tcW w:type="dxa" w:w="3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$25,000 – $60,000</w:t>
            </w:r>
          </w:p>
        </w:tc>
      </w:tr>
      <w:tr>
        <w:tc>
          <w:tcPr>
            <w:tcW w:type="dxa" w:w="31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Training &amp; Change Management</w:t>
            </w:r>
          </w:p>
        </w:tc>
        <w:tc>
          <w:tcPr>
            <w:tcW w:type="dxa" w:w="31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Included in Onboarding (Tier 1); Add-on (Tier 2+)</w:t>
            </w:r>
          </w:p>
        </w:tc>
        <w:tc>
          <w:tcPr>
            <w:tcW w:type="dxa" w:w="31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$0 – $30,000</w:t>
            </w:r>
          </w:p>
        </w:tc>
      </w:tr>
      <w:tr>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Custom Analytics / Modeling</w:t>
            </w:r>
          </w:p>
        </w:tc>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Annual retainer or SOW-based</w:t>
            </w:r>
          </w:p>
        </w:tc>
        <w:tc>
          <w:tcPr>
            <w:tcW w:type="dxa" w:w="3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$40,000 – $75,000 / yr</w:t>
            </w:r>
          </w:p>
        </w:tc>
      </w:tr>
      <w:tr>
        <w:tc>
          <w:tcPr>
            <w:tcW w:type="dxa" w:w="31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Legal Playbook Configuration</w:t>
            </w:r>
          </w:p>
        </w:tc>
        <w:tc>
          <w:tcPr>
            <w:tcW w:type="dxa" w:w="31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One-time setup + annual refresh</w:t>
            </w:r>
          </w:p>
        </w:tc>
        <w:tc>
          <w:tcPr>
            <w:tcW w:type="dxa" w:w="31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$15,000 – $35,000</w:t>
            </w:r>
          </w:p>
        </w:tc>
      </w:tr>
      <w:tr>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Ongoing Support &amp; CSM</w:t>
            </w:r>
          </w:p>
        </w:tc>
        <w:tc>
          <w:tcPr>
            <w:tcW w:type="dxa" w:w="31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Included in PEPM</w:t>
            </w:r>
          </w:p>
        </w:tc>
        <w:tc>
          <w:tcPr>
            <w:tcW w:type="dxa" w:w="3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Included</w:t>
            </w:r>
          </w:p>
        </w:tc>
      </w:tr>
    </w:tbl>
    <w:p>
      <w:pPr>
        <w:spacing w:after="200"/>
      </w:pPr>
    </w:p>
    <w:p>
      <w:pPr>
        <w:pBdr>
          <w:bottom w:val="single" w:color="0D7377" w:sz="6" w:space="4"/>
        </w:pBdr>
        <w:spacing w:after="120" w:before="360"/>
      </w:pPr>
      <w:r>
        <w:rPr>
          <w:rFonts w:ascii="Arial" w:cs="Arial" w:eastAsia="Arial" w:hAnsi="Arial"/>
          <w:b/>
          <w:bCs/>
          <w:color w:val="1B2A4A"/>
          <w:sz w:val="28"/>
          <w:szCs w:val="28"/>
        </w:rPr>
        <w:t xml:space="preserve">3. Per-Employee-Per-Month (PEPM) Pricing</w:t>
      </w:r>
    </w:p>
    <w:p>
      <w:pPr>
        <w:spacing w:after="160" w:before="0" w:line="276"/>
      </w:pPr>
      <w:r>
        <w:rPr>
          <w:rFonts w:ascii="Arial" w:cs="Arial" w:eastAsia="Arial" w:hAnsi="Arial"/>
          <w:color w:val="4A5568"/>
          <w:sz w:val="21"/>
          <w:szCs w:val="21"/>
        </w:rPr>
        <w:t xml:space="preserve">The PEPM fee is the core recurring charge and scales with the number of eligible employees on the platform. We offer three tiers, each building on the last. The Client selects the tier at contract signing; mid-term upgrades are prorated.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 / Feature</w:t>
            </w:r>
          </w:p>
        </w:tc>
        <w:tc>
          <w:tcPr>
            <w:tcW w:type="dxa" w:w="192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1: Core</w:t>
            </w:r>
          </w:p>
        </w:tc>
        <w:tc>
          <w:tcPr>
            <w:tcW w:type="dxa" w:w="192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2: Advanced</w:t>
            </w:r>
          </w:p>
        </w:tc>
        <w:tc>
          <w:tcPr>
            <w:tcW w:type="dxa" w:w="192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3: Enterprise</w:t>
            </w:r>
          </w:p>
        </w:tc>
      </w:tr>
      <w:tr>
        <w:tc>
          <w:tcPr>
            <w:tcW w:type="dxa" w:w="36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Compliance Tracking (licenses, certs, training)</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Incident Reporting &amp; Case Intake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Risk Dashboard (standard views)</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Employee Relations Case Management</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Hire/Fire Decision Support &amp; Checklists</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Document Generation (PIPs, warnings, separation)</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Right-Tail Risk Analytics &amp; Predictive Scoring</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Custom Risk Models (department, tenure, role)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Executive Risk Briefing (quarterly)</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Outside Counsel Integration / API</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192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36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PEPM Rate</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$8.50</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$11.50</w:t>
            </w:r>
          </w:p>
        </w:tc>
        <w:tc>
          <w:tcPr>
            <w:tcW w:type="dxa" w:w="192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$14.00</w:t>
            </w:r>
          </w:p>
        </w:tc>
      </w:tr>
    </w:tbl>
    <w:p>
      <w:pPr>
        <w:spacing w:after="100"/>
      </w:pPr>
    </w:p>
    <w:p>
      <w:pPr>
        <w:spacing w:after="160" w:line="276"/>
      </w:pPr>
      <w:r>
        <w:rPr>
          <w:rFonts w:ascii="Arial" w:cs="Arial" w:eastAsia="Arial" w:hAnsi="Arial"/>
          <w:b/>
          <w:bCs/>
          <w:color w:val="1B2A4A"/>
          <w:sz w:val="21"/>
          <w:szCs w:val="21"/>
        </w:rPr>
        <w:t xml:space="preserve">Volume Discount: </w:t>
      </w:r>
      <w:r>
        <w:rPr>
          <w:rFonts w:ascii="Arial" w:cs="Arial" w:eastAsia="Arial" w:hAnsi="Arial"/>
          <w:color w:val="4A5568"/>
          <w:sz w:val="21"/>
          <w:szCs w:val="21"/>
        </w:rPr>
        <w:t xml:space="preserve">For employee counts exceeding 5,000, a 10–15% discount on the PEPM rate is applied. For counts exceeding 8,000, custom enterprise pricing is available.</w:t>
      </w:r>
    </w:p>
    <w:p>
      <w:pPr>
        <w:spacing w:after="160" w:line="276"/>
      </w:pPr>
      <w:r>
        <w:rPr>
          <w:rFonts w:ascii="Arial" w:cs="Arial" w:eastAsia="Arial" w:hAnsi="Arial"/>
          <w:b/>
          <w:bCs/>
          <w:color w:val="1B2A4A"/>
          <w:sz w:val="21"/>
          <w:szCs w:val="21"/>
        </w:rPr>
        <w:t xml:space="preserve">Annual Commitment: </w:t>
      </w:r>
      <w:r>
        <w:rPr>
          <w:rFonts w:ascii="Arial" w:cs="Arial" w:eastAsia="Arial" w:hAnsi="Arial"/>
          <w:color w:val="4A5568"/>
          <w:sz w:val="21"/>
          <w:szCs w:val="21"/>
        </w:rPr>
        <w:t xml:space="preserve">All tiers require a minimum 36-month initial term with annual PEPM escalator capped at 4% (tied to CPI or fixed, negotiable).</w:t>
      </w:r>
    </w:p>
    <w:p>
      <w:pPr>
        <w:spacing w:after="100" w:before="240"/>
      </w:pPr>
      <w:r>
        <w:rPr>
          <w:rFonts w:ascii="Arial" w:cs="Arial" w:eastAsia="Arial" w:hAnsi="Arial"/>
          <w:b/>
          <w:bCs/>
          <w:color w:val="0D7377"/>
          <w:sz w:val="24"/>
          <w:szCs w:val="24"/>
        </w:rPr>
        <w:t xml:space="preserve">Illustrative Annual Cost (Tier 2, 5,000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86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5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Employee Count</w:t>
            </w:r>
          </w:p>
        </w:tc>
        <w:tc>
          <w:tcPr>
            <w:tcW w:type="dxa" w:w="38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5,000</w:t>
            </w:r>
          </w:p>
        </w:tc>
      </w:tr>
      <w:tr>
        <w:tc>
          <w:tcPr>
            <w:tcW w:type="dxa" w:w="5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PEPM Rate (Tier 2)</w:t>
            </w:r>
          </w:p>
        </w:tc>
        <w:tc>
          <w:tcPr>
            <w:tcW w:type="dxa" w:w="38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$11.50</w:t>
            </w:r>
          </w:p>
        </w:tc>
      </w:tr>
      <w:tr>
        <w:tc>
          <w:tcPr>
            <w:tcW w:type="dxa" w:w="5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Monthly Platform Cost</w:t>
            </w:r>
          </w:p>
        </w:tc>
        <w:tc>
          <w:tcPr>
            <w:tcW w:type="dxa" w:w="38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$57,500</w:t>
            </w:r>
          </w:p>
        </w:tc>
      </w:tr>
      <w:tr>
        <w:tc>
          <w:tcPr>
            <w:tcW w:type="dxa" w:w="5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Annual Platform Cost</w:t>
            </w:r>
          </w:p>
        </w:tc>
        <w:tc>
          <w:tcPr>
            <w:tcW w:type="dxa" w:w="38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$690,000</w:t>
            </w:r>
          </w:p>
        </w:tc>
      </w:tr>
      <w:tr>
        <w:tc>
          <w:tcPr>
            <w:tcW w:type="dxa" w:w="5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Volume Discount (10%)</w:t>
            </w:r>
          </w:p>
        </w:tc>
        <w:tc>
          <w:tcPr>
            <w:tcW w:type="dxa" w:w="38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($69,000)</w:t>
            </w:r>
          </w:p>
        </w:tc>
      </w:tr>
      <w:tr>
        <w:tc>
          <w:tcPr>
            <w:tcW w:type="dxa" w:w="5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Net Annual Platform Cost</w:t>
            </w:r>
          </w:p>
        </w:tc>
        <w:tc>
          <w:tcPr>
            <w:tcW w:type="dxa" w:w="38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b/>
                <w:bCs/>
                <w:color w:val="0D7377"/>
                <w:sz w:val="20"/>
                <w:szCs w:val="20"/>
              </w:rPr>
              <w:t xml:space="preserve">$621,000</w:t>
            </w:r>
          </w:p>
        </w:tc>
      </w:tr>
    </w:tbl>
    <w:p>
      <w:r>
        <w:br w:type="page"/>
      </w:r>
    </w:p>
    <w:p>
      <w:pPr>
        <w:pBdr>
          <w:bottom w:val="single" w:color="0D7377" w:sz="6" w:space="4"/>
        </w:pBdr>
        <w:spacing w:after="120" w:before="360"/>
      </w:pPr>
      <w:r>
        <w:rPr>
          <w:rFonts w:ascii="Arial" w:cs="Arial" w:eastAsia="Arial" w:hAnsi="Arial"/>
          <w:b/>
          <w:bCs/>
          <w:color w:val="1B2A4A"/>
          <w:sz w:val="28"/>
          <w:szCs w:val="28"/>
        </w:rPr>
        <w:t xml:space="preserve">4. Implementation &amp; Onboarding Fees</w:t>
      </w:r>
    </w:p>
    <w:p>
      <w:pPr>
        <w:spacing w:after="160" w:before="0" w:line="276"/>
      </w:pPr>
      <w:r>
        <w:rPr>
          <w:rFonts w:ascii="Arial" w:cs="Arial" w:eastAsia="Arial" w:hAnsi="Arial"/>
          <w:color w:val="4A5568"/>
          <w:sz w:val="21"/>
          <w:szCs w:val="21"/>
        </w:rPr>
        <w:t xml:space="preserve">Implementation is scoped as a 12–16 week engagement with dedicated project management. The fee is fixed-bid and payable in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00"/>
        <w:gridCol w:w="2660"/>
      </w:tblGrid>
      <w:tr>
        <w:trPr>
          <w:tblHeader/>
        </w:trPr>
        <w:tc>
          <w:tcPr>
            <w:tcW w:type="dxa" w:w="18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5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266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Payment</w:t>
            </w:r>
          </w:p>
        </w:tc>
      </w:tr>
      <w:tr>
        <w:tc>
          <w:tcPr>
            <w:tcW w:type="dxa" w:w="1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Phase 0: Discovery &amp; Scoping</w:t>
            </w:r>
          </w:p>
        </w:tc>
        <w:tc>
          <w:tcPr>
            <w:tcW w:type="dxa" w:w="1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Weeks 1–2</w:t>
            </w:r>
          </w:p>
        </w:tc>
        <w:tc>
          <w:tcPr>
            <w:tcW w:type="dxa" w:w="3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Stakeholder interviews, data audit, integration mapping, project charter</w:t>
            </w:r>
          </w:p>
        </w:tc>
        <w:tc>
          <w:tcPr>
            <w:tcW w:type="dxa" w:w="26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20% of impl. fee</w:t>
            </w:r>
          </w:p>
        </w:tc>
      </w:tr>
      <w:tr>
        <w:tc>
          <w:tcPr>
            <w:tcW w:type="dxa" w:w="18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Phase 1: Configuration &amp; Build</w:t>
            </w:r>
          </w:p>
        </w:tc>
        <w:tc>
          <w:tcPr>
            <w:tcW w:type="dxa" w:w="1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Weeks 3–8</w:t>
            </w:r>
          </w:p>
        </w:tc>
        <w:tc>
          <w:tcPr>
            <w:tcW w:type="dxa" w:w="3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Platform config, compliance rule library, dashboard setup, workflow design</w:t>
            </w:r>
          </w:p>
        </w:tc>
        <w:tc>
          <w:tcPr>
            <w:tcW w:type="dxa" w:w="26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30% of impl. fee</w:t>
            </w:r>
          </w:p>
        </w:tc>
      </w:tr>
      <w:tr>
        <w:tc>
          <w:tcPr>
            <w:tcW w:type="dxa" w:w="1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Phase 2: Data Migration</w:t>
            </w:r>
          </w:p>
        </w:tc>
        <w:tc>
          <w:tcPr>
            <w:tcW w:type="dxa" w:w="1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Weeks 6–10</w:t>
            </w:r>
          </w:p>
        </w:tc>
        <w:tc>
          <w:tcPr>
            <w:tcW w:type="dxa" w:w="3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Historical employee data, prior IR cases, credential records, HRIS/ATS integration</w:t>
            </w:r>
          </w:p>
        </w:tc>
        <w:tc>
          <w:tcPr>
            <w:tcW w:type="dxa" w:w="26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25% of impl. fee</w:t>
            </w:r>
          </w:p>
        </w:tc>
      </w:tr>
      <w:tr>
        <w:tc>
          <w:tcPr>
            <w:tcW w:type="dxa" w:w="18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Phase 3: UAT &amp; Training</w:t>
            </w:r>
          </w:p>
        </w:tc>
        <w:tc>
          <w:tcPr>
            <w:tcW w:type="dxa" w:w="1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Weeks 10–14</w:t>
            </w:r>
          </w:p>
        </w:tc>
        <w:tc>
          <w:tcPr>
            <w:tcW w:type="dxa" w:w="3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User acceptance testing, admin training, manager training, go-live readiness</w:t>
            </w:r>
          </w:p>
        </w:tc>
        <w:tc>
          <w:tcPr>
            <w:tcW w:type="dxa" w:w="26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15% of impl. fee</w:t>
            </w:r>
          </w:p>
        </w:tc>
      </w:tr>
      <w:tr>
        <w:tc>
          <w:tcPr>
            <w:tcW w:type="dxa" w:w="1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Phase 4: Go-Live &amp; Hypercare</w:t>
            </w:r>
          </w:p>
        </w:tc>
        <w:tc>
          <w:tcPr>
            <w:tcW w:type="dxa" w:w="1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Weeks 14–16</w:t>
            </w:r>
          </w:p>
        </w:tc>
        <w:tc>
          <w:tcPr>
            <w:tcW w:type="dxa" w:w="3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Production launch, 2-week hypercare support, issue resolution</w:t>
            </w:r>
          </w:p>
        </w:tc>
        <w:tc>
          <w:tcPr>
            <w:tcW w:type="dxa" w:w="26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10% of impl. fee</w:t>
            </w:r>
          </w:p>
        </w:tc>
      </w:tr>
    </w:tbl>
    <w:p>
      <w:pPr>
        <w:spacing w:after="100"/>
      </w:pPr>
    </w:p>
    <w:p>
      <w:pPr>
        <w:spacing w:after="160" w:line="276"/>
      </w:pPr>
      <w:r>
        <w:rPr>
          <w:rFonts w:ascii="Arial" w:cs="Arial" w:eastAsia="Arial" w:hAnsi="Arial"/>
          <w:b/>
          <w:bCs/>
          <w:color w:val="1B2A4A"/>
          <w:sz w:val="21"/>
          <w:szCs w:val="21"/>
        </w:rPr>
        <w:t xml:space="preserve">Typical Implementation Fee: </w:t>
      </w:r>
      <w:r>
        <w:rPr>
          <w:rFonts w:ascii="Arial" w:cs="Arial" w:eastAsia="Arial" w:hAnsi="Arial"/>
          <w:color w:val="4A5568"/>
          <w:sz w:val="21"/>
          <w:szCs w:val="21"/>
        </w:rPr>
        <w:t xml:space="preserve">$110,000 for a 5,000-employee health system at Tier 2. Tier 3 implementations with custom risk modeling add $25,000–$40,000.</w:t>
      </w:r>
    </w:p>
    <w:p>
      <w:pPr>
        <w:pBdr>
          <w:bottom w:val="single" w:color="0D7377" w:sz="6" w:space="4"/>
        </w:pBdr>
        <w:spacing w:after="120" w:before="360"/>
      </w:pPr>
      <w:r>
        <w:rPr>
          <w:rFonts w:ascii="Arial" w:cs="Arial" w:eastAsia="Arial" w:hAnsi="Arial"/>
          <w:b/>
          <w:bCs/>
          <w:color w:val="1B2A4A"/>
          <w:sz w:val="28"/>
          <w:szCs w:val="28"/>
        </w:rPr>
        <w:t xml:space="preserve">5. Integration &amp; Data Migration</w:t>
      </w:r>
    </w:p>
    <w:p>
      <w:pPr>
        <w:spacing w:after="160" w:before="0" w:line="276"/>
      </w:pPr>
      <w:r>
        <w:rPr>
          <w:rFonts w:ascii="Arial" w:cs="Arial" w:eastAsia="Arial" w:hAnsi="Arial"/>
          <w:color w:val="4A5568"/>
          <w:sz w:val="21"/>
          <w:szCs w:val="21"/>
        </w:rPr>
        <w:t xml:space="preserve">The platform is designed to sit alongside and draw from the Client’s existing technology stack. Standard integrations include:</w:t>
      </w:r>
    </w:p>
    <w:p>
      <w:pPr>
        <w:pStyle w:val="ListParagraph"/>
        <w:numPr>
          <w:ilvl w:val="0"/>
          <w:numId w:val="2"/>
        </w:numPr>
        <w:spacing w:after="80" w:line="276"/>
      </w:pPr>
      <w:r>
        <w:rPr>
          <w:rFonts w:ascii="Arial" w:cs="Arial" w:eastAsia="Arial" w:hAnsi="Arial"/>
          <w:color w:val="4A5568"/>
          <w:sz w:val="21"/>
          <w:szCs w:val="21"/>
        </w:rPr>
        <w:t xml:space="preserve">HRIS (Workday, UKG, ADP, Oracle HCM) — bidirectional employee roster sync</w:t>
      </w:r>
    </w:p>
    <w:p>
      <w:pPr>
        <w:pStyle w:val="ListParagraph"/>
        <w:numPr>
          <w:ilvl w:val="0"/>
          <w:numId w:val="2"/>
        </w:numPr>
        <w:spacing w:after="80" w:line="276"/>
      </w:pPr>
      <w:r>
        <w:rPr>
          <w:rFonts w:ascii="Arial" w:cs="Arial" w:eastAsia="Arial" w:hAnsi="Arial"/>
          <w:color w:val="4A5568"/>
          <w:sz w:val="21"/>
          <w:szCs w:val="21"/>
        </w:rPr>
        <w:t xml:space="preserve">ATS (Greenhouse, iCIMS, Lever) — pre-hire risk scoring feed</w:t>
      </w:r>
    </w:p>
    <w:p>
      <w:pPr>
        <w:pStyle w:val="ListParagraph"/>
        <w:numPr>
          <w:ilvl w:val="0"/>
          <w:numId w:val="2"/>
        </w:numPr>
        <w:spacing w:after="80" w:line="276"/>
      </w:pPr>
      <w:r>
        <w:rPr>
          <w:rFonts w:ascii="Arial" w:cs="Arial" w:eastAsia="Arial" w:hAnsi="Arial"/>
          <w:color w:val="4A5568"/>
          <w:sz w:val="21"/>
          <w:szCs w:val="21"/>
        </w:rPr>
        <w:t xml:space="preserve">Credentialing Systems (Symplr, MD-Staff) — license/cert status pull</w:t>
      </w:r>
    </w:p>
    <w:p>
      <w:pPr>
        <w:pStyle w:val="ListParagraph"/>
        <w:numPr>
          <w:ilvl w:val="0"/>
          <w:numId w:val="2"/>
        </w:numPr>
        <w:spacing w:after="80" w:line="276"/>
      </w:pPr>
      <w:r>
        <w:rPr>
          <w:rFonts w:ascii="Arial" w:cs="Arial" w:eastAsia="Arial" w:hAnsi="Arial"/>
          <w:color w:val="4A5568"/>
          <w:sz w:val="21"/>
          <w:szCs w:val="21"/>
        </w:rPr>
        <w:t xml:space="preserve">EHR/Safety (Epic, Cerner, RL Solutions) — incident data feed</w:t>
      </w:r>
    </w:p>
    <w:p>
      <w:pPr>
        <w:pStyle w:val="ListParagraph"/>
        <w:numPr>
          <w:ilvl w:val="0"/>
          <w:numId w:val="2"/>
        </w:numPr>
        <w:spacing w:after="80" w:line="276"/>
      </w:pPr>
      <w:r>
        <w:rPr>
          <w:rFonts w:ascii="Arial" w:cs="Arial" w:eastAsia="Arial" w:hAnsi="Arial"/>
          <w:color w:val="4A5568"/>
          <w:sz w:val="21"/>
          <w:szCs w:val="21"/>
        </w:rPr>
        <w:t xml:space="preserve">Payroll — wage/hour compliance cross-reference</w:t>
      </w:r>
    </w:p>
    <w:p>
      <w:pPr>
        <w:pStyle w:val="ListParagraph"/>
        <w:numPr>
          <w:ilvl w:val="0"/>
          <w:numId w:val="2"/>
        </w:numPr>
        <w:spacing w:after="80" w:line="276"/>
      </w:pPr>
      <w:r>
        <w:rPr>
          <w:rFonts w:ascii="Arial" w:cs="Arial" w:eastAsia="Arial" w:hAnsi="Arial"/>
          <w:color w:val="4A5568"/>
          <w:sz w:val="21"/>
          <w:szCs w:val="21"/>
        </w:rPr>
        <w:t xml:space="preserve">Outside Counsel Portals — case data push for active litigation</w:t>
      </w:r>
    </w:p>
    <w:p>
      <w:pPr>
        <w:spacing w:after="100"/>
      </w:pPr>
    </w:p>
    <w:p>
      <w:pPr>
        <w:spacing w:after="160" w:line="276"/>
      </w:pPr>
      <w:r>
        <w:rPr>
          <w:rFonts w:ascii="Arial" w:cs="Arial" w:eastAsia="Arial" w:hAnsi="Arial"/>
          <w:b/>
          <w:bCs/>
          <w:color w:val="1B2A4A"/>
          <w:sz w:val="21"/>
          <w:szCs w:val="21"/>
        </w:rPr>
        <w:t xml:space="preserve">Integration Pricing: </w:t>
      </w:r>
      <w:r>
        <w:rPr>
          <w:rFonts w:ascii="Arial" w:cs="Arial" w:eastAsia="Arial" w:hAnsi="Arial"/>
          <w:color w:val="4A5568"/>
          <w:sz w:val="21"/>
          <w:szCs w:val="21"/>
        </w:rPr>
        <w:t xml:space="preserve">First two standard connectors are included in onboarding. Each additional connector is $8,000–$15,000 depending on complexity. Custom API work is billed at $250/hr (T&amp;M) with a not-to-exceed cap agreed in the SOW.</w:t>
      </w:r>
    </w:p>
    <w:p>
      <w:r>
        <w:br w:type="page"/>
      </w:r>
    </w:p>
    <w:p>
      <w:pPr>
        <w:pBdr>
          <w:bottom w:val="single" w:color="0D7377" w:sz="6" w:space="4"/>
        </w:pBdr>
        <w:spacing w:after="120" w:before="360"/>
      </w:pPr>
      <w:r>
        <w:rPr>
          <w:rFonts w:ascii="Arial" w:cs="Arial" w:eastAsia="Arial" w:hAnsi="Arial"/>
          <w:b/>
          <w:bCs/>
          <w:color w:val="1B2A4A"/>
          <w:sz w:val="28"/>
          <w:szCs w:val="28"/>
        </w:rPr>
        <w:t xml:space="preserve">6. Legal Playbook &amp; Decision-Support Configuration</w:t>
      </w:r>
    </w:p>
    <w:p>
      <w:pPr>
        <w:spacing w:after="160" w:before="0" w:line="276"/>
      </w:pPr>
      <w:r>
        <w:rPr>
          <w:rFonts w:ascii="Arial" w:cs="Arial" w:eastAsia="Arial" w:hAnsi="Arial"/>
          <w:color w:val="4A5568"/>
          <w:sz w:val="21"/>
          <w:szCs w:val="21"/>
        </w:rPr>
        <w:t xml:space="preserve">One of the platform’s highest-value features is the structured decision-support layer—what we call the Legal Playbook. This is a configurable rules engine that encodes the Client’s internal policies, California employment law requirements, and best-practice frameworks into actionable decision trees.</w:t>
      </w:r>
    </w:p>
    <w:p>
      <w:pPr>
        <w:spacing w:after="100" w:before="240"/>
      </w:pPr>
      <w:r>
        <w:rPr>
          <w:rFonts w:ascii="Arial" w:cs="Arial" w:eastAsia="Arial" w:hAnsi="Arial"/>
          <w:b/>
          <w:bCs/>
          <w:color w:val="0D7377"/>
          <w:sz w:val="24"/>
          <w:szCs w:val="24"/>
        </w:rPr>
        <w:t xml:space="preserve">What the Playbook Covers</w:t>
      </w:r>
    </w:p>
    <w:p>
      <w:pPr>
        <w:pStyle w:val="ListParagraph"/>
        <w:numPr>
          <w:ilvl w:val="0"/>
          <w:numId w:val="2"/>
        </w:numPr>
        <w:spacing w:after="80" w:line="276"/>
      </w:pPr>
      <w:r>
        <w:rPr>
          <w:rFonts w:ascii="Arial" w:cs="Arial" w:eastAsia="Arial" w:hAnsi="Arial"/>
          <w:b/>
          <w:bCs/>
          <w:color w:val="1B2A4A"/>
          <w:sz w:val="21"/>
          <w:szCs w:val="21"/>
        </w:rPr>
        <w:t xml:space="preserve">Termination Risk Scoring: </w:t>
      </w:r>
      <w:r>
        <w:rPr>
          <w:rFonts w:ascii="Arial" w:cs="Arial" w:eastAsia="Arial" w:hAnsi="Arial"/>
          <w:color w:val="4A5568"/>
          <w:sz w:val="21"/>
          <w:szCs w:val="21"/>
        </w:rPr>
        <w:t xml:space="preserve">Before any separation, the system runs the employee’s profile against 40+ risk factors (tenure, protected class, recent complaints, leave history, documentation quality) and produces a risk score with a plain-language summary.</w:t>
      </w:r>
    </w:p>
    <w:p>
      <w:pPr>
        <w:pStyle w:val="ListParagraph"/>
        <w:numPr>
          <w:ilvl w:val="0"/>
          <w:numId w:val="2"/>
        </w:numPr>
        <w:spacing w:after="80" w:line="276"/>
      </w:pPr>
      <w:r>
        <w:rPr>
          <w:rFonts w:ascii="Arial" w:cs="Arial" w:eastAsia="Arial" w:hAnsi="Arial"/>
          <w:b/>
          <w:bCs/>
          <w:color w:val="1B2A4A"/>
          <w:sz w:val="21"/>
          <w:szCs w:val="21"/>
        </w:rPr>
        <w:t xml:space="preserve">Investigation Workflow: </w:t>
      </w:r>
      <w:r>
        <w:rPr>
          <w:rFonts w:ascii="Arial" w:cs="Arial" w:eastAsia="Arial" w:hAnsi="Arial"/>
          <w:color w:val="4A5568"/>
          <w:sz w:val="21"/>
          <w:szCs w:val="21"/>
        </w:rPr>
        <w:t xml:space="preserve">Complaint intake → triage → investigator assignment → witness interviews → findings → corrective action → closure. Every step is time-stamped and audit-ready.</w:t>
      </w:r>
    </w:p>
    <w:p>
      <w:pPr>
        <w:pStyle w:val="ListParagraph"/>
        <w:numPr>
          <w:ilvl w:val="0"/>
          <w:numId w:val="2"/>
        </w:numPr>
        <w:spacing w:after="80" w:line="276"/>
      </w:pPr>
      <w:r>
        <w:rPr>
          <w:rFonts w:ascii="Arial" w:cs="Arial" w:eastAsia="Arial" w:hAnsi="Arial"/>
          <w:b/>
          <w:bCs/>
          <w:color w:val="1B2A4A"/>
          <w:sz w:val="21"/>
          <w:szCs w:val="21"/>
        </w:rPr>
        <w:t xml:space="preserve">Progressive Discipline Engine: </w:t>
      </w:r>
      <w:r>
        <w:rPr>
          <w:rFonts w:ascii="Arial" w:cs="Arial" w:eastAsia="Arial" w:hAnsi="Arial"/>
          <w:color w:val="4A5568"/>
          <w:sz w:val="21"/>
          <w:szCs w:val="21"/>
        </w:rPr>
        <w:t xml:space="preserve">Automates PIP creation, tracks milestones, flags when documentation is insufficient to support escalation.</w:t>
      </w:r>
    </w:p>
    <w:p>
      <w:pPr>
        <w:pStyle w:val="ListParagraph"/>
        <w:numPr>
          <w:ilvl w:val="0"/>
          <w:numId w:val="2"/>
        </w:numPr>
        <w:spacing w:after="80" w:line="276"/>
      </w:pPr>
      <w:r>
        <w:rPr>
          <w:rFonts w:ascii="Arial" w:cs="Arial" w:eastAsia="Arial" w:hAnsi="Arial"/>
          <w:b/>
          <w:bCs/>
          <w:color w:val="1B2A4A"/>
          <w:sz w:val="21"/>
          <w:szCs w:val="21"/>
        </w:rPr>
        <w:t xml:space="preserve">PAGA / Wage &amp; Hour Exposure Monitor: </w:t>
      </w:r>
      <w:r>
        <w:rPr>
          <w:rFonts w:ascii="Arial" w:cs="Arial" w:eastAsia="Arial" w:hAnsi="Arial"/>
          <w:color w:val="4A5568"/>
          <w:sz w:val="21"/>
          <w:szCs w:val="21"/>
        </w:rPr>
        <w:t xml:space="preserve">Cross-references timekeeping data with California meal/rest break rules and flags systemic violations before they aggregate into class exposure.</w:t>
      </w:r>
    </w:p>
    <w:p>
      <w:pPr>
        <w:spacing w:after="100"/>
      </w:pPr>
    </w:p>
    <w:p>
      <w:pPr>
        <w:spacing w:after="160" w:line="276"/>
      </w:pPr>
      <w:r>
        <w:rPr>
          <w:rFonts w:ascii="Arial" w:cs="Arial" w:eastAsia="Arial" w:hAnsi="Arial"/>
          <w:b/>
          <w:bCs/>
          <w:color w:val="1B2A4A"/>
          <w:sz w:val="21"/>
          <w:szCs w:val="21"/>
        </w:rPr>
        <w:t xml:space="preserve">Playbook Setup Fee: </w:t>
      </w:r>
      <w:r>
        <w:rPr>
          <w:rFonts w:ascii="Arial" w:cs="Arial" w:eastAsia="Arial" w:hAnsi="Arial"/>
          <w:color w:val="4A5568"/>
          <w:sz w:val="21"/>
          <w:szCs w:val="21"/>
        </w:rPr>
        <w:t xml:space="preserve">$20,000–$35,000 depending on complexity. Includes initial configuration with Client’s employment counsel. Annual refresh (policy updates, new case law integration) is $8,000–$12,000/year.</w:t>
      </w:r>
    </w:p>
    <w:p>
      <w:pPr>
        <w:pBdr>
          <w:bottom w:val="single" w:color="0D7377" w:sz="6" w:space="4"/>
        </w:pBdr>
        <w:spacing w:after="120" w:before="360"/>
      </w:pPr>
      <w:r>
        <w:rPr>
          <w:rFonts w:ascii="Arial" w:cs="Arial" w:eastAsia="Arial" w:hAnsi="Arial"/>
          <w:b/>
          <w:bCs/>
          <w:color w:val="1B2A4A"/>
          <w:sz w:val="28"/>
          <w:szCs w:val="28"/>
        </w:rPr>
        <w:t xml:space="preserve">7. Right-Tail Risk Analytics (Tier 3)</w:t>
      </w:r>
    </w:p>
    <w:p>
      <w:pPr>
        <w:spacing w:after="160" w:before="0" w:line="276"/>
      </w:pPr>
      <w:r>
        <w:rPr>
          <w:rFonts w:ascii="Arial" w:cs="Arial" w:eastAsia="Arial" w:hAnsi="Arial"/>
          <w:color w:val="4A5568"/>
          <w:sz w:val="21"/>
          <w:szCs w:val="21"/>
        </w:rPr>
        <w:t xml:space="preserve">Standard risk dashboards show you what happened. Right-tail analytics show you what’s about to happen—specifically, where low-frequency but catastrophic exposure is quietly building.</w:t>
      </w:r>
    </w:p>
    <w:p>
      <w:pPr>
        <w:spacing w:after="100" w:before="240"/>
      </w:pPr>
      <w:r>
        <w:rPr>
          <w:rFonts w:ascii="Arial" w:cs="Arial" w:eastAsia="Arial" w:hAnsi="Arial"/>
          <w:b/>
          <w:bCs/>
          <w:color w:val="0D7377"/>
          <w:sz w:val="24"/>
          <w:szCs w:val="24"/>
        </w:rPr>
        <w:t xml:space="preserve">How It Works</w:t>
      </w:r>
    </w:p>
    <w:p>
      <w:pPr>
        <w:spacing w:after="160" w:before="0" w:line="276"/>
      </w:pPr>
      <w:r>
        <w:rPr>
          <w:rFonts w:ascii="Arial" w:cs="Arial" w:eastAsia="Arial" w:hAnsi="Arial"/>
          <w:color w:val="4A5568"/>
          <w:sz w:val="21"/>
          <w:szCs w:val="21"/>
        </w:rPr>
        <w:t xml:space="preserve">The model ingests all platform data (incidents, cases, compliance gaps, tenure patterns, complaint velocity, demographic distributions) and runs Monte Carlo simulations against historical outcomes from comparable California healthcare employers. The output is a set of risk concentration maps:</w:t>
      </w:r>
    </w:p>
    <w:p>
      <w:pPr>
        <w:pStyle w:val="ListParagraph"/>
        <w:numPr>
          <w:ilvl w:val="0"/>
          <w:numId w:val="2"/>
        </w:numPr>
        <w:spacing w:after="80" w:line="276"/>
      </w:pPr>
      <w:r>
        <w:rPr>
          <w:rFonts w:ascii="Arial" w:cs="Arial" w:eastAsia="Arial" w:hAnsi="Arial"/>
          <w:b/>
          <w:bCs/>
          <w:color w:val="1B2A4A"/>
          <w:sz w:val="21"/>
          <w:szCs w:val="21"/>
        </w:rPr>
        <w:t xml:space="preserve">Department Heat Maps: </w:t>
      </w:r>
      <w:r>
        <w:rPr>
          <w:rFonts w:ascii="Arial" w:cs="Arial" w:eastAsia="Arial" w:hAnsi="Arial"/>
          <w:color w:val="4A5568"/>
          <w:sz w:val="21"/>
          <w:szCs w:val="21"/>
        </w:rPr>
        <w:t xml:space="preserve">Which units are generating disproportionate complaint volume relative to headcount?</w:t>
      </w:r>
    </w:p>
    <w:p>
      <w:pPr>
        <w:pStyle w:val="ListParagraph"/>
        <w:numPr>
          <w:ilvl w:val="0"/>
          <w:numId w:val="2"/>
        </w:numPr>
        <w:spacing w:after="80" w:line="276"/>
      </w:pPr>
      <w:r>
        <w:rPr>
          <w:rFonts w:ascii="Arial" w:cs="Arial" w:eastAsia="Arial" w:hAnsi="Arial"/>
          <w:b/>
          <w:bCs/>
          <w:color w:val="1B2A4A"/>
          <w:sz w:val="21"/>
          <w:szCs w:val="21"/>
        </w:rPr>
        <w:t xml:space="preserve">Tenure Band Analysis: </w:t>
      </w:r>
      <w:r>
        <w:rPr>
          <w:rFonts w:ascii="Arial" w:cs="Arial" w:eastAsia="Arial" w:hAnsi="Arial"/>
          <w:color w:val="4A5568"/>
          <w:sz w:val="21"/>
          <w:szCs w:val="21"/>
        </w:rPr>
        <w:t xml:space="preserve">Are short-tenure terminations spiking in a way that suggests onboarding failure vs. legitimate performance management?</w:t>
      </w:r>
    </w:p>
    <w:p>
      <w:pPr>
        <w:pStyle w:val="ListParagraph"/>
        <w:numPr>
          <w:ilvl w:val="0"/>
          <w:numId w:val="2"/>
        </w:numPr>
        <w:spacing w:after="80" w:line="276"/>
      </w:pPr>
      <w:r>
        <w:rPr>
          <w:rFonts w:ascii="Arial" w:cs="Arial" w:eastAsia="Arial" w:hAnsi="Arial"/>
          <w:b/>
          <w:bCs/>
          <w:color w:val="1B2A4A"/>
          <w:sz w:val="21"/>
          <w:szCs w:val="21"/>
        </w:rPr>
        <w:t xml:space="preserve">Protected Class Overlay: </w:t>
      </w:r>
      <w:r>
        <w:rPr>
          <w:rFonts w:ascii="Arial" w:cs="Arial" w:eastAsia="Arial" w:hAnsi="Arial"/>
          <w:color w:val="4A5568"/>
          <w:sz w:val="21"/>
          <w:szCs w:val="21"/>
        </w:rPr>
        <w:t xml:space="preserve">Is adverse action clustering around any demographic dimension in a way that creates disparate impact exposure?</w:t>
      </w:r>
    </w:p>
    <w:p>
      <w:pPr>
        <w:pStyle w:val="ListParagraph"/>
        <w:numPr>
          <w:ilvl w:val="0"/>
          <w:numId w:val="2"/>
        </w:numPr>
        <w:spacing w:after="80" w:line="276"/>
      </w:pPr>
      <w:r>
        <w:rPr>
          <w:rFonts w:ascii="Arial" w:cs="Arial" w:eastAsia="Arial" w:hAnsi="Arial"/>
          <w:b/>
          <w:bCs/>
          <w:color w:val="1B2A4A"/>
          <w:sz w:val="21"/>
          <w:szCs w:val="21"/>
        </w:rPr>
        <w:t xml:space="preserve">Policy Gap Detection: </w:t>
      </w:r>
      <w:r>
        <w:rPr>
          <w:rFonts w:ascii="Arial" w:cs="Arial" w:eastAsia="Arial" w:hAnsi="Arial"/>
          <w:color w:val="4A5568"/>
          <w:sz w:val="21"/>
          <w:szCs w:val="21"/>
        </w:rPr>
        <w:t xml:space="preserve">Which policies are most frequently cited in incidents but least frequently trained on?</w:t>
      </w:r>
    </w:p>
    <w:p>
      <w:pPr>
        <w:pStyle w:val="ListParagraph"/>
        <w:numPr>
          <w:ilvl w:val="0"/>
          <w:numId w:val="2"/>
        </w:numPr>
        <w:spacing w:after="80" w:line="276"/>
      </w:pPr>
      <w:r>
        <w:rPr>
          <w:rFonts w:ascii="Arial" w:cs="Arial" w:eastAsia="Arial" w:hAnsi="Arial"/>
          <w:b/>
          <w:bCs/>
          <w:color w:val="1B2A4A"/>
          <w:sz w:val="21"/>
          <w:szCs w:val="21"/>
        </w:rPr>
        <w:t xml:space="preserve">Litigation Probability Scoring: </w:t>
      </w:r>
      <w:r>
        <w:rPr>
          <w:rFonts w:ascii="Arial" w:cs="Arial" w:eastAsia="Arial" w:hAnsi="Arial"/>
          <w:color w:val="4A5568"/>
          <w:sz w:val="21"/>
          <w:szCs w:val="21"/>
        </w:rPr>
        <w:t xml:space="preserve">For any open case, what is the estimated probability of escalation to agency complaint, demand letter, or filed lawsuit?</w:t>
      </w:r>
    </w:p>
    <w:p>
      <w:pPr>
        <w:spacing w:after="100"/>
      </w:pPr>
    </w:p>
    <w:p>
      <w:pPr>
        <w:spacing w:after="160" w:line="276"/>
      </w:pPr>
      <w:r>
        <w:rPr>
          <w:rFonts w:ascii="Arial" w:cs="Arial" w:eastAsia="Arial" w:hAnsi="Arial"/>
          <w:b/>
          <w:bCs/>
          <w:color w:val="1B2A4A"/>
          <w:sz w:val="21"/>
          <w:szCs w:val="21"/>
        </w:rPr>
        <w:t xml:space="preserve">Delivery: </w:t>
      </w:r>
      <w:r>
        <w:rPr>
          <w:rFonts w:ascii="Arial" w:cs="Arial" w:eastAsia="Arial" w:hAnsi="Arial"/>
          <w:color w:val="4A5568"/>
          <w:sz w:val="21"/>
          <w:szCs w:val="21"/>
        </w:rPr>
        <w:t xml:space="preserve">Continuous dashboard access plus quarterly Executive Risk Briefing (60-min session with Client’s CHRO, GC, and Risk Officer). Included in Tier 3 PEPM.</w:t>
      </w:r>
    </w:p>
    <w:p>
      <w:r>
        <w:br w:type="page"/>
      </w:r>
    </w:p>
    <w:p>
      <w:pPr>
        <w:pBdr>
          <w:bottom w:val="single" w:color="0D7377" w:sz="6" w:space="4"/>
        </w:pBdr>
        <w:spacing w:after="120" w:before="360"/>
      </w:pPr>
      <w:r>
        <w:rPr>
          <w:rFonts w:ascii="Arial" w:cs="Arial" w:eastAsia="Arial" w:hAnsi="Arial"/>
          <w:b/>
          <w:bCs/>
          <w:color w:val="1B2A4A"/>
          <w:sz w:val="28"/>
          <w:szCs w:val="28"/>
        </w:rPr>
        <w:t xml:space="preserve">8. ROI &amp; Value Justification</w:t>
      </w:r>
    </w:p>
    <w:p>
      <w:pPr>
        <w:spacing w:after="160" w:before="0" w:line="276"/>
      </w:pPr>
      <w:r>
        <w:rPr>
          <w:rFonts w:ascii="Arial" w:cs="Arial" w:eastAsia="Arial" w:hAnsi="Arial"/>
          <w:color w:val="4A5568"/>
          <w:sz w:val="21"/>
          <w:szCs w:val="21"/>
        </w:rPr>
        <w:t xml:space="preserve">The following model estimates the financial impact of the platform for a 5,000-employee LA-based health system over the first 24 months of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24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Annual Spend (Est.)</w:t>
            </w:r>
          </w:p>
        </w:tc>
        <w:tc>
          <w:tcPr>
            <w:tcW w:type="dxa" w:w="24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Projected w/ Platform</w:t>
            </w:r>
          </w:p>
        </w:tc>
        <w:tc>
          <w:tcPr>
            <w:tcW w:type="dxa" w:w="216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Savings</w:t>
            </w:r>
          </w:p>
        </w:tc>
      </w:tr>
      <w:tr>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Outside Employment Counsel</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$600K – $900K</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$350K – $550K</w:t>
            </w:r>
          </w:p>
        </w:tc>
        <w:tc>
          <w:tcPr>
            <w:tcW w:type="dxa" w:w="2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$250K – $350K</w:t>
            </w:r>
          </w:p>
        </w:tc>
      </w:tr>
      <w:tr>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EEOC/DFEH Charge Defense</w:t>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$150K – $300K</w:t>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$80K – $150K</w:t>
            </w:r>
          </w:p>
        </w:tc>
        <w:tc>
          <w:tcPr>
            <w:tcW w:type="dxa" w:w="21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$70K – $150K</w:t>
            </w:r>
          </w:p>
        </w:tc>
      </w:tr>
      <w:tr>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PAGA/Wage &amp; Hour Settlements</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$400K – $1.2M</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$200K – $600K</w:t>
            </w:r>
          </w:p>
        </w:tc>
        <w:tc>
          <w:tcPr>
            <w:tcW w:type="dxa" w:w="2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$200K – $600K</w:t>
            </w:r>
          </w:p>
        </w:tc>
      </w:tr>
      <w:tr>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Wrongful Termination Claims</w:t>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$300K – $800K</w:t>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$100K – $350K</w:t>
            </w:r>
          </w:p>
        </w:tc>
        <w:tc>
          <w:tcPr>
            <w:tcW w:type="dxa" w:w="21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$200K – $450K</w:t>
            </w:r>
          </w:p>
        </w:tc>
      </w:tr>
      <w:tr>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Compliance Audit Remediation</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$75K – $200K</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$20K – $60K</w:t>
            </w:r>
          </w:p>
        </w:tc>
        <w:tc>
          <w:tcPr>
            <w:tcW w:type="dxa" w:w="2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$55K – $140K</w:t>
            </w:r>
          </w:p>
        </w:tc>
      </w:tr>
      <w:tr>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HR Staff Time (manual tracking)</w:t>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$180K – $300K</w:t>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$60K – $120K</w:t>
            </w:r>
          </w:p>
        </w:tc>
        <w:tc>
          <w:tcPr>
            <w:tcW w:type="dxa" w:w="21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$120K – $180K</w:t>
            </w:r>
          </w:p>
        </w:tc>
      </w:tr>
      <w:tr>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b/>
                <w:bCs/>
                <w:color w:val="1B2A4A"/>
                <w:sz w:val="20"/>
                <w:szCs w:val="20"/>
              </w:rPr>
              <w:t xml:space="preserve">Total Est. Annual Savings</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
            </w:r>
          </w:p>
        </w:tc>
        <w:tc>
          <w:tcPr>
            <w:tcW w:type="dxa" w:w="2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b/>
                <w:bCs/>
                <w:color w:val="0D7377"/>
                <w:sz w:val="20"/>
                <w:szCs w:val="20"/>
              </w:rPr>
              <w:t xml:space="preserve">$895K – $1.87M</w:t>
            </w:r>
          </w:p>
        </w:tc>
      </w:tr>
      <w:tr>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Net Annual Platform Cost (Tier 2)</w:t>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
            </w:r>
          </w:p>
        </w:tc>
        <w:tc>
          <w:tcPr>
            <w:tcW w:type="dxa" w:w="24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
            </w:r>
          </w:p>
        </w:tc>
        <w:tc>
          <w:tcPr>
            <w:tcW w:type="dxa" w:w="21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b/>
                <w:bCs/>
                <w:color w:val="C0392B"/>
                <w:sz w:val="20"/>
                <w:szCs w:val="20"/>
              </w:rPr>
              <w:t xml:space="preserve">($621,000)</w:t>
            </w:r>
          </w:p>
        </w:tc>
      </w:tr>
      <w:tr>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b/>
                <w:bCs/>
                <w:color w:val="1B2A4A"/>
                <w:sz w:val="20"/>
                <w:szCs w:val="20"/>
              </w:rPr>
              <w:t xml:space="preserve">Net Annual ROI</w:t>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
            </w:r>
          </w:p>
        </w:tc>
        <w:tc>
          <w:tcPr>
            <w:tcW w:type="dxa" w:w="24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
            </w:r>
          </w:p>
        </w:tc>
        <w:tc>
          <w:tcPr>
            <w:tcW w:type="dxa" w:w="21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b/>
                <w:bCs/>
                <w:color w:val="0D7377"/>
                <w:sz w:val="22"/>
                <w:szCs w:val="22"/>
              </w:rPr>
              <w:t xml:space="preserve">$274K – $1.25M</w:t>
            </w:r>
          </w:p>
        </w:tc>
      </w:tr>
    </w:tbl>
    <w:p>
      <w:pPr>
        <w:spacing w:after="100"/>
      </w:pPr>
    </w:p>
    <w:p>
      <w:pPr>
        <w:spacing w:after="160" w:line="276"/>
      </w:pPr>
      <w:r>
        <w:rPr>
          <w:rFonts w:ascii="Arial" w:cs="Arial" w:eastAsia="Arial" w:hAnsi="Arial"/>
          <w:b/>
          <w:bCs/>
          <w:color w:val="C0392B"/>
          <w:sz w:val="21"/>
          <w:szCs w:val="21"/>
        </w:rPr>
        <w:t xml:space="preserve">Note: </w:t>
      </w:r>
      <w:r>
        <w:rPr>
          <w:rFonts w:ascii="Arial" w:cs="Arial" w:eastAsia="Arial" w:hAnsi="Arial"/>
          <w:color w:val="4A5568"/>
          <w:sz w:val="21"/>
          <w:szCs w:val="21"/>
        </w:rPr>
        <w:t xml:space="preserve">These are conservative estimates based on published benchmarks for California healthcare employers. Actual savings vary. We offer a 90-day value validation period (see Section 11) to verify impact against Client’s baseline.</w:t>
      </w:r>
    </w:p>
    <w:p>
      <w:r>
        <w:br w:type="page"/>
      </w:r>
    </w:p>
    <w:p>
      <w:pPr>
        <w:pBdr>
          <w:bottom w:val="single" w:color="0D7377" w:sz="6" w:space="4"/>
        </w:pBdr>
        <w:spacing w:after="120" w:before="360"/>
      </w:pPr>
      <w:r>
        <w:rPr>
          <w:rFonts w:ascii="Arial" w:cs="Arial" w:eastAsia="Arial" w:hAnsi="Arial"/>
          <w:b/>
          <w:bCs/>
          <w:color w:val="1B2A4A"/>
          <w:sz w:val="28"/>
          <w:szCs w:val="28"/>
        </w:rPr>
        <w:t xml:space="preserve">9. Key Commercial Terms</w:t>
      </w:r>
    </w:p>
    <w:p>
      <w:pPr>
        <w:spacing w:after="100" w:before="240"/>
      </w:pPr>
      <w:r>
        <w:rPr>
          <w:rFonts w:ascii="Arial" w:cs="Arial" w:eastAsia="Arial" w:hAnsi="Arial"/>
          <w:b/>
          <w:bCs/>
          <w:color w:val="0D7377"/>
          <w:sz w:val="24"/>
          <w:szCs w:val="24"/>
        </w:rPr>
        <w:t xml:space="preserve">9.1 Contract Term &amp; Renewal</w:t>
      </w:r>
    </w:p>
    <w:p>
      <w:pPr>
        <w:pStyle w:val="ListParagraph"/>
        <w:numPr>
          <w:ilvl w:val="0"/>
          <w:numId w:val="2"/>
        </w:numPr>
        <w:spacing w:after="80" w:line="276"/>
      </w:pPr>
      <w:r>
        <w:rPr>
          <w:rFonts w:ascii="Arial" w:cs="Arial" w:eastAsia="Arial" w:hAnsi="Arial"/>
          <w:color w:val="4A5568"/>
          <w:sz w:val="21"/>
          <w:szCs w:val="21"/>
        </w:rPr>
        <w:t xml:space="preserve">Initial Term: 36 months from Go-Live date.</w:t>
      </w:r>
    </w:p>
    <w:p>
      <w:pPr>
        <w:pStyle w:val="ListParagraph"/>
        <w:numPr>
          <w:ilvl w:val="0"/>
          <w:numId w:val="2"/>
        </w:numPr>
        <w:spacing w:after="80" w:line="276"/>
      </w:pPr>
      <w:r>
        <w:rPr>
          <w:rFonts w:ascii="Arial" w:cs="Arial" w:eastAsia="Arial" w:hAnsi="Arial"/>
          <w:color w:val="4A5568"/>
          <w:sz w:val="21"/>
          <w:szCs w:val="21"/>
        </w:rPr>
        <w:t xml:space="preserve">Auto-Renewal: Successive 12-month periods unless either party provides 90 days’ written notice of non-renewal.</w:t>
      </w:r>
    </w:p>
    <w:p>
      <w:pPr>
        <w:pStyle w:val="ListParagraph"/>
        <w:numPr>
          <w:ilvl w:val="0"/>
          <w:numId w:val="2"/>
        </w:numPr>
        <w:spacing w:after="80" w:line="276"/>
      </w:pPr>
      <w:r>
        <w:rPr>
          <w:rFonts w:ascii="Arial" w:cs="Arial" w:eastAsia="Arial" w:hAnsi="Arial"/>
          <w:color w:val="4A5568"/>
          <w:sz w:val="21"/>
          <w:szCs w:val="21"/>
        </w:rPr>
        <w:t xml:space="preserve">Annual Escalator: PEPM rates increase by the lesser of 4% or CPI-U (Los Angeles MSA) on each anniversary.</w:t>
      </w:r>
    </w:p>
    <w:p>
      <w:pPr>
        <w:spacing w:after="100" w:before="240"/>
      </w:pPr>
      <w:r>
        <w:rPr>
          <w:rFonts w:ascii="Arial" w:cs="Arial" w:eastAsia="Arial" w:hAnsi="Arial"/>
          <w:b/>
          <w:bCs/>
          <w:color w:val="0D7377"/>
          <w:sz w:val="24"/>
          <w:szCs w:val="24"/>
        </w:rPr>
        <w:t xml:space="preserve">9.2 Payment Terms</w:t>
      </w:r>
    </w:p>
    <w:p>
      <w:pPr>
        <w:pStyle w:val="ListParagraph"/>
        <w:numPr>
          <w:ilvl w:val="0"/>
          <w:numId w:val="2"/>
        </w:numPr>
        <w:spacing w:after="80" w:line="276"/>
      </w:pPr>
      <w:r>
        <w:rPr>
          <w:rFonts w:ascii="Arial" w:cs="Arial" w:eastAsia="Arial" w:hAnsi="Arial"/>
          <w:color w:val="4A5568"/>
          <w:sz w:val="21"/>
          <w:szCs w:val="21"/>
        </w:rPr>
        <w:t xml:space="preserve">Platform Fees: Invoiced monthly in arrears based on active employee count on the 1st of each month.</w:t>
      </w:r>
    </w:p>
    <w:p>
      <w:pPr>
        <w:pStyle w:val="ListParagraph"/>
        <w:numPr>
          <w:ilvl w:val="0"/>
          <w:numId w:val="2"/>
        </w:numPr>
        <w:spacing w:after="80" w:line="276"/>
      </w:pPr>
      <w:r>
        <w:rPr>
          <w:rFonts w:ascii="Arial" w:cs="Arial" w:eastAsia="Arial" w:hAnsi="Arial"/>
          <w:color w:val="4A5568"/>
          <w:sz w:val="21"/>
          <w:szCs w:val="21"/>
        </w:rPr>
        <w:t xml:space="preserve">Implementation Fees: Invoiced per milestone schedule (Section 4).</w:t>
      </w:r>
    </w:p>
    <w:p>
      <w:pPr>
        <w:pStyle w:val="ListParagraph"/>
        <w:numPr>
          <w:ilvl w:val="0"/>
          <w:numId w:val="2"/>
        </w:numPr>
        <w:spacing w:after="80" w:line="276"/>
      </w:pPr>
      <w:r>
        <w:rPr>
          <w:rFonts w:ascii="Arial" w:cs="Arial" w:eastAsia="Arial" w:hAnsi="Arial"/>
          <w:color w:val="4A5568"/>
          <w:sz w:val="21"/>
          <w:szCs w:val="21"/>
        </w:rPr>
        <w:t xml:space="preserve">Net-30 payment terms. Late payments accrue interest at 1.5%/month.</w:t>
      </w:r>
    </w:p>
    <w:p>
      <w:pPr>
        <w:pStyle w:val="ListParagraph"/>
        <w:numPr>
          <w:ilvl w:val="0"/>
          <w:numId w:val="2"/>
        </w:numPr>
        <w:spacing w:after="80" w:line="276"/>
      </w:pPr>
      <w:r>
        <w:rPr>
          <w:rFonts w:ascii="Arial" w:cs="Arial" w:eastAsia="Arial" w:hAnsi="Arial"/>
          <w:color w:val="4A5568"/>
          <w:sz w:val="21"/>
          <w:szCs w:val="21"/>
        </w:rPr>
        <w:t xml:space="preserve">Employee count reconciliation performed quarterly; true-ups applied to the next invoice cycle.</w:t>
      </w:r>
    </w:p>
    <w:p>
      <w:pPr>
        <w:spacing w:after="100" w:before="240"/>
      </w:pPr>
      <w:r>
        <w:rPr>
          <w:rFonts w:ascii="Arial" w:cs="Arial" w:eastAsia="Arial" w:hAnsi="Arial"/>
          <w:b/>
          <w:bCs/>
          <w:color w:val="0D7377"/>
          <w:sz w:val="24"/>
          <w:szCs w:val="24"/>
        </w:rPr>
        <w:t xml:space="preserve">9.3 Service Level Agreement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2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Commitment</w:t>
            </w:r>
          </w:p>
        </w:tc>
        <w:tc>
          <w:tcPr>
            <w:tcW w:type="dxa" w:w="236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Credit</w:t>
            </w:r>
          </w:p>
        </w:tc>
      </w:tr>
      <w:tr>
        <w:tc>
          <w:tcPr>
            <w:tcW w:type="dxa" w:w="2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Platform Uptime</w:t>
            </w:r>
          </w:p>
        </w:tc>
        <w:tc>
          <w:tcPr>
            <w:tcW w:type="dxa" w:w="42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99.9% monthly (excl. scheduled maintenance)</w:t>
            </w:r>
          </w:p>
        </w:tc>
        <w:tc>
          <w:tcPr>
            <w:tcW w:type="dxa" w:w="23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5% PEPM credit per 0.1% below threshold</w:t>
            </w:r>
          </w:p>
        </w:tc>
      </w:tr>
      <w:tr>
        <w:tc>
          <w:tcPr>
            <w:tcW w:type="dxa" w:w="28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Incident Response (P1)</w:t>
            </w:r>
          </w:p>
        </w:tc>
        <w:tc>
          <w:tcPr>
            <w:tcW w:type="dxa" w:w="42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&lt; 30 minutes</w:t>
            </w:r>
          </w:p>
        </w:tc>
        <w:tc>
          <w:tcPr>
            <w:tcW w:type="dxa" w:w="23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Additional 2% credit if breached</w:t>
            </w:r>
          </w:p>
        </w:tc>
      </w:tr>
      <w:tr>
        <w:tc>
          <w:tcPr>
            <w:tcW w:type="dxa" w:w="2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Incident Response (P2)</w:t>
            </w:r>
          </w:p>
        </w:tc>
        <w:tc>
          <w:tcPr>
            <w:tcW w:type="dxa" w:w="42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&lt; 2 hours</w:t>
            </w:r>
          </w:p>
        </w:tc>
        <w:tc>
          <w:tcPr>
            <w:tcW w:type="dxa" w:w="23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N/A</w:t>
            </w:r>
          </w:p>
        </w:tc>
      </w:tr>
      <w:tr>
        <w:tc>
          <w:tcPr>
            <w:tcW w:type="dxa" w:w="28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Data Backup &amp; Recovery</w:t>
            </w:r>
          </w:p>
        </w:tc>
        <w:tc>
          <w:tcPr>
            <w:tcW w:type="dxa" w:w="42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Daily backups, 4-hr RPO, 8-hr RTO</w:t>
            </w:r>
          </w:p>
        </w:tc>
        <w:tc>
          <w:tcPr>
            <w:tcW w:type="dxa" w:w="23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N/A</w:t>
            </w:r>
          </w:p>
        </w:tc>
      </w:tr>
      <w:tr>
        <w:tc>
          <w:tcPr>
            <w:tcW w:type="dxa" w:w="2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Scheduled Maintenance</w:t>
            </w:r>
          </w:p>
        </w:tc>
        <w:tc>
          <w:tcPr>
            <w:tcW w:type="dxa" w:w="42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&lt; 4 hrs/month, weekends, 72-hr notice</w:t>
            </w:r>
          </w:p>
        </w:tc>
        <w:tc>
          <w:tcPr>
            <w:tcW w:type="dxa" w:w="23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N/A</w:t>
            </w:r>
          </w:p>
        </w:tc>
      </w:tr>
    </w:tbl>
    <w:p>
      <w:pPr>
        <w:spacing w:after="100" w:before="240"/>
      </w:pPr>
      <w:r>
        <w:rPr>
          <w:rFonts w:ascii="Arial" w:cs="Arial" w:eastAsia="Arial" w:hAnsi="Arial"/>
          <w:b/>
          <w:bCs/>
          <w:color w:val="0D7377"/>
          <w:sz w:val="24"/>
          <w:szCs w:val="24"/>
        </w:rPr>
        <w:t xml:space="preserve">9.4 Data Security &amp; Compliance</w:t>
      </w:r>
    </w:p>
    <w:p>
      <w:pPr>
        <w:pStyle w:val="ListParagraph"/>
        <w:numPr>
          <w:ilvl w:val="0"/>
          <w:numId w:val="2"/>
        </w:numPr>
        <w:spacing w:after="80" w:line="276"/>
      </w:pPr>
      <w:r>
        <w:rPr>
          <w:rFonts w:ascii="Arial" w:cs="Arial" w:eastAsia="Arial" w:hAnsi="Arial"/>
          <w:color w:val="4A5568"/>
          <w:sz w:val="21"/>
          <w:szCs w:val="21"/>
        </w:rPr>
        <w:t xml:space="preserve">SOC 2 Type II certified; annual audit report provided to Client.</w:t>
      </w:r>
    </w:p>
    <w:p>
      <w:pPr>
        <w:pStyle w:val="ListParagraph"/>
        <w:numPr>
          <w:ilvl w:val="0"/>
          <w:numId w:val="2"/>
        </w:numPr>
        <w:spacing w:after="80" w:line="276"/>
      </w:pPr>
      <w:r>
        <w:rPr>
          <w:rFonts w:ascii="Arial" w:cs="Arial" w:eastAsia="Arial" w:hAnsi="Arial"/>
          <w:color w:val="4A5568"/>
          <w:sz w:val="21"/>
          <w:szCs w:val="21"/>
        </w:rPr>
        <w:t xml:space="preserve">HIPAA Business Associate Agreement (BAA) executed as a condition of contract.</w:t>
      </w:r>
    </w:p>
    <w:p>
      <w:pPr>
        <w:pStyle w:val="ListParagraph"/>
        <w:numPr>
          <w:ilvl w:val="0"/>
          <w:numId w:val="2"/>
        </w:numPr>
        <w:spacing w:after="80" w:line="276"/>
      </w:pPr>
      <w:r>
        <w:rPr>
          <w:rFonts w:ascii="Arial" w:cs="Arial" w:eastAsia="Arial" w:hAnsi="Arial"/>
          <w:color w:val="4A5568"/>
          <w:sz w:val="21"/>
          <w:szCs w:val="21"/>
        </w:rPr>
        <w:t xml:space="preserve">Data encrypted at rest (AES-256) and in transit (TLS 1.3).</w:t>
      </w:r>
    </w:p>
    <w:p>
      <w:pPr>
        <w:pStyle w:val="ListParagraph"/>
        <w:numPr>
          <w:ilvl w:val="0"/>
          <w:numId w:val="2"/>
        </w:numPr>
        <w:spacing w:after="80" w:line="276"/>
      </w:pPr>
      <w:r>
        <w:rPr>
          <w:rFonts w:ascii="Arial" w:cs="Arial" w:eastAsia="Arial" w:hAnsi="Arial"/>
          <w:color w:val="4A5568"/>
          <w:sz w:val="21"/>
          <w:szCs w:val="21"/>
        </w:rPr>
        <w:t xml:space="preserve">All Client data stored in US-based data centers (AWS us-west-2 or equivalent).</w:t>
      </w:r>
    </w:p>
    <w:p>
      <w:pPr>
        <w:pStyle w:val="ListParagraph"/>
        <w:numPr>
          <w:ilvl w:val="0"/>
          <w:numId w:val="2"/>
        </w:numPr>
        <w:spacing w:after="80" w:line="276"/>
      </w:pPr>
      <w:r>
        <w:rPr>
          <w:rFonts w:ascii="Arial" w:cs="Arial" w:eastAsia="Arial" w:hAnsi="Arial"/>
          <w:color w:val="4A5568"/>
          <w:sz w:val="21"/>
          <w:szCs w:val="21"/>
        </w:rPr>
        <w:t xml:space="preserve">Client retains full ownership of all data. Upon termination, data export provided in standard formats within 30 days.</w:t>
      </w:r>
    </w:p>
    <w:p>
      <w:pPr>
        <w:pStyle w:val="ListParagraph"/>
        <w:numPr>
          <w:ilvl w:val="0"/>
          <w:numId w:val="2"/>
        </w:numPr>
        <w:spacing w:after="80" w:line="276"/>
      </w:pPr>
      <w:r>
        <w:rPr>
          <w:rFonts w:ascii="Arial" w:cs="Arial" w:eastAsia="Arial" w:hAnsi="Arial"/>
          <w:color w:val="4A5568"/>
          <w:sz w:val="21"/>
          <w:szCs w:val="21"/>
        </w:rPr>
        <w:t xml:space="preserve">Annual third-party penetration testing; results shared with Client upon request.</w:t>
      </w:r>
    </w:p>
    <w:p>
      <w:pPr>
        <w:spacing w:after="100" w:before="240"/>
      </w:pPr>
      <w:r>
        <w:rPr>
          <w:rFonts w:ascii="Arial" w:cs="Arial" w:eastAsia="Arial" w:hAnsi="Arial"/>
          <w:b/>
          <w:bCs/>
          <w:color w:val="0D7377"/>
          <w:sz w:val="24"/>
          <w:szCs w:val="24"/>
        </w:rPr>
        <w:t xml:space="preserve">9.5 Termination &amp; Exit</w:t>
      </w:r>
    </w:p>
    <w:p>
      <w:pPr>
        <w:pStyle w:val="ListParagraph"/>
        <w:numPr>
          <w:ilvl w:val="0"/>
          <w:numId w:val="2"/>
        </w:numPr>
        <w:spacing w:after="80" w:line="276"/>
      </w:pPr>
      <w:r>
        <w:rPr>
          <w:rFonts w:ascii="Arial" w:cs="Arial" w:eastAsia="Arial" w:hAnsi="Arial"/>
          <w:color w:val="4A5568"/>
          <w:sz w:val="21"/>
          <w:szCs w:val="21"/>
        </w:rPr>
        <w:t xml:space="preserve">Termination for Cause: Either party may terminate with 30 days’ written notice for material breach that remains uncured.</w:t>
      </w:r>
    </w:p>
    <w:p>
      <w:pPr>
        <w:pStyle w:val="ListParagraph"/>
        <w:numPr>
          <w:ilvl w:val="0"/>
          <w:numId w:val="2"/>
        </w:numPr>
        <w:spacing w:after="80" w:line="276"/>
      </w:pPr>
      <w:r>
        <w:rPr>
          <w:rFonts w:ascii="Arial" w:cs="Arial" w:eastAsia="Arial" w:hAnsi="Arial"/>
          <w:color w:val="4A5568"/>
          <w:sz w:val="21"/>
          <w:szCs w:val="21"/>
        </w:rPr>
        <w:t xml:space="preserve">Termination for Convenience: Client may terminate after Month 18 with 6 months’ written notice and payment of an early termination fee equal to 25% of remaining contract value.</w:t>
      </w:r>
    </w:p>
    <w:p>
      <w:pPr>
        <w:pStyle w:val="ListParagraph"/>
        <w:numPr>
          <w:ilvl w:val="0"/>
          <w:numId w:val="2"/>
        </w:numPr>
        <w:spacing w:after="80" w:line="276"/>
      </w:pPr>
      <w:r>
        <w:rPr>
          <w:rFonts w:ascii="Arial" w:cs="Arial" w:eastAsia="Arial" w:hAnsi="Arial"/>
          <w:color w:val="4A5568"/>
          <w:sz w:val="21"/>
          <w:szCs w:val="21"/>
        </w:rPr>
        <w:t xml:space="preserve">Data Portability: Full data export in CSV/JSON within 30 days of termination. Platform access maintained for 60 days post-termination for transition purposes.</w:t>
      </w:r>
    </w:p>
    <w:p>
      <w:pPr>
        <w:pStyle w:val="ListParagraph"/>
        <w:numPr>
          <w:ilvl w:val="0"/>
          <w:numId w:val="2"/>
        </w:numPr>
        <w:spacing w:after="80" w:line="276"/>
      </w:pPr>
      <w:r>
        <w:rPr>
          <w:rFonts w:ascii="Arial" w:cs="Arial" w:eastAsia="Arial" w:hAnsi="Arial"/>
          <w:color w:val="4A5568"/>
          <w:sz w:val="21"/>
          <w:szCs w:val="21"/>
        </w:rPr>
        <w:t xml:space="preserve">No data destruction until Client provides written confirmation.</w:t>
      </w:r>
    </w:p>
    <w:p>
      <w:r>
        <w:br w:type="page"/>
      </w:r>
    </w:p>
    <w:p>
      <w:pPr>
        <w:pBdr>
          <w:bottom w:val="single" w:color="0D7377" w:sz="6" w:space="4"/>
        </w:pBdr>
        <w:spacing w:after="120" w:before="360"/>
      </w:pPr>
      <w:r>
        <w:rPr>
          <w:rFonts w:ascii="Arial" w:cs="Arial" w:eastAsia="Arial" w:hAnsi="Arial"/>
          <w:b/>
          <w:bCs/>
          <w:color w:val="1B2A4A"/>
          <w:sz w:val="28"/>
          <w:szCs w:val="28"/>
        </w:rPr>
        <w:t xml:space="preserve">10. Insurance, Liability &amp; Indemnification</w:t>
      </w:r>
    </w:p>
    <w:p>
      <w:pPr>
        <w:spacing w:after="100" w:before="240"/>
      </w:pPr>
      <w:r>
        <w:rPr>
          <w:rFonts w:ascii="Arial" w:cs="Arial" w:eastAsia="Arial" w:hAnsi="Arial"/>
          <w:b/>
          <w:bCs/>
          <w:color w:val="0D7377"/>
          <w:sz w:val="24"/>
          <w:szCs w:val="24"/>
        </w:rPr>
        <w:t xml:space="preserve">10.1 Vendor Insurance Requirements</w:t>
      </w:r>
    </w:p>
    <w:p>
      <w:pPr>
        <w:pStyle w:val="ListParagraph"/>
        <w:numPr>
          <w:ilvl w:val="0"/>
          <w:numId w:val="2"/>
        </w:numPr>
        <w:spacing w:after="80" w:line="276"/>
      </w:pPr>
      <w:r>
        <w:rPr>
          <w:rFonts w:ascii="Arial" w:cs="Arial" w:eastAsia="Arial" w:hAnsi="Arial"/>
          <w:color w:val="4A5568"/>
          <w:sz w:val="21"/>
          <w:szCs w:val="21"/>
        </w:rPr>
        <w:t xml:space="preserve">Commercial General Liability: $2M per occurrence / $4M aggregate</w:t>
      </w:r>
    </w:p>
    <w:p>
      <w:pPr>
        <w:pStyle w:val="ListParagraph"/>
        <w:numPr>
          <w:ilvl w:val="0"/>
          <w:numId w:val="2"/>
        </w:numPr>
        <w:spacing w:after="80" w:line="276"/>
      </w:pPr>
      <w:r>
        <w:rPr>
          <w:rFonts w:ascii="Arial" w:cs="Arial" w:eastAsia="Arial" w:hAnsi="Arial"/>
          <w:color w:val="4A5568"/>
          <w:sz w:val="21"/>
          <w:szCs w:val="21"/>
        </w:rPr>
        <w:t xml:space="preserve">Professional Liability (E&amp;O): $5M per claim / $10M aggregate</w:t>
      </w:r>
    </w:p>
    <w:p>
      <w:pPr>
        <w:pStyle w:val="ListParagraph"/>
        <w:numPr>
          <w:ilvl w:val="0"/>
          <w:numId w:val="2"/>
        </w:numPr>
        <w:spacing w:after="80" w:line="276"/>
      </w:pPr>
      <w:r>
        <w:rPr>
          <w:rFonts w:ascii="Arial" w:cs="Arial" w:eastAsia="Arial" w:hAnsi="Arial"/>
          <w:color w:val="4A5568"/>
          <w:sz w:val="21"/>
          <w:szCs w:val="21"/>
        </w:rPr>
        <w:t xml:space="preserve">Cyber Liability: $5M per claim (including regulatory defense and breach notification costs)</w:t>
      </w:r>
    </w:p>
    <w:p>
      <w:pPr>
        <w:pStyle w:val="ListParagraph"/>
        <w:numPr>
          <w:ilvl w:val="0"/>
          <w:numId w:val="2"/>
        </w:numPr>
        <w:spacing w:after="80" w:line="276"/>
      </w:pPr>
      <w:r>
        <w:rPr>
          <w:rFonts w:ascii="Arial" w:cs="Arial" w:eastAsia="Arial" w:hAnsi="Arial"/>
          <w:color w:val="4A5568"/>
          <w:sz w:val="21"/>
          <w:szCs w:val="21"/>
        </w:rPr>
        <w:t xml:space="preserve">Workers’ Compensation: Statutory limits</w:t>
      </w:r>
    </w:p>
    <w:p>
      <w:pPr>
        <w:spacing w:after="100" w:before="240"/>
      </w:pPr>
      <w:r>
        <w:rPr>
          <w:rFonts w:ascii="Arial" w:cs="Arial" w:eastAsia="Arial" w:hAnsi="Arial"/>
          <w:b/>
          <w:bCs/>
          <w:color w:val="0D7377"/>
          <w:sz w:val="24"/>
          <w:szCs w:val="24"/>
        </w:rPr>
        <w:t xml:space="preserve">10.2 Limitation of Liability</w:t>
      </w:r>
    </w:p>
    <w:p>
      <w:pPr>
        <w:spacing w:after="160" w:before="0" w:line="276"/>
      </w:pPr>
      <w:r>
        <w:rPr>
          <w:rFonts w:ascii="Arial" w:cs="Arial" w:eastAsia="Arial" w:hAnsi="Arial"/>
          <w:color w:val="4A5568"/>
          <w:sz w:val="21"/>
          <w:szCs w:val="21"/>
        </w:rPr>
        <w:t xml:space="preserve">Vendor’s total aggregate liability under the agreement shall not exceed 2x the total fees paid by Client in the 12-month period preceding the claim, except for breaches of confidentiality, data security obligations, or indemnification obligations, which are capped at 3x annual fees.</w:t>
      </w:r>
    </w:p>
    <w:p>
      <w:pPr>
        <w:spacing w:after="100" w:before="240"/>
      </w:pPr>
      <w:r>
        <w:rPr>
          <w:rFonts w:ascii="Arial" w:cs="Arial" w:eastAsia="Arial" w:hAnsi="Arial"/>
          <w:b/>
          <w:bCs/>
          <w:color w:val="0D7377"/>
          <w:sz w:val="24"/>
          <w:szCs w:val="24"/>
        </w:rPr>
        <w:t xml:space="preserve">10.3 Indemnification</w:t>
      </w:r>
    </w:p>
    <w:p>
      <w:pPr>
        <w:spacing w:after="160" w:before="0" w:line="276"/>
      </w:pPr>
      <w:r>
        <w:rPr>
          <w:rFonts w:ascii="Arial" w:cs="Arial" w:eastAsia="Arial" w:hAnsi="Arial"/>
          <w:color w:val="4A5568"/>
          <w:sz w:val="21"/>
          <w:szCs w:val="21"/>
        </w:rPr>
        <w:t xml:space="preserve">Vendor shall indemnify, defend, and hold harmless Client from any third-party claims arising from (a) Vendor’s breach of the BAA or data security obligations, (b) infringement of intellectual property rights, or (c) Vendor’s gross negligence or willful misconduct. Client shall indemnify Vendor from claims arising from Client’s misuse of the platform or provision of inaccurate data.</w:t>
      </w:r>
    </w:p>
    <w:p>
      <w:pPr>
        <w:spacing w:after="100" w:before="240"/>
      </w:pPr>
      <w:r>
        <w:rPr>
          <w:rFonts w:ascii="Arial" w:cs="Arial" w:eastAsia="Arial" w:hAnsi="Arial"/>
          <w:b/>
          <w:bCs/>
          <w:color w:val="0D7377"/>
          <w:sz w:val="24"/>
          <w:szCs w:val="24"/>
        </w:rPr>
        <w:t xml:space="preserve">10.4 Disclaimer</w:t>
      </w:r>
    </w:p>
    <w:p>
      <w:pPr>
        <w:spacing w:after="160" w:line="276"/>
      </w:pPr>
      <w:r>
        <w:rPr>
          <w:rFonts w:ascii="Arial" w:cs="Arial" w:eastAsia="Arial" w:hAnsi="Arial"/>
          <w:b/>
          <w:bCs/>
          <w:color w:val="C0392B"/>
          <w:sz w:val="19"/>
          <w:szCs w:val="19"/>
        </w:rPr>
        <w:t xml:space="preserve">THE PLATFORM PROVIDES DECISION-SUPPORT TOOLS AND RISK ANALYTICS. IT DOES NOT CONSTITUTE LEGAL ADVICE. </w:t>
      </w:r>
      <w:r>
        <w:rPr>
          <w:rFonts w:ascii="Arial" w:cs="Arial" w:eastAsia="Arial" w:hAnsi="Arial"/>
          <w:color w:val="4A5568"/>
          <w:sz w:val="19"/>
          <w:szCs w:val="19"/>
        </w:rPr>
        <w:t xml:space="preserve">All hiring, termination, and employee relations decisions remain the sole responsibility of the Client. The Vendor is not liable for employment decisions made using the platform’s outputs. Client should continue to engage qualified employment counsel for legal matters.</w:t>
      </w:r>
    </w:p>
    <w:p>
      <w:r>
        <w:br w:type="page"/>
      </w:r>
    </w:p>
    <w:p>
      <w:pPr>
        <w:pBdr>
          <w:bottom w:val="single" w:color="0D7377" w:sz="6" w:space="4"/>
        </w:pBdr>
        <w:spacing w:after="120" w:before="360"/>
      </w:pPr>
      <w:r>
        <w:rPr>
          <w:rFonts w:ascii="Arial" w:cs="Arial" w:eastAsia="Arial" w:hAnsi="Arial"/>
          <w:b/>
          <w:bCs/>
          <w:color w:val="1B2A4A"/>
          <w:sz w:val="28"/>
          <w:szCs w:val="28"/>
        </w:rPr>
        <w:t xml:space="preserve">11. Engagement Model &amp; Governance</w:t>
      </w:r>
    </w:p>
    <w:p>
      <w:pPr>
        <w:spacing w:after="100" w:before="240"/>
      </w:pPr>
      <w:r>
        <w:rPr>
          <w:rFonts w:ascii="Arial" w:cs="Arial" w:eastAsia="Arial" w:hAnsi="Arial"/>
          <w:b/>
          <w:bCs/>
          <w:color w:val="0D7377"/>
          <w:sz w:val="24"/>
          <w:szCs w:val="24"/>
        </w:rPr>
        <w:t xml:space="preserve">11.1 Dedicated Customer Success</w:t>
      </w:r>
    </w:p>
    <w:p>
      <w:pPr>
        <w:pStyle w:val="ListParagraph"/>
        <w:numPr>
          <w:ilvl w:val="0"/>
          <w:numId w:val="2"/>
        </w:numPr>
        <w:spacing w:after="80" w:line="276"/>
      </w:pPr>
      <w:r>
        <w:rPr>
          <w:rFonts w:ascii="Arial" w:cs="Arial" w:eastAsia="Arial" w:hAnsi="Arial"/>
          <w:color w:val="4A5568"/>
          <w:sz w:val="21"/>
          <w:szCs w:val="21"/>
        </w:rPr>
        <w:t xml:space="preserve">Named Customer Success Manager (CSM) assigned at contract signing.</w:t>
      </w:r>
    </w:p>
    <w:p>
      <w:pPr>
        <w:pStyle w:val="ListParagraph"/>
        <w:numPr>
          <w:ilvl w:val="0"/>
          <w:numId w:val="2"/>
        </w:numPr>
        <w:spacing w:after="80" w:line="276"/>
      </w:pPr>
      <w:r>
        <w:rPr>
          <w:rFonts w:ascii="Arial" w:cs="Arial" w:eastAsia="Arial" w:hAnsi="Arial"/>
          <w:color w:val="4A5568"/>
          <w:sz w:val="21"/>
          <w:szCs w:val="21"/>
        </w:rPr>
        <w:t xml:space="preserve">Bi-weekly check-ins during implementation; monthly thereafter.</w:t>
      </w:r>
    </w:p>
    <w:p>
      <w:pPr>
        <w:pStyle w:val="ListParagraph"/>
        <w:numPr>
          <w:ilvl w:val="0"/>
          <w:numId w:val="2"/>
        </w:numPr>
        <w:spacing w:after="80" w:line="276"/>
      </w:pPr>
      <w:r>
        <w:rPr>
          <w:rFonts w:ascii="Arial" w:cs="Arial" w:eastAsia="Arial" w:hAnsi="Arial"/>
          <w:color w:val="4A5568"/>
          <w:sz w:val="21"/>
          <w:szCs w:val="21"/>
        </w:rPr>
        <w:t xml:space="preserve">Quarterly Business Reviews (QBRs) with Client’s HR leadership and Vendor’s VP of Customer Success.</w:t>
      </w:r>
    </w:p>
    <w:p>
      <w:pPr>
        <w:spacing w:after="100" w:before="240"/>
      </w:pPr>
      <w:r>
        <w:rPr>
          <w:rFonts w:ascii="Arial" w:cs="Arial" w:eastAsia="Arial" w:hAnsi="Arial"/>
          <w:b/>
          <w:bCs/>
          <w:color w:val="0D7377"/>
          <w:sz w:val="24"/>
          <w:szCs w:val="24"/>
        </w:rPr>
        <w:t xml:space="preserve">11.2 90-Day Value Validation</w:t>
      </w:r>
    </w:p>
    <w:p>
      <w:pPr>
        <w:spacing w:after="160" w:before="0" w:line="276"/>
      </w:pPr>
      <w:r>
        <w:rPr>
          <w:rFonts w:ascii="Arial" w:cs="Arial" w:eastAsia="Arial" w:hAnsi="Arial"/>
          <w:color w:val="4A5568"/>
          <w:sz w:val="21"/>
          <w:szCs w:val="21"/>
        </w:rPr>
        <w:t xml:space="preserve">Within 90 days of Go-Live, Vendor and Client will jointly assess platform performance against agreed-upon baseline metrics (e.g., time-to-resolution for ER cases, compliance gap closure rate, outside counsel spend reduction). If the platform fails to demonstrate measurable progress toward agreed KPIs, Client may invoke a remediation plan or, if unresolved within 60 additional days, terminate without early termination fees.</w:t>
      </w:r>
    </w:p>
    <w:p>
      <w:pPr>
        <w:spacing w:after="100" w:before="240"/>
      </w:pPr>
      <w:r>
        <w:rPr>
          <w:rFonts w:ascii="Arial" w:cs="Arial" w:eastAsia="Arial" w:hAnsi="Arial"/>
          <w:b/>
          <w:bCs/>
          <w:color w:val="0D7377"/>
          <w:sz w:val="24"/>
          <w:szCs w:val="24"/>
        </w:rPr>
        <w:t xml:space="preserve">11.3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rPr>
          <w:tblHeader/>
        </w:trPr>
        <w:tc>
          <w:tcPr>
            <w:tcW w:type="dxa" w:w="8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32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 Type</w:t>
            </w:r>
          </w:p>
        </w:tc>
        <w:tc>
          <w:tcPr>
            <w:tcW w:type="dxa" w:w="28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Contact</w:t>
            </w:r>
          </w:p>
        </w:tc>
        <w:tc>
          <w:tcPr>
            <w:tcW w:type="dxa" w:w="256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Time</w:t>
            </w:r>
          </w:p>
        </w:tc>
      </w:tr>
      <w:tr>
        <w:tc>
          <w:tcPr>
            <w:tcW w:type="dxa" w:w="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L1</w:t>
            </w:r>
          </w:p>
        </w:tc>
        <w:tc>
          <w:tcPr>
            <w:tcW w:type="dxa" w:w="32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Technical support, general questions</w:t>
            </w:r>
          </w:p>
        </w:tc>
        <w:tc>
          <w:tcPr>
            <w:tcW w:type="dxa" w:w="2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Support team / CSM</w:t>
            </w:r>
          </w:p>
        </w:tc>
        <w:tc>
          <w:tcPr>
            <w:tcW w:type="dxa" w:w="25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&lt; 4 business hours</w:t>
            </w:r>
          </w:p>
        </w:tc>
      </w:tr>
      <w:tr>
        <w:tc>
          <w:tcPr>
            <w:tcW w:type="dxa" w:w="8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L2</w:t>
            </w:r>
          </w:p>
        </w:tc>
        <w:tc>
          <w:tcPr>
            <w:tcW w:type="dxa" w:w="32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Config issues, integration errors</w:t>
            </w:r>
          </w:p>
        </w:tc>
        <w:tc>
          <w:tcPr>
            <w:tcW w:type="dxa" w:w="28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Senior CSM / Engineering</w:t>
            </w:r>
          </w:p>
        </w:tc>
        <w:tc>
          <w:tcPr>
            <w:tcW w:type="dxa" w:w="25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&lt; 8 business hours</w:t>
            </w:r>
          </w:p>
        </w:tc>
      </w:tr>
      <w:tr>
        <w:tc>
          <w:tcPr>
            <w:tcW w:type="dxa" w:w="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L3</w:t>
            </w:r>
          </w:p>
        </w:tc>
        <w:tc>
          <w:tcPr>
            <w:tcW w:type="dxa" w:w="32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SLA breach, data incident, contract dispute</w:t>
            </w:r>
          </w:p>
        </w:tc>
        <w:tc>
          <w:tcPr>
            <w:tcW w:type="dxa" w:w="28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VP Customer Success / GC</w:t>
            </w:r>
          </w:p>
        </w:tc>
        <w:tc>
          <w:tcPr>
            <w:tcW w:type="dxa" w:w="25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&lt; 2 business hours</w:t>
            </w:r>
          </w:p>
        </w:tc>
      </w:tr>
    </w:tbl>
    <w:p>
      <w:r>
        <w:br w:type="page"/>
      </w:r>
    </w:p>
    <w:p>
      <w:pPr>
        <w:pBdr>
          <w:bottom w:val="single" w:color="0D7377" w:sz="6" w:space="4"/>
        </w:pBdr>
        <w:spacing w:after="120" w:before="360"/>
      </w:pPr>
      <w:r>
        <w:rPr>
          <w:rFonts w:ascii="Arial" w:cs="Arial" w:eastAsia="Arial" w:hAnsi="Arial"/>
          <w:b/>
          <w:bCs/>
          <w:color w:val="1B2A4A"/>
          <w:sz w:val="28"/>
          <w:szCs w:val="28"/>
        </w:rPr>
        <w:t xml:space="preserve">12. Complete Fee Summary (Illustrative: 5,000 Employees,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W w:type="dxa" w:w="45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 Category</w:t>
            </w:r>
          </w:p>
        </w:tc>
        <w:tc>
          <w:tcPr>
            <w:tcW w:type="dxa" w:w="250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One-Time</w:t>
            </w:r>
          </w:p>
        </w:tc>
        <w:tc>
          <w:tcPr>
            <w:tcW w:type="dxa" w:w="2360"/>
            <w:tcBorders>
              <w:top w:val="single" w:color="E0E3E8" w:sz="1"/>
              <w:left w:val="single" w:color="E0E3E8" w:sz="1"/>
              <w:bottom w:val="single" w:color="E0E3E8" w:sz="1"/>
              <w:right w:val="single" w:color="E0E3E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Recurring (Annual)</w:t>
            </w:r>
          </w:p>
        </w:tc>
      </w:tr>
      <w:tr>
        <w:tc>
          <w:tcPr>
            <w:tcW w:type="dxa" w:w="4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Platform PEPM (5,000 x $11.50 x 12, less 10%)</w:t>
            </w:r>
          </w:p>
        </w:tc>
        <w:tc>
          <w:tcPr>
            <w:tcW w:type="dxa" w:w="2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c>
          <w:tcPr>
            <w:tcW w:type="dxa" w:w="23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$621,000</w:t>
            </w:r>
          </w:p>
        </w:tc>
      </w:tr>
      <w:tr>
        <w:tc>
          <w:tcPr>
            <w:tcW w:type="dxa" w:w="4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Implementation &amp; Onboarding</w:t>
            </w:r>
          </w:p>
        </w:tc>
        <w:tc>
          <w:tcPr>
            <w:tcW w:type="dxa" w:w="2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$110,000</w:t>
            </w:r>
          </w:p>
        </w:tc>
        <w:tc>
          <w:tcPr>
            <w:tcW w:type="dxa" w:w="23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4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Data Migration &amp; Integration (3 connectors)</w:t>
            </w:r>
          </w:p>
        </w:tc>
        <w:tc>
          <w:tcPr>
            <w:tcW w:type="dxa" w:w="2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$40,000</w:t>
            </w:r>
          </w:p>
        </w:tc>
        <w:tc>
          <w:tcPr>
            <w:tcW w:type="dxa" w:w="23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4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Legal Playbook Configuration</w:t>
            </w:r>
          </w:p>
        </w:tc>
        <w:tc>
          <w:tcPr>
            <w:tcW w:type="dxa" w:w="2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$25,000</w:t>
            </w:r>
          </w:p>
        </w:tc>
        <w:tc>
          <w:tcPr>
            <w:tcW w:type="dxa" w:w="23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$10,000 (annual refresh)</w:t>
            </w:r>
          </w:p>
        </w:tc>
      </w:tr>
      <w:tr>
        <w:tc>
          <w:tcPr>
            <w:tcW w:type="dxa" w:w="4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Training &amp; Change Management</w:t>
            </w:r>
          </w:p>
        </w:tc>
        <w:tc>
          <w:tcPr>
            <w:tcW w:type="dxa" w:w="2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$15,000</w:t>
            </w:r>
          </w:p>
        </w:tc>
        <w:tc>
          <w:tcPr>
            <w:tcW w:type="dxa" w:w="23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color w:val="4A5568"/>
                <w:sz w:val="20"/>
                <w:szCs w:val="20"/>
              </w:rPr>
              <w:t xml:space="preserve">—</w:t>
            </w:r>
          </w:p>
        </w:tc>
      </w:tr>
      <w:tr>
        <w:tc>
          <w:tcPr>
            <w:tcW w:type="dxa" w:w="4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Year 1 Total</w:t>
            </w:r>
          </w:p>
        </w:tc>
        <w:tc>
          <w:tcPr>
            <w:tcW w:type="dxa" w:w="250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$190,000</w:t>
            </w:r>
          </w:p>
        </w:tc>
        <w:tc>
          <w:tcPr>
            <w:tcW w:type="dxa" w:w="2360"/>
            <w:tcBorders>
              <w:top w:val="single" w:color="E0E3E8" w:sz="1"/>
              <w:left w:val="single" w:color="E0E3E8" w:sz="1"/>
              <w:bottom w:val="single" w:color="E0E3E8" w:sz="1"/>
              <w:right w:val="single" w:color="E0E3E8"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$631,000</w:t>
            </w:r>
          </w:p>
        </w:tc>
      </w:tr>
      <w:tr>
        <w:tc>
          <w:tcPr>
            <w:tcW w:type="dxa" w:w="4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b/>
                <w:bCs/>
                <w:color w:val="FFFFFF"/>
                <w:sz w:val="22"/>
                <w:szCs w:val="22"/>
              </w:rPr>
              <w:t xml:space="preserve">Year 1 All-In</w:t>
            </w:r>
          </w:p>
        </w:tc>
        <w:tc>
          <w:tcPr>
            <w:tcW w:type="dxa" w:w="250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2360"/>
            <w:tcBorders>
              <w:top w:val="single" w:color="E0E3E8" w:sz="1"/>
              <w:left w:val="single" w:color="E0E3E8" w:sz="1"/>
              <w:bottom w:val="single" w:color="E0E3E8" w:sz="1"/>
              <w:right w:val="single" w:color="E0E3E8" w:sz="1"/>
            </w:tcBorders>
            <w:shd w:fill="F5F6F8" w:val="clear"/>
            <w:tcMar>
              <w:top w:type="dxa" w:w="80"/>
              <w:left w:type="dxa" w:w="120"/>
              <w:bottom w:type="dxa" w:w="80"/>
              <w:right w:type="dxa" w:w="120"/>
            </w:tcMar>
            <w:vAlign w:val="center"/>
          </w:tcPr>
          <w:p>
            <w:r>
              <w:rPr>
                <w:rFonts w:ascii="Arial" w:cs="Arial" w:eastAsia="Arial" w:hAnsi="Arial"/>
                <w:b/>
                <w:bCs/>
                <w:color w:val="FFFFFF"/>
                <w:sz w:val="22"/>
                <w:szCs w:val="22"/>
              </w:rPr>
              <w:t xml:space="preserve">$821,000</w:t>
            </w:r>
          </w:p>
        </w:tc>
      </w:tr>
    </w:tbl>
    <w:p>
      <w:pPr>
        <w:spacing w:after="100"/>
      </w:pPr>
    </w:p>
    <w:p>
      <w:pPr>
        <w:spacing w:after="160" w:line="276"/>
      </w:pPr>
      <w:r>
        <w:rPr>
          <w:rFonts w:ascii="Arial" w:cs="Arial" w:eastAsia="Arial" w:hAnsi="Arial"/>
          <w:b/>
          <w:bCs/>
          <w:color w:val="1B2A4A"/>
          <w:sz w:val="21"/>
          <w:szCs w:val="21"/>
        </w:rPr>
        <w:t xml:space="preserve">Year 2+ Recurring: </w:t>
      </w:r>
      <w:r>
        <w:rPr>
          <w:rFonts w:ascii="Arial" w:cs="Arial" w:eastAsia="Arial" w:hAnsi="Arial"/>
          <w:color w:val="4A5568"/>
          <w:sz w:val="21"/>
          <w:szCs w:val="21"/>
        </w:rPr>
        <w:t xml:space="preserve">~$645,840 (reflecting 4% escalator cap on PEPM + playbook refresh). One-time fees do not recur.</w:t>
      </w:r>
    </w:p>
    <w:p>
      <w:r>
        <w:br w:type="page"/>
      </w:r>
    </w:p>
    <w:p>
      <w:pPr>
        <w:pBdr>
          <w:bottom w:val="single" w:color="0D7377" w:sz="6" w:space="4"/>
        </w:pBdr>
        <w:spacing w:after="120" w:before="360"/>
      </w:pPr>
      <w:r>
        <w:rPr>
          <w:rFonts w:ascii="Arial" w:cs="Arial" w:eastAsia="Arial" w:hAnsi="Arial"/>
          <w:b/>
          <w:bCs/>
          <w:color w:val="1B2A4A"/>
          <w:sz w:val="28"/>
          <w:szCs w:val="28"/>
        </w:rPr>
        <w:t xml:space="preserve">13. Proposed Next Steps</w:t>
      </w:r>
    </w:p>
    <w:p>
      <w:pPr>
        <w:pStyle w:val="ListParagraph"/>
        <w:numPr>
          <w:ilvl w:val="0"/>
          <w:numId w:val="3"/>
        </w:numPr>
        <w:spacing w:after="120" w:line="276"/>
      </w:pPr>
      <w:r>
        <w:rPr>
          <w:rFonts w:ascii="Arial" w:cs="Arial" w:eastAsia="Arial" w:hAnsi="Arial"/>
          <w:b/>
          <w:bCs/>
          <w:color w:val="1B2A4A"/>
          <w:sz w:val="21"/>
          <w:szCs w:val="21"/>
        </w:rPr>
        <w:t xml:space="preserve">Executive Alignment Call </w:t>
      </w:r>
      <w:r>
        <w:rPr>
          <w:rFonts w:ascii="Arial" w:cs="Arial" w:eastAsia="Arial" w:hAnsi="Arial"/>
          <w:color w:val="4A5568"/>
          <w:sz w:val="21"/>
          <w:szCs w:val="21"/>
        </w:rPr>
        <w:t xml:space="preserve">— Schedule 60-minute session with Client’s CHRO, VP of HR Operations, General Counsel, and CIO to review this proposal and confirm scope.</w:t>
      </w:r>
    </w:p>
    <w:p>
      <w:pPr>
        <w:pStyle w:val="ListParagraph"/>
        <w:numPr>
          <w:ilvl w:val="0"/>
          <w:numId w:val="3"/>
        </w:numPr>
        <w:spacing w:after="120" w:line="276"/>
      </w:pPr>
      <w:r>
        <w:rPr>
          <w:rFonts w:ascii="Arial" w:cs="Arial" w:eastAsia="Arial" w:hAnsi="Arial"/>
          <w:b/>
          <w:bCs/>
          <w:color w:val="1B2A4A"/>
          <w:sz w:val="21"/>
          <w:szCs w:val="21"/>
        </w:rPr>
        <w:t xml:space="preserve">Technical Discovery </w:t>
      </w:r>
      <w:r>
        <w:rPr>
          <w:rFonts w:ascii="Arial" w:cs="Arial" w:eastAsia="Arial" w:hAnsi="Arial"/>
          <w:color w:val="4A5568"/>
          <w:sz w:val="21"/>
          <w:szCs w:val="21"/>
        </w:rPr>
        <w:t xml:space="preserve">— 2-day on-site or virtual deep-dive to map HRIS, credentialing, incident reporting, and payroll systems for integration planning.</w:t>
      </w:r>
    </w:p>
    <w:p>
      <w:pPr>
        <w:pStyle w:val="ListParagraph"/>
        <w:numPr>
          <w:ilvl w:val="0"/>
          <w:numId w:val="3"/>
        </w:numPr>
        <w:spacing w:after="120" w:line="276"/>
      </w:pPr>
      <w:r>
        <w:rPr>
          <w:rFonts w:ascii="Arial" w:cs="Arial" w:eastAsia="Arial" w:hAnsi="Arial"/>
          <w:b/>
          <w:bCs/>
          <w:color w:val="1B2A4A"/>
          <w:sz w:val="21"/>
          <w:szCs w:val="21"/>
        </w:rPr>
        <w:t xml:space="preserve">Mutual NDA &amp; BAA Execution </w:t>
      </w:r>
      <w:r>
        <w:rPr>
          <w:rFonts w:ascii="Arial" w:cs="Arial" w:eastAsia="Arial" w:hAnsi="Arial"/>
          <w:color w:val="4A5568"/>
          <w:sz w:val="21"/>
          <w:szCs w:val="21"/>
        </w:rPr>
        <w:t xml:space="preserve">— Standard mutual NDA and HIPAA BAA executed prior to any data exchange.</w:t>
      </w:r>
    </w:p>
    <w:p>
      <w:pPr>
        <w:pStyle w:val="ListParagraph"/>
        <w:numPr>
          <w:ilvl w:val="0"/>
          <w:numId w:val="3"/>
        </w:numPr>
        <w:spacing w:after="120" w:line="276"/>
      </w:pPr>
      <w:r>
        <w:rPr>
          <w:rFonts w:ascii="Arial" w:cs="Arial" w:eastAsia="Arial" w:hAnsi="Arial"/>
          <w:b/>
          <w:bCs/>
          <w:color w:val="1B2A4A"/>
          <w:sz w:val="21"/>
          <w:szCs w:val="21"/>
        </w:rPr>
        <w:t xml:space="preserve">SOW &amp; MSA Negotiation </w:t>
      </w:r>
      <w:r>
        <w:rPr>
          <w:rFonts w:ascii="Arial" w:cs="Arial" w:eastAsia="Arial" w:hAnsi="Arial"/>
          <w:color w:val="4A5568"/>
          <w:sz w:val="21"/>
          <w:szCs w:val="21"/>
        </w:rPr>
        <w:t xml:space="preserve">— Finalize Master Services Agreement, SOW, SLA, and BAA. Target: 4–6 weeks from alignment call.</w:t>
      </w:r>
    </w:p>
    <w:p>
      <w:pPr>
        <w:pStyle w:val="ListParagraph"/>
        <w:numPr>
          <w:ilvl w:val="0"/>
          <w:numId w:val="3"/>
        </w:numPr>
        <w:spacing w:after="120" w:line="276"/>
      </w:pPr>
      <w:r>
        <w:rPr>
          <w:rFonts w:ascii="Arial" w:cs="Arial" w:eastAsia="Arial" w:hAnsi="Arial"/>
          <w:b/>
          <w:bCs/>
          <w:color w:val="1B2A4A"/>
          <w:sz w:val="21"/>
          <w:szCs w:val="21"/>
        </w:rPr>
        <w:t xml:space="preserve">Kickoff </w:t>
      </w:r>
      <w:r>
        <w:rPr>
          <w:rFonts w:ascii="Arial" w:cs="Arial" w:eastAsia="Arial" w:hAnsi="Arial"/>
          <w:color w:val="4A5568"/>
          <w:sz w:val="21"/>
          <w:szCs w:val="21"/>
        </w:rPr>
        <w:t xml:space="preserve">— Implementation begins within 2 weeks of executed SOW. Target Go-Live: Q3 2026.</w:t>
      </w:r>
    </w:p>
    <w:p>
      <w:pPr>
        <w:spacing w:after="400"/>
      </w:pPr>
    </w:p>
    <w:p>
      <w:pPr>
        <w:pBdr>
          <w:bottom w:val="single" w:color="0D7377" w:sz="6" w:space="4"/>
        </w:pBdr>
        <w:spacing w:after="120" w:before="360"/>
      </w:pPr>
      <w:r>
        <w:rPr>
          <w:rFonts w:ascii="Arial" w:cs="Arial" w:eastAsia="Arial" w:hAnsi="Arial"/>
          <w:b/>
          <w:bCs/>
          <w:color w:val="1B2A4A"/>
          <w:sz w:val="28"/>
          <w:szCs w:val="28"/>
        </w:rPr>
        <w:t xml:space="preserve">Acceptance</w:t>
      </w:r>
    </w:p>
    <w:p>
      <w:pPr>
        <w:spacing w:after="160" w:before="0" w:line="276"/>
      </w:pPr>
      <w:r>
        <w:rPr>
          <w:rFonts w:ascii="Arial" w:cs="Arial" w:eastAsia="Arial" w:hAnsi="Arial"/>
          <w:color w:val="4A5568"/>
          <w:sz w:val="21"/>
          <w:szCs w:val="21"/>
        </w:rPr>
        <w:t xml:space="preserve">By signing below, the parties acknowledge receipt and review of this proposal. This proposal does not constitute a binding agreement; final terms will be governed by the executed Master Services Agreement and Statement of Work.</w:t>
      </w:r>
    </w:p>
    <w:p>
      <w:pPr>
        <w:spacing w:after="300"/>
      </w:pPr>
    </w:p>
    <w:p>
      <w:pPr>
        <w:spacing w:after="40"/>
      </w:pPr>
      <w:r>
        <w:rPr>
          <w:rFonts w:ascii="Arial" w:cs="Arial" w:eastAsia="Arial" w:hAnsi="Arial"/>
          <w:b/>
          <w:bCs/>
          <w:color w:val="1B2A4A"/>
          <w:sz w:val="20"/>
          <w:szCs w:val="20"/>
        </w:rPr>
        <w:t xml:space="preserve">FOR [YOUR COMPANY]:</w:t>
      </w:r>
    </w:p>
    <w:p>
      <w:pPr>
        <w:spacing w:after="200"/>
      </w:pPr>
    </w:p>
    <w:p>
      <w:pPr>
        <w:pBdr>
          <w:bottom w:val="single" w:color="4A5568" w:sz="1" w:space="2"/>
        </w:pBdr>
        <w:spacing w:after="40"/>
      </w:pPr>
      <w:r>
        <w:rPr>
          <w:rFonts w:ascii="Arial" w:cs="Arial" w:eastAsia="Arial" w:hAnsi="Arial"/>
          <w:sz w:val="20"/>
          <w:szCs w:val="20"/>
        </w:rPr>
        <w:t xml:space="preserve"/>
      </w:r>
    </w:p>
    <w:p>
      <w:pPr>
        <w:spacing w:after="160" w:before="0" w:line="276"/>
      </w:pPr>
      <w:r>
        <w:rPr>
          <w:rFonts w:ascii="Arial" w:cs="Arial" w:eastAsia="Arial" w:hAnsi="Arial"/>
          <w:color w:val="4A5568"/>
          <w:sz w:val="21"/>
          <w:szCs w:val="21"/>
        </w:rPr>
        <w:t xml:space="preserve">Name / Title / Date</w:t>
      </w:r>
    </w:p>
    <w:p>
      <w:pPr>
        <w:spacing w:after="300"/>
      </w:pPr>
    </w:p>
    <w:p>
      <w:pPr>
        <w:spacing w:after="40"/>
      </w:pPr>
      <w:r>
        <w:rPr>
          <w:rFonts w:ascii="Arial" w:cs="Arial" w:eastAsia="Arial" w:hAnsi="Arial"/>
          <w:b/>
          <w:bCs/>
          <w:color w:val="1B2A4A"/>
          <w:sz w:val="20"/>
          <w:szCs w:val="20"/>
        </w:rPr>
        <w:t xml:space="preserve">FOR [PARTNER HEALTH SYSTEM]:</w:t>
      </w:r>
    </w:p>
    <w:p>
      <w:pPr>
        <w:spacing w:after="200"/>
      </w:pPr>
    </w:p>
    <w:p>
      <w:pPr>
        <w:pBdr>
          <w:bottom w:val="single" w:color="4A5568" w:sz="1" w:space="2"/>
        </w:pBdr>
        <w:spacing w:after="40"/>
      </w:pPr>
      <w:r>
        <w:rPr>
          <w:rFonts w:ascii="Arial" w:cs="Arial" w:eastAsia="Arial" w:hAnsi="Arial"/>
          <w:sz w:val="20"/>
          <w:szCs w:val="20"/>
        </w:rPr>
        <w:t xml:space="preserve"/>
      </w:r>
    </w:p>
    <w:p>
      <w:pPr>
        <w:spacing w:after="160" w:before="0" w:line="276"/>
      </w:pPr>
      <w:r>
        <w:rPr>
          <w:rFonts w:ascii="Arial" w:cs="Arial" w:eastAsia="Arial" w:hAnsi="Arial"/>
          <w:color w:val="4A5568"/>
          <w:sz w:val="21"/>
          <w:szCs w:val="21"/>
        </w:rPr>
        <w:t xml:space="preserve">Name / Title /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3E8" w:sz="1" w:space="4"/>
      </w:pBdr>
      <w:jc w:val="right"/>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pPr>
    <w:r>
      <w:rPr>
        <w:rFonts w:ascii="Arial" w:cs="Arial" w:eastAsia="Arial" w:hAnsi="Arial"/>
        <w:color w:val="4A5568"/>
        <w:sz w:val="16"/>
        <w:szCs w:val="16"/>
      </w:rPr>
      <w:t xml:space="preserve">[Your Company]  |  Commercial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2026-03-13T18:55:42.066Z</dcterms:created>
  <dcterms:modified xsi:type="dcterms:W3CDTF">2026-03-13T18:55:42.067Z</dcterms:modified>
</cp:coreProperties>
</file>

<file path=docProps/custom.xml><?xml version="1.0" encoding="utf-8"?>
<Properties xmlns="http://schemas.openxmlformats.org/officeDocument/2006/custom-properties" xmlns:vt="http://schemas.openxmlformats.org/officeDocument/2006/docPropsVTypes"/>
</file>