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A5C"/>
          <w:sz w:val="44"/>
          <w:szCs w:val="44"/>
        </w:rPr>
        <w:t xml:space="preserve">EXHAUSTIVE U.S. MEDICAL COMPLIANCE</w:t>
      </w:r>
    </w:p>
    <w:p>
      <w:pPr>
        <w:spacing w:after="200"/>
        <w:jc w:val="center"/>
      </w:pPr>
      <w:r>
        <w:rPr>
          <w:rFonts w:ascii="Arial" w:cs="Arial" w:eastAsia="Arial" w:hAnsi="Arial"/>
          <w:b/>
          <w:bCs/>
          <w:color w:val="1B3A5C"/>
          <w:sz w:val="44"/>
          <w:szCs w:val="44"/>
        </w:rPr>
        <w:t xml:space="preserve">POLICY REFERENCE</w:t>
      </w:r>
    </w:p>
    <w:p>
      <w:pPr>
        <w:pBdr>
          <w:bottom w:val="single" w:color="2E6A9E" w:sz="6" w:space="1"/>
        </w:pBdr>
        <w:spacing w:after="400"/>
        <w:jc w:val="center"/>
      </w:pPr>
      <w:r>
        <w:rPr>
          <w:rFonts w:ascii="Arial" w:cs="Arial" w:eastAsia="Arial" w:hAnsi="Arial"/>
          <w:color w:val="555555"/>
          <w:sz w:val="22"/>
          <w:szCs w:val="22"/>
        </w:rPr>
        <w:t xml:space="preserve">Every Federal &amp; State-Varying Regulatory Framework for Healthcare Institutions</w:t>
      </w:r>
    </w:p>
    <w:p>
      <w:pPr>
        <w:spacing w:before="400"/>
      </w:pPr>
    </w:p>
    <w:p>
      <w:pPr>
        <w:jc w:val="center"/>
      </w:pPr>
      <w:r>
        <w:rPr>
          <w:rFonts w:ascii="Arial" w:cs="Arial" w:eastAsia="Arial" w:hAnsi="Arial"/>
          <w:color w:val="2E6A9E"/>
          <w:sz w:val="22"/>
          <w:szCs w:val="22"/>
        </w:rPr>
        <w:t xml:space="preserve">With Update Frequencies &amp; Authoritative Sources for Each Policy</w:t>
      </w:r>
    </w:p>
    <w:p>
      <w:pPr>
        <w:spacing w:before="200"/>
        <w:jc w:val="center"/>
      </w:pPr>
      <w:r>
        <w:rPr>
          <w:rFonts w:ascii="Arial" w:cs="Arial" w:eastAsia="Arial" w:hAnsi="Arial"/>
          <w:color w:val="777777"/>
          <w:sz w:val="20"/>
          <w:szCs w:val="20"/>
        </w:rPr>
        <w:t xml:space="preserve">March 2026</w:t>
      </w:r>
    </w:p>
    <w:p>
      <w:pPr>
        <w:spacing w:before="800"/>
      </w:pPr>
    </w:p>
    <w:p>
      <w:pPr>
        <w:spacing w:after="120"/>
      </w:pPr>
      <w:r>
        <w:rPr>
          <w:rFonts w:ascii="Arial" w:cs="Arial" w:eastAsia="Arial" w:hAnsi="Arial"/>
          <w:b/>
          <w:bCs/>
          <w:color w:val="1B3A5C"/>
          <w:sz w:val="24"/>
          <w:szCs w:val="24"/>
        </w:rPr>
        <w:t xml:space="preserve">How to Use This Document</w:t>
      </w:r>
    </w:p>
    <w:p>
      <w:pPr>
        <w:spacing w:after="80"/>
      </w:pPr>
      <w:r>
        <w:rPr>
          <w:rFonts w:ascii="Arial" w:cs="Arial" w:eastAsia="Arial" w:hAnsi="Arial"/>
          <w:color w:val="555555"/>
          <w:sz w:val="17"/>
          <w:szCs w:val="17"/>
        </w:rPr>
        <w:t xml:space="preserve">This reference catalogs every major regulatory framework applicable to U.S. healthcare institutions across 25 categories and 200+ distinct policies. Each entry includes:</w:t>
      </w:r>
    </w:p>
    <w:p>
      <w:pPr>
        <w:spacing w:after="40"/>
      </w:pPr>
      <w:r>
        <w:rPr>
          <w:rFonts w:ascii="Arial" w:cs="Arial" w:eastAsia="Arial" w:hAnsi="Arial"/>
          <w:color w:val="555555"/>
          <w:sz w:val="17"/>
          <w:szCs w:val="17"/>
        </w:rPr>
        <w:t xml:space="preserve">State Variance: High = materially different across states (requires 50-state research). Moderate = some states add to federal floor. Low/None = largely uniform.</w:t>
      </w:r>
    </w:p>
    <w:p>
      <w:pPr>
        <w:spacing w:after="40"/>
      </w:pPr>
      <w:r>
        <w:rPr>
          <w:rFonts w:ascii="Arial" w:cs="Arial" w:eastAsia="Arial" w:hAnsi="Arial"/>
          <w:color w:val="555555"/>
          <w:sz w:val="17"/>
          <w:szCs w:val="17"/>
        </w:rPr>
        <w:t xml:space="preserve">Update Frequency: How often the regulation is typically revised or updated — from Continuous (multiple times per year) to Rare (major overhauls only every 5-10+ years).</w:t>
      </w:r>
    </w:p>
    <w:p>
      <w:pPr>
        <w:spacing w:after="80"/>
      </w:pPr>
      <w:r>
        <w:rPr>
          <w:rFonts w:ascii="Arial" w:cs="Arial" w:eastAsia="Arial" w:hAnsi="Arial"/>
          <w:color w:val="555555"/>
          <w:sz w:val="17"/>
          <w:szCs w:val="17"/>
        </w:rPr>
        <w:t xml:space="preserve">Authoritative Sources: The primary official websites where current policy text, guidance, and updates can be found for each regulation.</w:t>
      </w:r>
    </w:p>
    <w:p>
      <w:r>
        <w:br w:type="page"/>
      </w:r>
    </w:p>
    <w:p>
      <w:pPr>
        <w:pStyle w:val="Heading1"/>
        <w:spacing w:after="120" w:before="360"/>
      </w:pPr>
      <w:r>
        <w:rPr>
          <w:rFonts w:ascii="Arial" w:cs="Arial" w:eastAsia="Arial" w:hAnsi="Arial"/>
          <w:b/>
          <w:bCs/>
          <w:color w:val="1B3A5C"/>
          <w:sz w:val="28"/>
          <w:szCs w:val="28"/>
        </w:rPr>
        <w:t xml:space="preserve">1. Patient Privacy &amp; Data Protection</w:t>
      </w:r>
    </w:p>
    <w:p>
      <w:pPr>
        <w:spacing w:after="80"/>
      </w:pPr>
      <w:r>
        <w:rPr>
          <w:rFonts w:ascii="Arial" w:cs="Arial" w:eastAsia="Arial" w:hAnsi="Arial"/>
          <w:i/>
          <w:iCs/>
          <w:color w:val="555555"/>
          <w:sz w:val="16"/>
          <w:szCs w:val="16"/>
        </w:rPr>
        <w:t xml:space="preserve">Core federal frameworks governing the collection, use, disclosure, and security of health information.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HIPAA Privacy Rule (45 CFR Part 160, 164 Subparts A &amp; 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Use and disclosure of PHI, minimum necessary standard, patient rights (access, amendment, accounting of disclosures), Notice of Privacy Practices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Every 2–5 yrs; guidance letters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hhs.gov/hipaa; federalregister.gov (search 45 CFR 164)</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HIPAA Security Rule (45 CFR Part 164 Subpart C)</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Administrative, physical, and technical safeguards for ePHI; risk analysis requirement; access controls; encryption standards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Every 3–5 yrs; major update proposed 2024</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hhs.gov/hipaa/for-professionals/security; healthit.gov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HIPAA Breach Notification Rule (45 CFR Part 164 Subpart D)</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Notification to individuals, HHS, and media for unsecured PHI breaches; 60-day timeline; risk assessment methodology</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Rarely amended; OCR guidance periodic</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hhs.gov/hipaa/for-professionals/breach-notification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HITECH Act (Title XIII of ARRA)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Strengthened HIPAA enforcement, extended to business associates, meaningful use incentives, increased penalties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OCR / 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Rare (enacted 2009; provisions folded into HIPAA updates)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hhs.gov/hipaa/for-professionals/special-topics/hitech-act-enforcement-interim-final-rule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42 CFR Part 2 (Substance Use Disorder Records)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Stricter-than-HIPAA protections for SUD treatment records; requires specific written consent for most disclosures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SAMHSA / 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Major update 2024 (final rule aligning with HIPAA for TPO); next update uncertain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samhsa.gov/about-us/who-we-are/laws-regulations/confidentiality-regulations-faqs; federalregister.gov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Health Privacy Laws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Many states impose stricter privacy requirements (e.g., CA CMIA, TX Medical Records Privacy Act, NY SHIELD Act); separate consent for HIV, mental health, genetic info</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AGs / Health Depts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Continuous — state legislatures amend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legislature website; ncsl.org/health (National Conference of State Legislatures)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Genetic Information Nondiscrimination Act (GINA)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Prohibits use of genetic information in health insurance and employment decisions; restricts collection of genetic data</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 EEOC</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Rarely amended (enacted 2008); state genetic privacy laws update more often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eeoc.gov/genetic-information-discrimination; genome.gov/about-genomics/policy-issues/Genetic-Discrimination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FTC Health Breach Notification Rule (16 CFR Part 318)</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Applies to non-HIPAA-covered entities handling health data (health apps, consumer devices); breach notification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2023; periodic FTC rulemaking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ftc.gov/legal-library/browse/rules/health-breach-notification-rule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COPPA (Children’s Online Privacy Protection Act)</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Applies if collecting online data from children under 13; parental consent; relevant for patient portals and telehealth with minors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FTC</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every 3–5 yrs; major update finalized 2024</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ftc.gov/legal-library/browse/rules/childrens-online-privacy-protection-rule-coppa</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Biometric Privacy Laws (e.g., IL BIPA, TX CUBI)</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Regulate collection/storage of biometric identifiers (fingerprints, retinal scans for facility access or patient ID)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AGs / Private action in IL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Active — new states passing laws annually (2023–2026)</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ilga.gov (IL BIPA 740 ILCS 14); each state legislature site; ncsl.org/technology-and-telecommunication/biometric-data</w:t>
            </w:r>
          </w:p>
        </w:tc>
      </w:tr>
    </w:tbl>
    <w:p>
      <w:r>
        <w:br w:type="page"/>
      </w:r>
    </w:p>
    <w:p>
      <w:pPr>
        <w:pStyle w:val="Heading1"/>
        <w:spacing w:after="120" w:before="360"/>
      </w:pPr>
      <w:r>
        <w:rPr>
          <w:rFonts w:ascii="Arial" w:cs="Arial" w:eastAsia="Arial" w:hAnsi="Arial"/>
          <w:b/>
          <w:bCs/>
          <w:color w:val="1B3A5C"/>
          <w:sz w:val="28"/>
          <w:szCs w:val="28"/>
        </w:rPr>
        <w:t xml:space="preserve">2. Billing, Coding &amp; Financial Integrity</w:t>
      </w:r>
    </w:p>
    <w:p>
      <w:pPr>
        <w:spacing w:after="80"/>
      </w:pPr>
      <w:r>
        <w:rPr>
          <w:rFonts w:ascii="Arial" w:cs="Arial" w:eastAsia="Arial" w:hAnsi="Arial"/>
          <w:i/>
          <w:iCs/>
          <w:color w:val="555555"/>
          <w:sz w:val="16"/>
          <w:szCs w:val="16"/>
        </w:rPr>
        <w:t xml:space="preserve">Laws and regulations governing healthcare reimbursement, fraud prevention, and financial relationships.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False Claims Act (31 U.S.C. §§ 3729–3733)</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Civil liability for knowingly submitting false claims to federal programs; qui tam (whistleblower) provisions; treble damages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DOJ / OIG</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Rarely amended; DOJ guidance/memos update interpretation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justice.gov/civil/fraud; oig.hhs.gov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Anti-Kickback Statute (42 U.S.C. § 1320a-7b(b))</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Criminal prohibition on offering/receiving remuneration for referrals of federal healthcare program business; safe harbors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 / DOJ</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Safe harbors updated every 3–5 yrs; OIG Advisory Opinions ongoing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oig.hhs.gov/compliance/safe-harbor-regulations; oig.hhs.gov/compliance/advisory-opinions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Stark Law (42 U.S.C. § 1395nn)</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Prohibits physician referrals for designated health services to entities with financial relationship, unless exception applies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Exceptions updated every 3–5 yrs; major 2021 final rule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cms.gov/medicare/fraud-and-abuse/physicianselfreferral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Criminal Health Care Fraud (18 U.S.C. § 1347)</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criminal offense for executing a scheme to defraud any healthcare benefit program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DOJ / FBI</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Rarely amended; DOJ enforcement priorities shift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justice.gov/criminal-fraud/health-care-fraud-unit</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Exclusion Statute (42 U.S.C. § 1320a-7)</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Mandatory and permissive exclusion from federal programs; OIG LEIE screening requirements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LEIE list updated monthly; statute rarely amended</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oig.hhs.gov/exclusions; sam.gov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Civil Monetary Penalties Law (42 U.S.C. § 1320a-7a)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Penalties for false claims, kickbacks, patient inducements, EMTALA violations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Penalty amounts adjusted annually for inflation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oig.hhs.gov/fraud/enforcement/cmp</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No Surprises Act (Consolidated Appropriations Act 2021)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Protects patients from surprise out-of-network bills; IDR process; good faith estimates for uninsured</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 regulators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Active rulemaking 2022–2025; IDR process under litigation/revision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cms.gov/nosurprises; cms.gov/cciio/resources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Medicare Conditions of Payment / Billing Rules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Proper use of CPT, HCPCS, ICD-10 codes; medical necessity documentation; timely filing; claims submission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MACs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Annual code updates (Oct ICD-10, Jan CPT); transmittals ongoing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cms.gov/medicare/coding; cms.gov/regulations-and-guidance/transmittals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Medicaid Billing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State-specific fee schedules, prior auth rules, eligibility verification, managed care contracts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 Medicaid</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Continuous — state Medicaid agencies update throughout year</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medicaid.gov; each state Medicaid agency website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Anti-Kickback &amp; Self-Referral Laws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Many states have own anti-kickback and self-referral statutes, some broader than federal equivalents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AGs / Boards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Varies by state; legislative sessions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legislature; oig.hhs.gov/compliance/state-false-claims-act</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False Claims Acts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Over 30 states have own false claims acts with broader scope than federal FCA</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AGs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periodically; OIG maintains qualifying list</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oig.hhs.gov/fraud/state-false-claims-act; each state AG website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Medicare Secondary Payer (MSP) Rules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Coordination of benefits when Medicare is secondary; reporting obligations to BCRC</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BCRC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Reporting thresholds updated periodically; guidance letters ongoing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cms.gov/medicare/coordination-of-benefits-and-recovery</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Provider Enrollment &amp; Revalidation (42 CFR Part 424)</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Medicare enrollment requirements, screening levels, revalidation cycles, reporting changes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Revalidation cycles every 3–5 yrs; rules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w:t>
            </w:r>
          </w:p>
        </w:tc>
      </w:tr>
    </w:tbl>
    <w:p>
      <w:r>
        <w:br w:type="page"/>
      </w:r>
    </w:p>
    <w:p>
      <w:pPr>
        <w:pStyle w:val="Heading1"/>
        <w:spacing w:after="120" w:before="360"/>
      </w:pPr>
      <w:r>
        <w:rPr>
          <w:rFonts w:ascii="Arial" w:cs="Arial" w:eastAsia="Arial" w:hAnsi="Arial"/>
          <w:b/>
          <w:bCs/>
          <w:color w:val="1B3A5C"/>
          <w:sz w:val="28"/>
          <w:szCs w:val="28"/>
        </w:rPr>
        <w:t xml:space="preserve">3. Clinical Quality &amp; Patient Safety</w:t>
      </w:r>
    </w:p>
    <w:p>
      <w:pPr>
        <w:spacing w:after="80"/>
      </w:pPr>
      <w:r>
        <w:rPr>
          <w:rFonts w:ascii="Arial" w:cs="Arial" w:eastAsia="Arial" w:hAnsi="Arial"/>
          <w:i/>
          <w:iCs/>
          <w:color w:val="555555"/>
          <w:sz w:val="16"/>
          <w:szCs w:val="16"/>
        </w:rPr>
        <w:t xml:space="preserve">Standards governing the delivery of clinical care, accreditation, and patient safety requirements.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CMS Conditions of Participation (42 CFR Parts 482–491)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Minimum health and safety standards for hospitals, SNFs, HHAs, ASCs, and other providers in Medicare/Medicaid</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every 2–5 yrs via rulemaking; Interpretive Guidelines updated more frequently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cms.gov/regulations-and-guidance/legislation/cfr; cms.gov/medicare/provider-enrollment-and-certification/surveycertificationgeninfo</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CMS Conditions for Coverage (CfCs)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Standards for ESRD facilities, transplant centers, hospice, CORF, CMHC, OPOs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every 3–5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cms.gov/regulations-and-guidance/legislation/cfr</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Joint Commission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Deemed status for CMS; patient safety goals, medication management, infection prevention, leadership, environment of care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 Commission</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updates to standards; NPSGs updated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jointcommission.org/standards; jointcommission.org/resources/patient-safety-topics/national-patient-safety-goals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DNV GL Healthcare Accreditation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Alternative deemed status based on ISO 9001 quality management framework</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DNV GL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ISO 9001 updated every 5–7 yrs; DNV standards updated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dnv.com/assurance/healthcare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Licensure Standards for Healthcare Facilities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State-specific requirements for hospitals, ASCs, nursing homes, clinics, labs, and other facility types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Health Depts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Continuous — updated via state regulation and legislation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health department website; ahd.com (American Hospital Directory)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EMTALA (42 U.S.C. § 1395dd)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Medical screening and stabilization for anyone presenting to ED regardless of ability to pay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OIG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Rarely amended; CMS Interpretive Guidelines updated periodically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cms.gov/medicare/provider-enrollment-and-certification/surveycertificationgeninfo/downloads/sc-letter08-01.pdf</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Patient Safety &amp; Quality Improvement Act (PSQIA)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Privilege and confidentiality protections for patient safety work product reported to PSOs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AHRQ</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Rarely amended (enacted 2005); PSO listing updated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pso.ahrq.gov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NPDB Reporting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Mandatory reporting of malpractice payments, adverse licensure actions, adverse privilege actions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HRSA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Reporting requirements stable; guidebook updated every 2–3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npdb.hrsa.gov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Sentinel Event Reporting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Reporting of serious patient safety events per Joint Commission or state requirements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 Commission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 Commission sentinel event policy updated annually; state requirements vary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jointcommission.org/resources/patient-safety-topics/sentinel-event; each state health dept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Infection Control &amp; Prevention Standards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CoP requirements, CDC guidelines (HAI prevention), state-mandated HAI reporting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CDC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 guidelines updated continuously; state reporting requirements update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cdc.gov/hai; cms.gov/medicare/infection-control</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Medication Management &amp; Controlled Substances (21 CFR 1301–1321)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DEA registration, Schedule II-V prescribing, PDMP requirements, medication storage/dispensing protocols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DEA / State Pharmacy Boards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DEA scheduling actions ongoing; state PDMP laws update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deadiversion.usdoj.gov; each state pharmacy board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CLIA (42 CFR Part 493)</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Certification and quality standards for all clinical laboratories; proficiency testing; personnel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CDC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every 3–5 yrs; proficiency testing updated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cms.gov/regulations-and-guidance/legislation/clia; cdc.gov/clia</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Informed Consent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common rule for research (45 CFR 46); state requirements for surgical/treatment consent, blood, HIV testing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laws update frequently; federal common rule updated 2018</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hhs.gov/ohrp/regulations-and-policy; each state legislature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Advance Directives (Patient Self-Determination Act)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Requirement to inform patients of advance directive rights; state-specific forms and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 law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law stable; state forms and laws update every few years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legislature; caringinfo.org (NHPCO)</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Restraint &amp; Seclusion Standards (42 CFR 482.13(e)–(f))</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rules on physical restraints and seclusion; documentation, monitoring, physician orders, time limits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Joint Commission</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every 3–5 yrs; Joint Commission standards updated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cms.gov/regulations-and-guidance/legislation/cfr</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Pain Management &amp; Opioid Prescribing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 clinical practice guidelines; state prescribing limits; PDMP check requirements; mandatory prescriber education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 / State Medical Boards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 guidelines updated 2022; state laws update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cdc.gov/opioids/healthcare-professionals/prescribing; each state medical board</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Antimicrobial Stewardship Programs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CoP requirement for hospitals; Joint Commission standards; CDC Core Elements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CDC</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CDC Core Elements updated every 2–3 yrs; CMS CoP updated less frequently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cdc.gov/antibiotic-use/core-elements</w:t>
            </w:r>
          </w:p>
        </w:tc>
      </w:tr>
    </w:tbl>
    <w:p>
      <w:r>
        <w:br w:type="page"/>
      </w:r>
    </w:p>
    <w:p>
      <w:pPr>
        <w:pStyle w:val="Heading1"/>
        <w:spacing w:after="120" w:before="360"/>
      </w:pPr>
      <w:r>
        <w:rPr>
          <w:rFonts w:ascii="Arial" w:cs="Arial" w:eastAsia="Arial" w:hAnsi="Arial"/>
          <w:b/>
          <w:bCs/>
          <w:color w:val="1B3A5C"/>
          <w:sz w:val="28"/>
          <w:szCs w:val="28"/>
        </w:rPr>
        <w:t xml:space="preserve">4. Workforce, Credentialing &amp; Employment</w:t>
      </w:r>
    </w:p>
    <w:p>
      <w:pPr>
        <w:spacing w:after="80"/>
      </w:pPr>
      <w:r>
        <w:rPr>
          <w:rFonts w:ascii="Arial" w:cs="Arial" w:eastAsia="Arial" w:hAnsi="Arial"/>
          <w:i/>
          <w:iCs/>
          <w:color w:val="555555"/>
          <w:sz w:val="16"/>
          <w:szCs w:val="16"/>
        </w:rPr>
        <w:t xml:space="preserve">Requirements for healthcare workforce management, provider qualifications, and employment law.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Medical Staff Credentialing &amp; Privileging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Verification of education, training, licensure, board cert, malpractice history; initial and reappointment per CMS CoPs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Joint Commission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Accreditation standards updated annually; CMS CoPs every 3–5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jointcommission.org/standards; cms.gov/medicare/provider-enrollment-and-certification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Provider Licensure &amp; Scope of Practice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State-specific licensing for physicians, nurses, PAs, NPs, allied health; scope of practice boundaries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Licensing Boards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Continuous — scope of practice bills introduced every legislative session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licensing board; ncsbn.org (nursing); fsmb.org (medicine)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OIG Exclusion List (LEIE) Screening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Monthly screening of employees, contractors, vendors against LEIE; SAM.gov screening; immediate action for matches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LEIE updated monthly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oig.hhs.gov/exclusions; sam.gov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NPDB Queries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Query NPDB for credentialing of physicians, dentists, other practitioners every 2 years minimum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HRSA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Database updated continuously; query requirements stable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npdb.hrsa.gov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Background Check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requirements for long-term care; state-specific requirements for various healthcare roles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laws update every 1–3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 each state health dept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OSHA Workplace Safety (29 CFR Part 1910)</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Bloodborne Pathogen Standard; hazard communication; PPE; recordkeeping; general duty clause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OSHA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Standards updated every 3–10 yrs; guidance documents more frequently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osha.gov/healthcare; osha.gov/bloodborne-pathogens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OSHA Workplace Violence Prevention</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OSHA guidelines for healthcare workers; some states mandate workplace violence prevention programs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OSHA / State OSHA plans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guidance updated periodically; CA SB 1299 and other state laws update actively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osha.gov/workplace-violence; each state OSHA plan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ADA (Americans with Disabilities Act)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Non-discrimination in employment; reasonable accommodations; applies to 15+ employee employers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 / DOJ</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ADA Amendments Act 2008; EEOC guidance updated every 2–3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eeoc.gov/ada; ada.gov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FMLA (Family and Medical Leave Act)</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12 weeks unpaid leave for eligible employees; many states provide additional leave protections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DOL</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FMLA stable; state paid family leave laws rapidly expanding (2020–2026)</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dol.gov/agencies/whd/fmla; each state labor dept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Title VII / Civil Rights Act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Prohibition on discrimination based on race, color, religion, sex, national origin; sexual harassment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 guidance updated every 2–3 yrs; Bostock (2020) expanded sex discrimination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eeoc.gov/laws/statutes/titlevii</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Section 1557 of ACA (Nondiscrimination)</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Prohibits discrimination in health programs receiving federal funding; language access requirements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Major rulemaking cycles every 3–5 yrs (2016, 2020, 2024 rules)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hhs.gov/civil-rights/for-individuals/section-1557</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FLSA (Fair Labor Standards Act)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Minimum wage, overtime; nurse and resident physician overtime; state wage laws often more generous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minimum wage rarely updated; state wage laws change frequently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dol.gov/agencies/whd/flsa; each state labor dept</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Immigration Compliance (I-9 / Visa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Employment verification; J-1 waivers for physicians; H-1B for healthcare professionals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DHS / USCIS / DOL</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I-9 form updated every 3 yrs; visa policies shift with administrations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uscis.gov/i-9; travel.state.gov/j-1</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Mandatory Reporting Obligations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Abuse/neglect reporting (child, elder, vulnerable adult); communicable disease; gunshot/stab wound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Continuous — state reporting requirements update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childwelfare.gov/topics/systemwide/laws-policies/statutes/manda; each state legislature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Continuing Education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State-specific CE/CME requirements for license renewal by profession</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Licensing Boards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with each license renewal cycle (1–3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licensing board; accme.org (physician CME)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Nurse Staffing Ratios &amp; Requirements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CA mandated ratios; other states have staffing committees, disclosure requirements, or guidelines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Active legislative area — bills introduced each session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legislature; nursingworld.org (ANA)</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Physician Residency &amp; GME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ACGME accreditation standards; duty hour restrictions; supervision requirements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ACGME / 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ACGME Common Program Requirements updated every 2–3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acgme.org/what-we-do/accreditation/common-program-requirements</w:t>
            </w:r>
          </w:p>
        </w:tc>
      </w:tr>
    </w:tbl>
    <w:p>
      <w:r>
        <w:br w:type="page"/>
      </w:r>
    </w:p>
    <w:p>
      <w:pPr>
        <w:pStyle w:val="Heading1"/>
        <w:spacing w:after="120" w:before="360"/>
      </w:pPr>
      <w:r>
        <w:rPr>
          <w:rFonts w:ascii="Arial" w:cs="Arial" w:eastAsia="Arial" w:hAnsi="Arial"/>
          <w:b/>
          <w:bCs/>
          <w:color w:val="1B3A5C"/>
          <w:sz w:val="28"/>
          <w:szCs w:val="28"/>
        </w:rPr>
        <w:t xml:space="preserve">5. Corporate Integrity &amp; Compliance Programs</w:t>
      </w:r>
    </w:p>
    <w:p>
      <w:pPr>
        <w:spacing w:after="80"/>
      </w:pPr>
      <w:r>
        <w:rPr>
          <w:rFonts w:ascii="Arial" w:cs="Arial" w:eastAsia="Arial" w:hAnsi="Arial"/>
          <w:i/>
          <w:iCs/>
          <w:color w:val="555555"/>
          <w:sz w:val="16"/>
          <w:szCs w:val="16"/>
        </w:rPr>
        <w:t xml:space="preserve">Frameworks for institutional compliance programs, ethics, and corporate governance.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OIG Compliance Program Guidance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Seven elements of effective compliance: written standards, compliance officer, training, monitoring, enforcement, response, open lines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Original guidance 1998–2005; General Compliance Program Guidance updated 2023</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oig.hhs.gov/compliance/compliance-guidance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Federal Sentencing Guidelines (§8B2.1)</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Organizational sentencing factors; effective compliance program as mitigating factor; board oversight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U.S. Sentencing Commission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annually (November amendments cycle)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ussc.gov/guidelines/organizational-guidelines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Corporate Integrity Agreements (CIAs)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Post-settlement compliance obligations; IRO reviews, board reporting, claims review</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CIA is entity-specific; OIG publishes new CIAs as they are entered</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oig.hhs.gov/fraud/cia</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Whistleblower Protections (FCA Qui Tam)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Protection from retaliation for reporting fraud; 15–30% reward; sealed filing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DOJ</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Rarely amended; DOJ policy memos update enforcement priorities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justice.gov/civil/fraud/whistleblower</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Whistleblower Protection Laws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Many states have additional protections beyond federal FCA provisions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AGs / Courts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legislation 1–3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legislature; taf.org (Taxpayers Against Fraud)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Deficit Reduction Act of 2005 (§6032)</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Entities with $5M+ Medicaid must educate employees about FCA, whistleblower protections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Enacted 2005; rarely amended</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oig.hhs.gov/compliance/101/files/DRA-Fact-Sheet.pdf</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Code of Conduct &amp; Conflict of Interest</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Expected by OIG, accreditors, payer contracts; board/physician financial disclosure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 / Accreditors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Internal policies updated annually; OIG expectations stable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oig.hhs.gov/compliance/compliance-guidance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Compliance Committee &amp; Board Oversight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 expects board-level compliance oversight; quality/compliance committee reporting to board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 / Accreditors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 General CPG (2023) reinforced board oversight expectations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oig.hhs.gov/compliance/compliance-guidance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Internal Investigations &amp; Disclosure Protocols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Self-disclosure protocols (OIG SDP, CMS SRDP); internal investigation procedures; privilege considerations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 / CMS / DOJ</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 SDP guidance updated every 2–3 yrs; CMS SRDP protocol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oig.hhs.gov/compliance/self-disclosure-info; cms.gov/medicare/coordination-of-benefits-and-recovery/debt-recovery</w:t>
            </w:r>
          </w:p>
        </w:tc>
      </w:tr>
    </w:tbl>
    <w:p>
      <w:r>
        <w:br w:type="page"/>
      </w:r>
    </w:p>
    <w:p>
      <w:pPr>
        <w:pStyle w:val="Heading1"/>
        <w:spacing w:after="120" w:before="360"/>
      </w:pPr>
      <w:r>
        <w:rPr>
          <w:rFonts w:ascii="Arial" w:cs="Arial" w:eastAsia="Arial" w:hAnsi="Arial"/>
          <w:b/>
          <w:bCs/>
          <w:color w:val="1B3A5C"/>
          <w:sz w:val="28"/>
          <w:szCs w:val="28"/>
        </w:rPr>
        <w:t xml:space="preserve">6. Health IT, Interoperability &amp; Electronic Records</w:t>
      </w:r>
    </w:p>
    <w:p>
      <w:pPr>
        <w:spacing w:after="80"/>
      </w:pPr>
      <w:r>
        <w:rPr>
          <w:rFonts w:ascii="Arial" w:cs="Arial" w:eastAsia="Arial" w:hAnsi="Arial"/>
          <w:i/>
          <w:iCs/>
          <w:color w:val="555555"/>
          <w:sz w:val="16"/>
          <w:szCs w:val="16"/>
        </w:rPr>
        <w:t xml:space="preserve">Regulations governing electronic health records, data exchange, and health information technology.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21st Century Cures Act — Information Blocking (45 CFR Part 171)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Prohibition on practices interfering with access/exchange of EHI; eight exceptions; applies to providers, HINs, HIT developers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ONC / OIG</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Initial rule 2021; OIG penalties finalized 2023; updates every 2–3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healthit.gov/topic/information-blocking; federalregister.gov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ONC Health IT Certification (45 CFR Part 170)</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Certification requirements for EHR technology; USCDI data standards; API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ONC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HTI-1 final rule 2024; USCDI updated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healthit.gov/topic/certification-ehrs/certification-health-it; healthit.gov/isa/united-states-core-data-interoperability-uscdi</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CMS Interoperability &amp; Patient Access Rules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Patient access API, provider directory API, payer-to-payer exchange, prior auth API</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CMS-9115-F (2020); CMS-0057-F (2024); updates every 2–3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cms.gov/priorities/key-initiatives/burden-reduction/interoperability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Meaningful Use / Promoting Interoperability</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EHR incentive program; now part of MIPS; e-prescribing, HIE, patient portal access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Annual updates via MPFS/IPPS final rules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cms.gov/regulations-and-guidance/legislation/ehrincentiveprograms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HL7 FHIR &amp; USCDI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Technical standards for health data exchange; USCDI v1–v4 data classes; FHIR R4 API implementation</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ONC / HL7</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USCDI updated annually; FHIR versions every 2–3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hl7.org/fhir; healthit.gov/isa/united-states-core-data-interoperability-uscdi</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E-Prescribing for Controlled Substances (EPCS)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 requirements for e-prescribing Schedule II–V; identity proofing; two-factor authentication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 interim final rule 2010; state mandates expanding rapidly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deadiversion.usdoj.gov/ecomm/e_rx; each state pharmacy board</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HIE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Some states mandate HIE connection; varying consent models (opt-in/opt-out); data submission requirements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HIT offices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Varies by state; updated with state legislation/regulation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HIT/HIE organization; healthit.gov/topic/health-it-health-care-settings/health-information-exchange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Electronic Signatures (ESIGN / UETA)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and state frameworks for electronic signature validity in healthcare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ESIGN (2000) rarely amended; state UETA adoptions vary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ftc.gov/legal-library/browse/statutes/electronic-signatures-global-national-commerce-act; uniformlaws.org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21 CFR Part 11 (Electronic Records in FDA-Regulated Activities)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requirements for e-records and e-signatures in trials, device manufacturing, pharma operations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Original 1997; FDA guidance documents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fda.gov/regulatory-information/search-fda-guidance-documents/part-11-electronic-records-electronic-signatures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Telehealth Technology Standards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Platform security, audio/video standards, interstate licensing (IMLC, NLC), prescribing via telehealth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 Boards / DEA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Rapidly evolving post-COVID; state laws update each legislative session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cchpca.org (Center for Connected Health Policy); each state medical board</w:t>
            </w:r>
          </w:p>
        </w:tc>
      </w:tr>
    </w:tbl>
    <w:p>
      <w:r>
        <w:br w:type="page"/>
      </w:r>
    </w:p>
    <w:p>
      <w:pPr>
        <w:pStyle w:val="Heading1"/>
        <w:spacing w:after="120" w:before="360"/>
      </w:pPr>
      <w:r>
        <w:rPr>
          <w:rFonts w:ascii="Arial" w:cs="Arial" w:eastAsia="Arial" w:hAnsi="Arial"/>
          <w:b/>
          <w:bCs/>
          <w:color w:val="1B3A5C"/>
          <w:sz w:val="28"/>
          <w:szCs w:val="28"/>
        </w:rPr>
        <w:t xml:space="preserve">7. Quality Reporting &amp; Value-Based Care</w:t>
      </w:r>
    </w:p>
    <w:p>
      <w:pPr>
        <w:spacing w:after="80"/>
      </w:pPr>
      <w:r>
        <w:rPr>
          <w:rFonts w:ascii="Arial" w:cs="Arial" w:eastAsia="Arial" w:hAnsi="Arial"/>
          <w:i/>
          <w:iCs/>
          <w:color w:val="555555"/>
          <w:sz w:val="16"/>
          <w:szCs w:val="16"/>
        </w:rPr>
        <w:t xml:space="preserve">Programs tying reimbursement to quality metrics, outcomes, and cost efficiency.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MIPS / QPP</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Quality, cost, promoting interoperability, improvement activities; payment adjustments based on composite scores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updates via MPFS final rule (November)</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qpp.cms.gov; cms.gov/medicare/quality/physicians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Advanced APMs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Shared savings/risk models (ACOs, bundled payments); QP thresholds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CMMI</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annually; CMMI model-specific updates ongoing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qpp.cms.gov; innovation.cms.gov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Hospital IQR Program</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Mandatory quality measure reporting for IPPS hospitals; pay reduction for non-reporting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measure updates via IPPS final rule (August)</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cms.gov/medicare/quality/inpatient-quality-reporting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Hospital OQR Program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Quality measures for OPPS hospitals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Annual updates via OPPS final rule (November)</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cms.gov/medicare/quality/outpatient-quality-reporting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Hospital VBP Program</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Payment incentives based on outcomes, patient experience (HCAHPS), safety, efficiency</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domain/measure updates via IPPS final rule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cms.gov/medicare/quality/value-based-programs/hospital-purchasing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HAC Reduction Program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Payment penalties for hospitals in worst quartile for hospital-acquired conditions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Annual measure/methodology updates via IPPS final rule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cms.gov/medicare/quality/value-based-programs/hac-reduction-program</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Hospital Readmissions Reduction Program</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Payment penalties for excess readmissions for specified conditions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updates via IPPS final rule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cms.gov/medicare/quality/value-based-programs/hospital-readmissions-reduction-program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SNF Quality Reporting Program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Quality measures and staffing data for skilled nursing facilities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Annual updates via SNF PPS final rule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cms.gov/medicare/quality/nursing-home-improvement/quality-reporting-program</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Home Health Quality Reporting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OASIS data submission; quality measures for home health agencies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updates via HH PPS final rule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cms.gov/medicare/quality/home-health-quality-reporting-program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HEDIS Measures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Standardized quality measures used by health plans; payer contracts and Star Ratings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NCQA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annually (HEDIS measurement year cycle)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ncqa.org/hedis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CMS Star Ratings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Public quality ratings for MA plans and hospitals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Methodology updated annually; ratings published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cms.gov/medicare/quality/medicare-advantage-part-c-and-d-star-ratings-program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Quality Reporting Mandates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Some states have additional quality reporting, public reporting, and P4P programs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Health Depts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Varies by state; updated via state legislation/regulation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health dept; nashp.org (National Academy for State Health Policy)</w:t>
            </w:r>
          </w:p>
        </w:tc>
      </w:tr>
    </w:tbl>
    <w:p>
      <w:r>
        <w:br w:type="page"/>
      </w:r>
    </w:p>
    <w:p>
      <w:pPr>
        <w:pStyle w:val="Heading1"/>
        <w:spacing w:after="120" w:before="360"/>
      </w:pPr>
      <w:r>
        <w:rPr>
          <w:rFonts w:ascii="Arial" w:cs="Arial" w:eastAsia="Arial" w:hAnsi="Arial"/>
          <w:b/>
          <w:bCs/>
          <w:color w:val="1B3A5C"/>
          <w:sz w:val="28"/>
          <w:szCs w:val="28"/>
        </w:rPr>
        <w:t xml:space="preserve">8. Cybersecurity &amp; Information Security</w:t>
      </w:r>
    </w:p>
    <w:p>
      <w:pPr>
        <w:spacing w:after="80"/>
      </w:pPr>
      <w:r>
        <w:rPr>
          <w:rFonts w:ascii="Arial" w:cs="Arial" w:eastAsia="Arial" w:hAnsi="Arial"/>
          <w:i/>
          <w:iCs/>
          <w:color w:val="555555"/>
          <w:sz w:val="16"/>
          <w:szCs w:val="16"/>
        </w:rPr>
        <w:t xml:space="preserve">Frameworks and requirements for protecting healthcare information systems and infrastructure.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HIPAA Security Rule (Technical Details)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Risk analysis, access management, audit controls, integrity, transmission security, encryption, contingency planning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Major update proposed 2024 (NPRM); finalization expected 2025–2026</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hhs.gov/hipaa/for-professionals/security; federalregister.gov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NIST Cybersecurity Framework (CSF 2.0)</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Identify, Protect, Detect, Respond, Recover, Govern; increasingly expected by HHS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NIST / HHS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CSF 2.0 released Feb 2024; major revisions every 5–7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nist.gov/cyberframework</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HHS Healthcare Cybersecurity Performance Goals (HPH CPGs)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Essential and enhanced goals: asset inventory, email security, MFA, vulnerability management, incident planning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 CISA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Initial publication 2024; expected to update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hhs.gov/cybersecurity-performance-goals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CISA Healthcare Guidance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Sector-specific guidance; KEV catalog; critical infrastructure designation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CISA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Continuous — advisories and alerts published as needed</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cisa.gov/healthcare; cisa.gov/known-exploited-vulnerabilities-catalog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CIRCIA (Cyber Incident Reporting)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Upcoming mandatory 72-hour reporting for critical infrastructure including healthcare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CISA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Final rule expected 2025–2026; NPRM published 2024</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cisa.gov/circia</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Data Breach Notification Laws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All 50 states have laws; varying definitions, timelines, AG notice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AGs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Active legislative area — updates every 1–2 yrs per state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ncsl.org/technology-and-telecommunication/security-breach-notification-laws; each state AG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Cybersecurity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NY SHIELD Act, CA CCPA technical safeguards, MA 201 CMR 17.00, etc.</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regulators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Evolving rapidly; new state laws enacted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legislature; ncsl.org/technology-and-telecommunication/cybersecurity-legislation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Medical Device Cybersecurity (Section 524B FD&amp;C Act)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Pre-market cybersecurity for connected devices; SBOM requirements; post-market patching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Enacted 2023; FDA guidance updated periodically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fda.gov/medical-devices/digital-health-center-excellence/cybersecurity</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Ransomware &amp; Cyber Extortion Response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HIPAA obligations during ransomware; OCR enforcement for failure to prevent/respond</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 / FBI / CISA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HHS/CISA guidance updated as threat landscape evolves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hhs.gov/hipaa/for-professionals/security/guidance/cybersecurity; ic3.gov</w:t>
            </w:r>
          </w:p>
        </w:tc>
      </w:tr>
    </w:tbl>
    <w:p>
      <w:r>
        <w:br w:type="page"/>
      </w:r>
    </w:p>
    <w:p>
      <w:pPr>
        <w:pStyle w:val="Heading1"/>
        <w:spacing w:after="120" w:before="360"/>
      </w:pPr>
      <w:r>
        <w:rPr>
          <w:rFonts w:ascii="Arial" w:cs="Arial" w:eastAsia="Arial" w:hAnsi="Arial"/>
          <w:b/>
          <w:bCs/>
          <w:color w:val="1B3A5C"/>
          <w:sz w:val="28"/>
          <w:szCs w:val="28"/>
        </w:rPr>
        <w:t xml:space="preserve">9. Environmental, Facility &amp; Physical Safety</w:t>
      </w:r>
    </w:p>
    <w:p>
      <w:pPr>
        <w:spacing w:after="80"/>
      </w:pPr>
      <w:r>
        <w:rPr>
          <w:rFonts w:ascii="Arial" w:cs="Arial" w:eastAsia="Arial" w:hAnsi="Arial"/>
          <w:i/>
          <w:iCs/>
          <w:color w:val="555555"/>
          <w:sz w:val="16"/>
          <w:szCs w:val="16"/>
        </w:rPr>
        <w:t xml:space="preserve">Requirements for the physical environment, waste management, and safety systems.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CMS Life Safety Code (NFPA 101)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Fire safety for healthcare occupancies; egress, alarms, sprinklers, smoke compartments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 Fire Marshal</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adopts NFPA editions every 5–10 yrs; NFPA updates every 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nfpa.org/101; cms.gov/medicare/provider-enrollment-and-certification/fire-safety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NFPA 99 (Health Care Facilities Code)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Medical gas systems, electrical systems, HVAC, emergency power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Joint Commission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NFPA 99 updated every 3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nfpa.org/99</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ADA Accessibility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Physical accessibility: parking, entrances, exam rooms, equipment</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DOJ</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2010 ADA Standards; DOJ guidance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ada.gov; access-board.gov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EPA Medical Waste (RCRA)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Hazardous waste ID, storage, transport, disposal; pharmaceutical waste rules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EPA / State environmental agencies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RCRA updates every 3–5 yrs; state regs vary widely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epa.gov/rcra; epa.gov/hwgenerators/management-pharmaceutical-hazardous-waste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OSHA Hazardous Chemical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Hazard Communication (GHS); formaldehyde; ethylene oxide; chemotherapy drugs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OSHA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Standards updated every 5–10 yrs; guidance documents more frequently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osha.gov/hazardous-chemicals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OSHA Ionizing Radiation (29 CFR 1910.1096)</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Occupational exposure limits, monitoring, signage, restricted areas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OSHA / NRC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standards rarely updated; state radiation programs update more frequently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osha.gov/ionizing-radiation; nrc.gov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Radiation Control Programs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Licensing/inspection of radiation equipment; personnel monitoring; shielding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Radiation Control</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regulation every 1–3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crcpd.org (Conference of Radiation Control Program Directors); each state radiation control program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Legionella / Water Management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memo requiring water management programs; ASHRAE 188</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 Health Depts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memo 2017; ASHRAE 188 updated every 5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 ashrae.org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Sharps &amp; Needlestick Prevention</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Engineering controls, exposure control plans, sharps injury logs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OSHA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Needlestick Safety Act 2000; OSHA guidance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osha.gov/bloodborne-pathogens/needlestick</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Construction &amp; Renovation (ICRA/FGI)</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Infection Control Risk Assessment; FGI Guidelines for hospital design/construction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Joint Commission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FGI Guidelines updated every 4–5 yrs (2022 edition current)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fgiguidelines.org</w:t>
            </w:r>
          </w:p>
        </w:tc>
      </w:tr>
    </w:tbl>
    <w:p>
      <w:r>
        <w:br w:type="page"/>
      </w:r>
    </w:p>
    <w:p>
      <w:pPr>
        <w:pStyle w:val="Heading1"/>
        <w:spacing w:after="120" w:before="360"/>
      </w:pPr>
      <w:r>
        <w:rPr>
          <w:rFonts w:ascii="Arial" w:cs="Arial" w:eastAsia="Arial" w:hAnsi="Arial"/>
          <w:b/>
          <w:bCs/>
          <w:color w:val="1B3A5C"/>
          <w:sz w:val="28"/>
          <w:szCs w:val="28"/>
        </w:rPr>
        <w:t xml:space="preserve">10. Emergency Preparedness &amp; Disaster Response</w:t>
      </w:r>
    </w:p>
    <w:p>
      <w:pPr>
        <w:spacing w:after="80"/>
      </w:pPr>
      <w:r>
        <w:rPr>
          <w:rFonts w:ascii="Arial" w:cs="Arial" w:eastAsia="Arial" w:hAnsi="Arial"/>
          <w:i/>
          <w:iCs/>
          <w:color w:val="555555"/>
          <w:sz w:val="16"/>
          <w:szCs w:val="16"/>
        </w:rPr>
        <w:t xml:space="preserve">Federal and state requirements for emergency planning, response capabilities, and continuity of operations.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CMS Emergency Preparedness Rule (42 CFR 482, 483, 484, 485, 486, 491)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Risk assessment, emergency plan, policies/procedures, communication plan, annual training/testing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Final rule 2016; Interpretive Guidelines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cms.gov/medicare/provider-enrollment-and-certification/emergency-preparedness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EMTALA Emergency Obligations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Screening/stabilization during declared emergencies; surge capacity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OIG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Guidance updated after major events (e.g., COVID, hurricanes)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Hospital Preparedness Program (HPP)</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ASPR cooperative agreement; healthcare coalition participation; surge benchmarks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ASPR / HHS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Funding guidance updated annually; capabilities updated every 2–3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phe.gov/preparedness/planning/hpp</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NIMS / HICS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Standardized incident management; required for federal preparedness funding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FEMA / ASPR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NIMS updated every 5–10 yrs; HICS updated periodically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fema.gov/nims; emsa.ca.gov/hospital-incident-command-system</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Emergency Preparedness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State-specific hospital emergency plans, evacuation plans, mutual aid</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Health Depts / EM</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regulation and post-event lessons learned</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health dept and emergency management agency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Pandemic Preparedness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Crisis Standards of Care; PPE stockpiling; ventilator allocation; vaccination distribution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 CDC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Active post-COVID rulemaking and guidance development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cdc.gov/prepare-your-health; phe.gov/preparedness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Mass Casualty / Active Shooter</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 Commission requirements; active shooter training; behavioral threat assessment</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 Commission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 Commission standards updated annually; DHS guidance periodic</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jointcommission.org; cisa.gov/active-shooter-preparedness</w:t>
            </w:r>
          </w:p>
        </w:tc>
      </w:tr>
    </w:tbl>
    <w:p>
      <w:r>
        <w:br w:type="page"/>
      </w:r>
    </w:p>
    <w:p>
      <w:pPr>
        <w:pStyle w:val="Heading1"/>
        <w:spacing w:after="120" w:before="360"/>
      </w:pPr>
      <w:r>
        <w:rPr>
          <w:rFonts w:ascii="Arial" w:cs="Arial" w:eastAsia="Arial" w:hAnsi="Arial"/>
          <w:b/>
          <w:bCs/>
          <w:color w:val="1B3A5C"/>
          <w:sz w:val="28"/>
          <w:szCs w:val="28"/>
        </w:rPr>
        <w:t xml:space="preserve">11. Research, Clinical Trials &amp; Institutional Review</w:t>
      </w:r>
    </w:p>
    <w:p>
      <w:pPr>
        <w:spacing w:after="80"/>
      </w:pPr>
      <w:r>
        <w:rPr>
          <w:rFonts w:ascii="Arial" w:cs="Arial" w:eastAsia="Arial" w:hAnsi="Arial"/>
          <w:i/>
          <w:iCs/>
          <w:color w:val="555555"/>
          <w:sz w:val="16"/>
          <w:szCs w:val="16"/>
        </w:rPr>
        <w:t xml:space="preserve">Regulations governing human subjects research, clinical trials, and research ethics.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Common Rule (45 CFR Part 46)</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policy for human subjects; IRB requirements; informed consent; vulnerable populations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OHRP / HHS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Revised 2018 (effective 2019); next update uncertain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hhs.gov/ohrp/regulations-and-policy/regulations/45-cfr-46</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FDA Human Subject Regs (21 CFR Parts 50, 56)</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Additional protections for FDA-regulated research; IND/IDE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every 3–5 yrs; FDA guidance documents more frequent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fda.gov/regulatory-information/search-fda-guidance-documents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Good Clinical Practice (ICH E6 R2/R3)</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International standard for clinical trial design, conduct, recording, reporting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 ICH</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ICH E6 R3 in development (draft 2023); major revisions every 10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ich.org/page/efficacy-guidelines; fda.gov/science-research/clinical-trials-and-human-subject-protection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21 CFR Part 11 (E-Records &amp; E-Signatures)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Electronic data capture, audit trails, e-signatures in FDA-regulated research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Original 1997; FDA guidance documents updated periodically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fda.gov/regulatory-information/search-fda-guidance-documents/part-11-electronic-records-electronic-signatures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ClinicalTrials.gov Registration (42 CFR Part 11)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Mandatory registration of applicable trials; results reporting within 12 months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NIH / 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Final rule 2016; ClinicalTrials.gov modernization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clinicaltrials.gov; prsinfo.clinicaltrials.gov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NIH Grants Policy &amp; Compliance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FCOI (42 CFR Part 50 Subpart F); data sharing; RCR training; Public Access Policy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NIH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NIH Grants Policy Statement updated annually; data management plans required 2023+</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grants.nih.gov/policy; sharing.nih.gov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HIPAA Research Provisions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Research use of PHI; authorization waivers; limited data sets; de-identification</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with HIPAA Privacy Rule amendments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hhs.gov/hipaa/for-professionals/special-topics/research</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Research &amp; Consent Laws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Additional requirements for genetic research, minors, embryonic/fetal research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Varies by state; updated via legislation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legislature; ohrp.hhs.gov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Institutional Biosafety Committee (IBC)</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NIH Guidelines for recombinant DNA, synthetic nucleic acids, select agents; BSL classifications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NIH / CDC / USDA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NIH Guidelines updated every 2–3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osp.od.nih.gov/biotechnology/nih-guidelines; selectagents.gov</w:t>
            </w:r>
          </w:p>
        </w:tc>
      </w:tr>
    </w:tbl>
    <w:p>
      <w:r>
        <w:br w:type="page"/>
      </w:r>
    </w:p>
    <w:p>
      <w:pPr>
        <w:pStyle w:val="Heading1"/>
        <w:spacing w:after="120" w:before="360"/>
      </w:pPr>
      <w:r>
        <w:rPr>
          <w:rFonts w:ascii="Arial" w:cs="Arial" w:eastAsia="Arial" w:hAnsi="Arial"/>
          <w:b/>
          <w:bCs/>
          <w:color w:val="1B3A5C"/>
          <w:sz w:val="28"/>
          <w:szCs w:val="28"/>
        </w:rPr>
        <w:t xml:space="preserve">12. Pharmacy, Drug Supply Chain &amp; Controlled Substances</w:t>
      </w:r>
    </w:p>
    <w:p>
      <w:pPr>
        <w:spacing w:after="80"/>
      </w:pPr>
      <w:r>
        <w:rPr>
          <w:rFonts w:ascii="Arial" w:cs="Arial" w:eastAsia="Arial" w:hAnsi="Arial"/>
          <w:i/>
          <w:iCs/>
          <w:color w:val="555555"/>
          <w:sz w:val="16"/>
          <w:szCs w:val="16"/>
        </w:rPr>
        <w:t xml:space="preserve">Regulations governing pharmacy operations, drug distribution, and controlled substance management.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DEA Registration &amp; Controlled Substances (21 CFR 1301–1321)</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Registration; Schedule I–V; prescribing, dispensing, administering, disposing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DEA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Scheduling actions ongoing; registration renewed every 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deadiversion.usdoj.gov; ecfr.gov/current/title-21/chapter-II</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Prescription Drug Monitoring Programs (PDMPs)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databases tracking controlled substance prescriptions; mandatory checking requirements vary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Pharmacy Boards / BJA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PDMP laws updated every 1–2 yrs; all states operational</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pdmpassist.org; namsdl.org; each state PDMP</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Drug Supply Chain Security Act (DSCSA)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Product tracing; transaction info; verification; serialization; interoperable electronic system</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Phased implementation 2013–2023+; enforcement discretion extensions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fda.gov/drugs/drug-supply-chain-integrity/drug-supply-chain-security-act-dscsa</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340B Drug Pricing Program (42 U.S.C. § 256b)</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Discounted outpatient drug pricing for covered entities; contract pharmacy; HRSA audits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HRSA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HRSA guidance updated 1–2 yrs; active litigation reshaping program</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hrsa.gov/opa; 340bopais.hrsa.gov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USP Compounding Standards (&lt;795&gt;, &lt;797&gt;, &lt;800&gt;)</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Non-sterile compounding, sterile compounding, hazardous drug handling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Pharmacy Boards / 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USP &lt;797&gt; revised 2023 (enforcement delayed); chapters updated every 5–10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usp.org/compounding; each state pharmacy board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Pharmacy Practice Acts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Scope of practice; technician ratios; collaborative practice; dispensing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Pharmacy Boards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every legislative session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pharmacy board; nabp.pharmacy</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FDA REMS Programs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Risk Evaluation and Mitigation Strategies for high-risk drugs; iPLEDGE, TIRF, opioid REMS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Individual REMS modified as needed; new REMS established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fda.gov/drugs/drug-safety-and-availability/rems; accessdata.fda.gov/scripts/cder/rems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Medication Error Reporting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MedWatch; ISMP reporting; state-mandated error reporting; RCA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MedWatch continuous; state reporting mandates update every 2–3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fda.gov/safety/medwatch; ismp.org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Pharmaceutical Waste Disposal</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RCRA hazardous waste rules for pharmaceuticals; DEA reverse distribution for controlled substances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EPA / DEA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EPA Management Standards for Hazardous Waste Pharmaceuticals (2019); state rules vary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epa.gov/hwgenerators/management-pharmaceutical-hazardous-waste; deadiversion.usdoj.gov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Drug Diversion Prevention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Monitoring and preventing controlled substance diversion; ADC audits; random testing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 / State / Joint Commission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Best practice guidance updated every 2–3 yrs; DEA enforcement continuous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deadiversion.usdoj.gov; jointcommission.org</w:t>
            </w:r>
          </w:p>
        </w:tc>
      </w:tr>
    </w:tbl>
    <w:p>
      <w:r>
        <w:br w:type="page"/>
      </w:r>
    </w:p>
    <w:p>
      <w:pPr>
        <w:pStyle w:val="Heading1"/>
        <w:spacing w:after="120" w:before="360"/>
      </w:pPr>
      <w:r>
        <w:rPr>
          <w:rFonts w:ascii="Arial" w:cs="Arial" w:eastAsia="Arial" w:hAnsi="Arial"/>
          <w:b/>
          <w:bCs/>
          <w:color w:val="1B3A5C"/>
          <w:sz w:val="28"/>
          <w:szCs w:val="28"/>
        </w:rPr>
        <w:t xml:space="preserve">13. Payer Relations, Insurance &amp; Managed Care</w:t>
      </w:r>
    </w:p>
    <w:p>
      <w:pPr>
        <w:spacing w:after="80"/>
      </w:pPr>
      <w:r>
        <w:rPr>
          <w:rFonts w:ascii="Arial" w:cs="Arial" w:eastAsia="Arial" w:hAnsi="Arial"/>
          <w:i/>
          <w:iCs/>
          <w:color w:val="555555"/>
          <w:sz w:val="16"/>
          <w:szCs w:val="16"/>
        </w:rPr>
        <w:t xml:space="preserve">Requirements governing relationships with payers, insurance compliance, and managed care contracts.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Medicare Advantage Compliance (42 CFR Part 422)</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Network adequacy; compliance programs; marketing rules; grievances/appeals; RADV audits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updates via MA Rate Announcement and Call Letter (April); final rule (fall)</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cms.gov/medicare/health-plans/medicareadvtgspecratestats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Medicaid Managed Care (42 CFR Part 438)</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plan requirements; MCO obligations; network adequacy; access standards; quality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 Medicaid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rule updated every 3–5 yrs; state contracts renegotiated every 1–5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medicaid.gov/medicaid/managed-care; each state Medicaid agency</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ACA Insurance Market Reforms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EHBs; preventive services; pre-existing conditions; premium rating rules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 DOIs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Annual Notice of Benefit and Payment Parameters; state benchmark plans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cms.gov/cciio; healthcare.gov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ERISA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Governs employer-sponsored health plans; preemption; fiduciary duties; claims procedures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DOL guidance updated every 2–3 yrs; ERISA statute rarely amended</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dol.gov/agencies/ebsa/laws-and-regulations/laws/erisa</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Network Adequacy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and federal requirements for adequate networks; time/distance; wait times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 DOIs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updates via MA/Medicaid managed care rules; states update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 each state DOI; naic.org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Prior Authorization Requirements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interop rule requirements; state reform laws; turnaround times; gold carding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 DOIs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CMS-0057-F (2024); state prior auth reform laws expanding rapidly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cms.gov/priorities/key-initiatives/burden-reduction; each state legislature; ama-assn.org/prior-authorization</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CVO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NCQA CVO certification; delegated credentialing; payer-specific timelines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NCQA / Payers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NCQA standards updated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ncqa.org/programs/health-plans/credentials-verification-organization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Insurance Regulation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mandates beyond ACA; prompt pay; claims processing; provider contract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DOIs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every legislative session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DOI; naic.org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Mental Health Parity (MHPAEA)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Parity between MH/SUD and medical/surgical benefits; NQTL analysis requirements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DOL / HHS / Treasury</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2024 final rule on NQTL comparative analysis; enforcement intensifying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dol.gov/agencies/ebsa/laws-and-regulations/laws/mental-health-and-substance-use-disorder-parity; cms.gov/cciio/programs-and-initiatives/other-insurance-protections/mhpaea</w:t>
            </w:r>
          </w:p>
        </w:tc>
      </w:tr>
    </w:tbl>
    <w:p>
      <w:r>
        <w:br w:type="page"/>
      </w:r>
    </w:p>
    <w:p>
      <w:pPr>
        <w:pStyle w:val="Heading1"/>
        <w:spacing w:after="120" w:before="360"/>
      </w:pPr>
      <w:r>
        <w:rPr>
          <w:rFonts w:ascii="Arial" w:cs="Arial" w:eastAsia="Arial" w:hAnsi="Arial"/>
          <w:b/>
          <w:bCs/>
          <w:color w:val="1B3A5C"/>
          <w:sz w:val="28"/>
          <w:szCs w:val="28"/>
        </w:rPr>
        <w:t xml:space="preserve">14. Reproductive, Behavioral &amp; Sensitive Health Services</w:t>
      </w:r>
    </w:p>
    <w:p>
      <w:pPr>
        <w:spacing w:after="80"/>
      </w:pPr>
      <w:r>
        <w:rPr>
          <w:rFonts w:ascii="Arial" w:cs="Arial" w:eastAsia="Arial" w:hAnsi="Arial"/>
          <w:i/>
          <w:iCs/>
          <w:color w:val="555555"/>
          <w:sz w:val="16"/>
          <w:szCs w:val="16"/>
        </w:rPr>
        <w:t xml:space="preserve">Laws governing areas of healthcare with heightened privacy and varying state regulation.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Post-Dobbs State Abortion Laws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Wide variation: total bans to codified protections; gestational limits; exceptions; provider liability; travel restrictions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Extremely active — multiple states pass/amend laws each session; ballot initiatives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guttmacher.org/state-policy; each state legislature; reproductiverights.org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Title X Family Planning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funding for family planning; grantee compliance; patient confidentiality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 OASH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Title X regulations updated every 2–4 yrs (administration-dependent)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hhs.gov/opa/title-x-family-planning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Reproductive Health Privacy Laws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Privacy protections for reproductive health data; law enforcement access restrictions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Rapidly expanding post-Dobbs (2022–present)</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legislature; ncsl.org/health/reproductive-health</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42 CFR Part 2 (SUD Records — Detailed)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Consent, court orders, research disclosures, audit/evaluation; 2024 alignment with HIPAA for TPO</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SAMHSA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Major 2024 final rule; next update TBD</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samhsa.gov/about-us/who-we-are/laws-regulations/confidentiality-regulations-faqs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Mental Health Commitment Laws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Involuntary holds (5150 in CA, Baker Act in FL); criteria, duration, patient rights, judicial review</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legislation every 1–3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legislature; treatmentadvocacycenter.org/state-laws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SUD Treatment Regulations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Licensure of SUD facilities; MAT requirements; counselor credentialing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agencies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via state regulation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substance abuse agency; samhsa.gov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Confidentiality of Minor Health Records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Minor consent for STI treatment, contraception, mental health, substance use; parental notification</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legislation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guttmacher.org/state-policy/explore/overview-minors-consent-law; each state legislature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HIV/AIDS Testing &amp; Disclosure Laws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Consent for testing; disclosure restrictions; partner notification; criminalization provisions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law / CDC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laws updated every 1–3 yrs; CDC guidelines updated periodically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cdc.gov/hiv; each state legislature; hivlawandpolicy.org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Transgender Healthcare Regulations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Gender-affirming care restrictions/protections; minor restrictions; insurance mandates/exclusions; conscience protections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Extremely active legislative area (2023–2026); federal rules shifting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legislature; hrc.org/resources; lgbtmap.org/equality-maps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Conscience &amp; Religious Exemption Laws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Church/Coats-Snowe/Weldon Amendments (federal); state conscience protections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OCR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rules shift with administrations; state laws update periodically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hhs.gov/conscience; each state legislature</w:t>
            </w:r>
          </w:p>
        </w:tc>
      </w:tr>
    </w:tbl>
    <w:p>
      <w:r>
        <w:br w:type="page"/>
      </w:r>
    </w:p>
    <w:p>
      <w:pPr>
        <w:pStyle w:val="Heading1"/>
        <w:spacing w:after="120" w:before="360"/>
      </w:pPr>
      <w:r>
        <w:rPr>
          <w:rFonts w:ascii="Arial" w:cs="Arial" w:eastAsia="Arial" w:hAnsi="Arial"/>
          <w:b/>
          <w:bCs/>
          <w:color w:val="1B3A5C"/>
          <w:sz w:val="28"/>
          <w:szCs w:val="28"/>
        </w:rPr>
        <w:t xml:space="preserve">15. Pediatric &amp; Vulnerable Population Protections</w:t>
      </w:r>
    </w:p>
    <w:p>
      <w:pPr>
        <w:spacing w:after="80"/>
      </w:pPr>
      <w:r>
        <w:rPr>
          <w:rFonts w:ascii="Arial" w:cs="Arial" w:eastAsia="Arial" w:hAnsi="Arial"/>
          <w:i/>
          <w:iCs/>
          <w:color w:val="555555"/>
          <w:sz w:val="16"/>
          <w:szCs w:val="16"/>
        </w:rPr>
        <w:t xml:space="preserve">Specialized protections for children, elderly, disabled, and other vulnerable populations.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Child Abuse &amp; Neglect Reporting (CAPTA)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framework; all states mandate reporting; covered reporters; procedures vary</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ACF / State CPS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CAPTA reauthorized every 5–7 yrs; state laws update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childwelfare.gov; acf.hhs.gov/cb; each state CPS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Elder Abuse Prevention (Elder Justice Act)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Mandatory reporting in LTC facilities; 2-hour reporting for serious bodily injury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ACL / State APS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Elder Justice Act 2010; state laws update every 1–3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acl.gov/programs/elder-justice; ncea.acl.gov; each state APS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Adult Protective Services Reporting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Mandatory reporting of abuse/neglect/exploitation of vulnerable adults; varies by state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APS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laws update every 1–3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napsa-now.org; each state APS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Nursing Home Reform Act (OBRA 1987)</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Resident rights, care planning, staffing, quality of life for certified nursing facilities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CoPs updated every 3–5 yrs; Interpretive Guidelines updated more frequently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cms.gov/medicare/provider-enrollment-and-certification/guidanceforlawsandregulations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CMS Nursing Home Minimum Staffing Rule (2024)</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Minimum staffing standards; RN 24/7; HPRD minimums; phased implementation</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Final rule 2024; phased implementation through 2027</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cms.gov/newsroom/fact-sheets/medicare-and-medicaid-programs-minimum-staffing-standards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Guardianship &amp; Surrogate Decision-Making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Guardianship, conservatorship, healthcare POA, surrogate hierarchies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courts / law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laws update every 2–5 yrs; Uniform Guardianship Act adoption varies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uniformlaws.org; each state legislature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Disability Rights (Section 504 / ADA)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Non-discrimination in treatment; effective communication; service animals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 / DOJ</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DOJ/HHS guidance updated every 2–3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hhs.gov/civil-rights/for-individuals/disability; ada.gov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Immigrant &amp; Undocumented Patient Protections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Emergency Medicaid; EMTALA regardless of status; state coverage programs; language access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immigrant health programs expanding; federal policy shifts with administrations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medicaid.gov; each state Medicaid agency; nilc.org (National Immigration Law Center)</w:t>
            </w:r>
          </w:p>
        </w:tc>
      </w:tr>
    </w:tbl>
    <w:p>
      <w:r>
        <w:br w:type="page"/>
      </w:r>
    </w:p>
    <w:p>
      <w:pPr>
        <w:pStyle w:val="Heading1"/>
        <w:spacing w:after="120" w:before="360"/>
      </w:pPr>
      <w:r>
        <w:rPr>
          <w:rFonts w:ascii="Arial" w:cs="Arial" w:eastAsia="Arial" w:hAnsi="Arial"/>
          <w:b/>
          <w:bCs/>
          <w:color w:val="1B3A5C"/>
          <w:sz w:val="28"/>
          <w:szCs w:val="28"/>
        </w:rPr>
        <w:t xml:space="preserve">16. Telehealth &amp; Digital Health</w:t>
      </w:r>
    </w:p>
    <w:p>
      <w:pPr>
        <w:spacing w:after="80"/>
      </w:pPr>
      <w:r>
        <w:rPr>
          <w:rFonts w:ascii="Arial" w:cs="Arial" w:eastAsia="Arial" w:hAnsi="Arial"/>
          <w:i/>
          <w:iCs/>
          <w:color w:val="555555"/>
          <w:sz w:val="16"/>
          <w:szCs w:val="16"/>
        </w:rPr>
        <w:t xml:space="preserve">Rapidly evolving regulations governing virtual care delivery and digital health technologies.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Interstate Medical Licensure Compact (IMLC)</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Expedited licensure for physicians across state lines; member states and eligibility</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IMLC Commission</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New states join periodically; rules updated by Commission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imlcc.org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Nurse Licensure Compact (NLC)</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Multistate nursing license for compact member states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NCSBN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New states joining actively (2020–2026); rules updated by NCSBN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ncsbn.org/nurse-licensure-compact</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PSYPACT</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Telepsychology and temporary in-person practice across member states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PSYPACT Commission</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Expanding membership; rules updated by Commission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psypact.org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Medicare Telehealth Coverage (§1834(m))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Covered services, originating site, geographic restrictions; post-COVID flexibilities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Annual updates via MPFS; COVID flexibilities extended/made permanent incrementally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cms.gov/medicare/coverage/telehealth</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Telehealth Parity Laws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Coverage and/or payment parity; modality requirements (audio-only, asynchronous)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DOIs / Legislatures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Active legislative area — updated every session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cchpca.org; each state legislature; telehealth.hhs.gov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Ryan Haight Act (Online Controlled Substance Prescribing)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 requirements for prescribing via telemedicine; in-person exam exceptions; special registration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Post-COVID flexibilities; DEA proposed rules 2023–2025 for telemedicine registration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deadiversion.usdoj.gov; federalregister.gov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FDA Digital Health / SaMD</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Clinical decision support, mobile medical apps, AI/ML-based SaMD; pre-market review</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Digital Health Center of Excellence guidance updated continuously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fda.gov/medical-devices/digital-health-center-excellence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Remote Patient Monitoring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Medicare RPM billing (CPT 99453–99458); state licensure for cross-state monitoring; device requirements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Annual MPFS updates; state licensure rules evolving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cms.gov/medicare/coverage/telehealth; each state medical board</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Telehealth Practice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Patient-provider relationship; consent; documentation; follow-up; prescribing limitations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Medical Boards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every legislative session and via medical board rulemaking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fsmb.org/advocacy/telemedicine; each state medical board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AI/ML in Clinical Decision Support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SaMD framework; transparency; bias monitoring; state-emerging AI regulations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guidance updated annually; state AI laws emerging rapidly (2024–2026)</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fda.gov/medical-devices/software-medical-device-samd; each state legislature</w:t>
            </w:r>
          </w:p>
        </w:tc>
      </w:tr>
    </w:tbl>
    <w:p>
      <w:r>
        <w:br w:type="page"/>
      </w:r>
    </w:p>
    <w:p>
      <w:pPr>
        <w:pStyle w:val="Heading1"/>
        <w:spacing w:after="120" w:before="360"/>
      </w:pPr>
      <w:r>
        <w:rPr>
          <w:rFonts w:ascii="Arial" w:cs="Arial" w:eastAsia="Arial" w:hAnsi="Arial"/>
          <w:b/>
          <w:bCs/>
          <w:color w:val="1B3A5C"/>
          <w:sz w:val="28"/>
          <w:szCs w:val="28"/>
        </w:rPr>
        <w:t xml:space="preserve">17. Medical Devices &amp; Equipment</w:t>
      </w:r>
    </w:p>
    <w:p>
      <w:pPr>
        <w:spacing w:after="80"/>
      </w:pPr>
      <w:r>
        <w:rPr>
          <w:rFonts w:ascii="Arial" w:cs="Arial" w:eastAsia="Arial" w:hAnsi="Arial"/>
          <w:i/>
          <w:iCs/>
          <w:color w:val="555555"/>
          <w:sz w:val="16"/>
          <w:szCs w:val="16"/>
        </w:rPr>
        <w:t xml:space="preserve">FDA and state regulations governing use, maintenance, and reporting for medical devices.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FDA Medical Device Reporting (21 CFR Part 803)</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Mandatory reporting of device-related deaths, serious injuries, malfunctions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Reporting requirements stable; FDA guidance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fda.gov/medical-devices/postmarket-requirements-devices/mandatory-reporting-requirements-manufacturers-importers-and-device-user-facilities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Medical Device Tracking (21 CFR Part 821)</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Tracking for life-sustaining/life-supporting devices; patient notification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Rarely amended</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fda.gov/medical-devices/postmarket-requirements-devices/medical-device-tracking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Equipment Maintenance &amp; Testing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CoP; Joint Commission EC standards; preventive maintenance; clinical engineering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Joint Commission</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 Commission EC standards updated annually; CMS CoPs less frequently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jointcommission.org/standards; cms.gov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Unique Device Identification (UDI)</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Device labeling and tracking; UDI in medical records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Phased implementation complete; database (GUDID) maintained continuously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fda.gov/medical-devices/unique-device-identification-system-udi-system; accessgudid.nlm.nih.gov</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FDA Recalls &amp; Safety Communications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Facility obligations to respond to recalls; tracking affected patients; corrective actions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Recalls issued as needed; facility response obligations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fda.gov/safety/recalls-market-withdrawals-safety-alerts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Radiation-Emitting Device Standards (21 CFR Subchapter J)</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Performance standards for X-ray, laser, ultrasound devices; reporting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standards updated rarely; state programs inspect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fda.gov/radiation-emitting-products; each state radiation control</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Safe Medical Devices Act (SMDA)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User facility reporting for device-related incidents; semi-annual summary reports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Rarely amended (enacted 1990)</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fda.gov/medical-devices/postmarket-requirements-devices</w:t>
            </w:r>
          </w:p>
        </w:tc>
      </w:tr>
    </w:tbl>
    <w:p>
      <w:r>
        <w:br w:type="page"/>
      </w:r>
    </w:p>
    <w:p>
      <w:pPr>
        <w:pStyle w:val="Heading1"/>
        <w:spacing w:after="120" w:before="360"/>
      </w:pPr>
      <w:r>
        <w:rPr>
          <w:rFonts w:ascii="Arial" w:cs="Arial" w:eastAsia="Arial" w:hAnsi="Arial"/>
          <w:b/>
          <w:bCs/>
          <w:color w:val="1B3A5C"/>
          <w:sz w:val="28"/>
          <w:szCs w:val="28"/>
        </w:rPr>
        <w:t xml:space="preserve">18. Transplantation &amp; Organ Procurement</w:t>
      </w:r>
    </w:p>
    <w:p>
      <w:pPr>
        <w:spacing w:after="80"/>
      </w:pPr>
      <w:r>
        <w:rPr>
          <w:rFonts w:ascii="Arial" w:cs="Arial" w:eastAsia="Arial" w:hAnsi="Arial"/>
          <w:i/>
          <w:iCs/>
          <w:color w:val="555555"/>
          <w:sz w:val="16"/>
          <w:szCs w:val="16"/>
        </w:rPr>
        <w:t xml:space="preserve">Requirements for transplant programs, organ allocation, and tissue banking.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National Organ Transplant Act (NOTA)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Federal framework for procurement, allocation, transplantation; prohibition on organ sales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HRSA / OPTN</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Rarely amended; OPTN contract restructuring underway (2024–2026)</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hrsa.gov/opa; organdonor.gov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CMS CoPs for Transplant Centers (42 CFR 482.68–104)</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Outcomes, patient selection, organ procurement, living donor protections, SRTR data</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every 3–5 yrs; CMS relaxed outcome requirements 2020</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cms.gov/regulations-and-guidance/legislation/cfr</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OPTN/UNOS Policies &amp; Bylaws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Allocation policies, listing criteria, waitlist, member obligations, data reporting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OPTN / UNOS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OPTN policies updated continuously (board votes on changes multiple times/yr)</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optn.transplant.hrsa.gov/policies-bylaws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Tissue Banking (FDA 21 CFR Parts 1270, 1271)</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Donor screening, testing, processing, storage, labeling for HCT/Ps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guidance updated every 2–3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fda.gov/vaccines-blood-biologics/tissue-tissue-products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OPO Conditions for Coverage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Performance metrics, governance, hospital agreements, brain death protocols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Major update 2020 (outcome measures); CMS final rule on OPO performance 2020</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cms.gov/regulations-and-guidance/legislation/cfr</w:t>
            </w:r>
          </w:p>
        </w:tc>
      </w:tr>
    </w:tbl>
    <w:p>
      <w:r>
        <w:br w:type="page"/>
      </w:r>
    </w:p>
    <w:p>
      <w:pPr>
        <w:pStyle w:val="Heading1"/>
        <w:spacing w:after="120" w:before="360"/>
      </w:pPr>
      <w:r>
        <w:rPr>
          <w:rFonts w:ascii="Arial" w:cs="Arial" w:eastAsia="Arial" w:hAnsi="Arial"/>
          <w:b/>
          <w:bCs/>
          <w:color w:val="1B3A5C"/>
          <w:sz w:val="28"/>
          <w:szCs w:val="28"/>
        </w:rPr>
        <w:t xml:space="preserve">19. Antitrust &amp; Competition in Healthcare</w:t>
      </w:r>
    </w:p>
    <w:p>
      <w:pPr>
        <w:spacing w:after="80"/>
      </w:pPr>
      <w:r>
        <w:rPr>
          <w:rFonts w:ascii="Arial" w:cs="Arial" w:eastAsia="Arial" w:hAnsi="Arial"/>
          <w:i/>
          <w:iCs/>
          <w:color w:val="555555"/>
          <w:sz w:val="16"/>
          <w:szCs w:val="16"/>
        </w:rPr>
        <w:t xml:space="preserve">Federal and state antitrust laws applicable to healthcare mergers, pricing, and market behavior.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Sherman Act / Clayton Act</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Price-fixing, market allocation, group boycotts; merger review for hospital consolidation</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DOJ / FTC</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Statutes rarely amended; enforcement priorities shift with administrations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justice.gov/atr; ftc.gov/enforcement/competition-matters/healthcare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FTC Act §5</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 authority over anticompetitive practices in healthcare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 enforcement priorities updated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ftc.gov/enforcement</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Hart-Scott-Rodino Act (HSR)</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Pre-merger notification for healthcare transactions above thresholds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FTC / DOJ</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Thresholds adjusted annually for GDP; reporting form updated 2024</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ftc.gov/enforcement/premerger-notification-program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Certificate of Need (CON)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Some states require CON for new facilities, equipment, service expansions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Health Planning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Active reform area — some states expanding, others repealing CON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ncsl.org/health/certificate-of-need-state-health-laws; each state health planning agency</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AG Healthcare Transaction Review</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Many states require AG review of healthcare mergers/acquisitions, especially nonprofits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AGs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Growing state AG activity; new review laws enacted annually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AG office; nashp.org</w:t>
            </w:r>
          </w:p>
        </w:tc>
      </w:tr>
    </w:tbl>
    <w:p>
      <w:r>
        <w:br w:type="page"/>
      </w:r>
    </w:p>
    <w:p>
      <w:pPr>
        <w:pStyle w:val="Heading1"/>
        <w:spacing w:after="120" w:before="360"/>
      </w:pPr>
      <w:r>
        <w:rPr>
          <w:rFonts w:ascii="Arial" w:cs="Arial" w:eastAsia="Arial" w:hAnsi="Arial"/>
          <w:b/>
          <w:bCs/>
          <w:color w:val="1B3A5C"/>
          <w:sz w:val="28"/>
          <w:szCs w:val="28"/>
        </w:rPr>
        <w:t xml:space="preserve">20. Tax-Exempt Status &amp; Community Benefit (Nonprofit Healthcare)</w:t>
      </w:r>
    </w:p>
    <w:p>
      <w:pPr>
        <w:spacing w:after="80"/>
      </w:pPr>
      <w:r>
        <w:rPr>
          <w:rFonts w:ascii="Arial" w:cs="Arial" w:eastAsia="Arial" w:hAnsi="Arial"/>
          <w:i/>
          <w:iCs/>
          <w:color w:val="555555"/>
          <w:sz w:val="16"/>
          <w:szCs w:val="16"/>
        </w:rPr>
        <w:t xml:space="preserve">Requirements for tax-exempt healthcare organizations under federal and state law.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IRC §501(r) for Charitable Hospitals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CHNA every 3 yrs; financial assistance policy; charge limitations; billing/collection practices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IRS final regulations 2014; CHNA cycles every 3 yrs; IRS guidance periodic</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irs.gov/charities-non-profits/charitable-organizations/requirements-for-501c3-hospitals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IRS Form 990 Schedule H</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Community benefit reporting; financial assistance; bad debt; Medicare shortfall; community building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IRS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Schedule H updated periodically; filed annually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irs.gov/forms-pubs/about-schedule-h-form-990</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Community Benefit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Additional reporting, spending minimums, CHNA requirements beyond 501(r)</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AGs / Health Depts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laws update every 1–3 yrs; growing scrutiny of hospital tax exemptions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AG; hilltopinstitute.org/community-benefit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Property Tax Exemptions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State-specific requirements; community benefit standards; charity care thresholds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State/Local Tax Authorities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Active litigation and legislative reform area</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revenue/tax authority</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UBIT (Unrelated Business Income Tax)</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Tax on income from non-exempt activities; parking, laundry, pharmacy sales to nonpatients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TCJA 2017 changes; IRS guidance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irs.gov/charities-non-profits/unrelated-business-income-tax</w:t>
            </w:r>
          </w:p>
        </w:tc>
      </w:tr>
    </w:tbl>
    <w:p>
      <w:r>
        <w:br w:type="page"/>
      </w:r>
    </w:p>
    <w:p>
      <w:pPr>
        <w:pStyle w:val="Heading1"/>
        <w:spacing w:after="120" w:before="360"/>
      </w:pPr>
      <w:r>
        <w:rPr>
          <w:rFonts w:ascii="Arial" w:cs="Arial" w:eastAsia="Arial" w:hAnsi="Arial"/>
          <w:b/>
          <w:bCs/>
          <w:color w:val="1B3A5C"/>
          <w:sz w:val="28"/>
          <w:szCs w:val="28"/>
        </w:rPr>
        <w:t xml:space="preserve">21. Language Access, Civil Rights &amp; Nondiscrimination</w:t>
      </w:r>
    </w:p>
    <w:p>
      <w:pPr>
        <w:spacing w:after="80"/>
      </w:pPr>
      <w:r>
        <w:rPr>
          <w:rFonts w:ascii="Arial" w:cs="Arial" w:eastAsia="Arial" w:hAnsi="Arial"/>
          <w:i/>
          <w:iCs/>
          <w:color w:val="555555"/>
          <w:sz w:val="16"/>
          <w:szCs w:val="16"/>
        </w:rPr>
        <w:t xml:space="preserve">Federal and state requirements for equitable access to healthcare services.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Title VI (Language Access)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Meaningful access for LEP individuals; qualified interpreters; translated vital documents; signage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LEP guidance updated every 5–10 yrs; OCR enforcement ongoing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hhs.gov/civil-rights/for-individuals/special-topics/limited-english-proficiency; lep.gov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Section 1557 ACA (Detailed)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Comprehensive nondiscrimination; sex (including gender identity); disability; 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Major rulemaking cycles: 2016, 2020, 2024</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hhs.gov/civil-rights/for-individuals/section-1557</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ADA Effective Communication</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Auxiliary aids for disabilities; interpreters; accessible formats; relay services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DOJ / 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ADA Title II/III guidance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ada.gov; hhs.gov/civil-rights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State Language Access Laws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Specific interpreter qualifications; translated document requirements; enhanced access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via state legislation every 1–3 yrs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legislature; ncsl.org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CLAS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National standards for culturally competent care; governance, communication, engagement</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OMH</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CLAS Standards released 2013; OMH resources updated periodically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thinkculturalhealth.hhs.gov/clas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Religious Accommodation in Healthcare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Title VII employee accommodation; patient dietary, dress, blood product, end-of-life preferences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 / HHS OCR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 guidance updated periodically; Groff v. DeJoy (2023) raised accommodation standard</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eeoc.gov/religious-discrimination; hhs.gov/conscience</w:t>
            </w:r>
          </w:p>
        </w:tc>
      </w:tr>
    </w:tbl>
    <w:p>
      <w:r>
        <w:br w:type="page"/>
      </w:r>
    </w:p>
    <w:p>
      <w:pPr>
        <w:pStyle w:val="Heading1"/>
        <w:spacing w:after="120" w:before="360"/>
      </w:pPr>
      <w:r>
        <w:rPr>
          <w:rFonts w:ascii="Arial" w:cs="Arial" w:eastAsia="Arial" w:hAnsi="Arial"/>
          <w:b/>
          <w:bCs/>
          <w:color w:val="1B3A5C"/>
          <w:sz w:val="28"/>
          <w:szCs w:val="28"/>
        </w:rPr>
        <w:t xml:space="preserve">22. Records Management, Retention &amp; Documentation</w:t>
      </w:r>
    </w:p>
    <w:p>
      <w:pPr>
        <w:spacing w:after="80"/>
      </w:pPr>
      <w:r>
        <w:rPr>
          <w:rFonts w:ascii="Arial" w:cs="Arial" w:eastAsia="Arial" w:hAnsi="Arial"/>
          <w:i/>
          <w:iCs/>
          <w:color w:val="555555"/>
          <w:sz w:val="16"/>
          <w:szCs w:val="16"/>
        </w:rPr>
        <w:t xml:space="preserve">Requirements for creating, maintaining, and retaining healthcare records.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Medical Records Retention</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No single federal standard; CMS requires policies; HIPAA 6 yrs for compliance docs; state laws 5–30+ yrs; minors longer</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retention laws update every 3–5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legislature; ahima.org/topics/retention-and-destruction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HIPAA Documentation Requirements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6-year retention for policies, procedures, training, BAAs, risk assessments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Stable requirement since HIPAA implementation</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hhs.gov/hipaa/for-professionals/privacy/guidance/documentation</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Medical Records Content Standards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CoP requirements; authentication; verbal orders; documentation per accreditor</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Accreditors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with CMS CoP and accreditor standard revisions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 jointcommission.org/standards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Patient Access to Records (HIPAA Right of Access)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30-day response; reasonable fees; electronic copies; OCR Right of Access Initiative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OCR enforcement initiative launched 2019; active enforcement ongoing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hhs.gov/hipaa/for-professionals/privacy/guidance/access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Medical Records Laws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Content, retention, access, amendment, fees, destruction methods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legislation every 2–5 yrs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legislature; ahima.org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Legal Hold &amp; Litigation Preservation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Preservation upon litigation notice; spoliation consequences; e-discovery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Courts / DOJ</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Case law evolves continuously; FRCP amendments periodic</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uscourts.gov/rules-policies/current-rules-practice-procedure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BAA Requirements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HIPAA-mandated contracts with vendors accessing PHI; required provisions; breach obligations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Requirements stable since 2013 Omnibus Rule; OCR template available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hhs.gov/hipaa/for-professionals/covered-entities/sample-business-associate-agreement-provisions</w:t>
            </w:r>
          </w:p>
        </w:tc>
      </w:tr>
    </w:tbl>
    <w:p>
      <w:r>
        <w:br w:type="page"/>
      </w:r>
    </w:p>
    <w:p>
      <w:pPr>
        <w:pStyle w:val="Heading1"/>
        <w:spacing w:after="120" w:before="360"/>
      </w:pPr>
      <w:r>
        <w:rPr>
          <w:rFonts w:ascii="Arial" w:cs="Arial" w:eastAsia="Arial" w:hAnsi="Arial"/>
          <w:b/>
          <w:bCs/>
          <w:color w:val="1B3A5C"/>
          <w:sz w:val="28"/>
          <w:szCs w:val="28"/>
        </w:rPr>
        <w:t xml:space="preserve">23. Marketing, Advertising &amp; Patient Communications</w:t>
      </w:r>
    </w:p>
    <w:p>
      <w:pPr>
        <w:spacing w:after="80"/>
      </w:pPr>
      <w:r>
        <w:rPr>
          <w:rFonts w:ascii="Arial" w:cs="Arial" w:eastAsia="Arial" w:hAnsi="Arial"/>
          <w:i/>
          <w:iCs/>
          <w:color w:val="555555"/>
          <w:sz w:val="16"/>
          <w:szCs w:val="16"/>
        </w:rPr>
        <w:t xml:space="preserve">Regulations governing how healthcare entities communicate with and market to patients and the public.</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HIPAA Marketing Restrictions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Marketing vs. treatment communications; authorization requirements; refill/face-to-face exceptions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 OCR</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Stable since Omnibus Rule 2013</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hhs.gov/hipaa/for-professionals/privacy/guidance/marketing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Medicare Marketing Guidelines (MCMG)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MA and Part D marketing rules; prohibited activities; disclaimers; CMS pre-review</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annually (published with MA Rate Announcement)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cms.gov/medicare/health-plans/managedcaremarketing</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TCPA</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Consent for autodialed calls/texts; healthcare exception is narrow; state mini-TCPAs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FCC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FCC orders updated periodically; 1-to-1 consent rule 2025; state laws expanding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fcc.gov/general/telemarketing-and-robocalls; each state legislature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CAN-SPAM Act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Commercial email requirements; opt-out; sender ID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Rarely amended (enacted 2003)</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ftc.gov/legal-library/browse/rules/can-spam-rule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Consumer Protection / Deceptive Practices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laws on deceptive healthcare advertising; testimonials; price transparency</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AGs / DOIs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legislation/AG enforcement</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AG office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FTC Endorsement Guidelines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Physician endorsements; social media disclosure; patient testimonials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Updated 2023; next update in several years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ftc.gov/legal-library/browse/rules/guides-concerning-endorsements-testimonials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Price Transparency (Hospital &amp; Insurance)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Hospital machine-readable files, shoppable services; Transparency in Coverage for insurers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Hospital rule effective 2021; insurer rule phased 2022–2024; CMS enforcement increasing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cms.gov/hospital-price-transparency; cms.gov/healthplan-price-transparency</w:t>
            </w:r>
          </w:p>
        </w:tc>
      </w:tr>
    </w:tbl>
    <w:p>
      <w:r>
        <w:br w:type="page"/>
      </w:r>
    </w:p>
    <w:p>
      <w:pPr>
        <w:pStyle w:val="Heading1"/>
        <w:spacing w:after="120" w:before="360"/>
      </w:pPr>
      <w:r>
        <w:rPr>
          <w:rFonts w:ascii="Arial" w:cs="Arial" w:eastAsia="Arial" w:hAnsi="Arial"/>
          <w:b/>
          <w:bCs/>
          <w:color w:val="1B3A5C"/>
          <w:sz w:val="28"/>
          <w:szCs w:val="28"/>
        </w:rPr>
        <w:t xml:space="preserve">24. Governance, Licensure &amp; Organizational Structure</w:t>
      </w:r>
    </w:p>
    <w:p>
      <w:pPr>
        <w:spacing w:after="80"/>
      </w:pPr>
      <w:r>
        <w:rPr>
          <w:rFonts w:ascii="Arial" w:cs="Arial" w:eastAsia="Arial" w:hAnsi="Arial"/>
          <w:i/>
          <w:iCs/>
          <w:color w:val="555555"/>
          <w:sz w:val="16"/>
          <w:szCs w:val="16"/>
        </w:rPr>
        <w:t xml:space="preserve">Requirements for organizational structure, facility licensure, and corporate governance.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State Facility Licensure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State-specific licensing for hospitals, ASCs, clinics, behavioral health, HHAs, hospice, LTC, urgent care, imaging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Health Depts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Continuous — updated via state regulation and legislation</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health department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Medicare/Medicaid Certification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certification for program participation; survey process; deficiency correction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State Survey Agencies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Survey protocols updated every 2–3 yrs; Interpretive Guidelines updated ongoing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cms.gov/medicare/provider-enrollment-and-certification</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Certificate of Need (CON) Programs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35+ states require CON for new facilities, capital expenditures, beds, new services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Health Planning</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Active reform area; some states repealing, others strengthening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ncsl.org/health/certificate-of-need-state-health-laws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Corporate Practice of Medicine Doctrine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prohibitions on corporate employment of physicians or control of clinical decisions; MSO structures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Medical Boards / Courts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Evolves via case law and AG opinions; varies dramatically by state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medical board; state AG opinions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Fee-Splitting Prohibitions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Restrictions on dividing fees with non-licensed persons; impact on practice management</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State Medical Boards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Updated via state statute and medical board rules</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Each state medical board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Nonprofit Healthcare Governance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requirements for nonprofit hospital boards; fiduciary duties; conflicts; AG oversight of conversions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State AGs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Growing AG scrutiny of nonprofit hospital transactions and governance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Each state AG office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Medical Staff Bylaws &amp; Self-Governance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CoP organized medical staff; bylaws; fair hearing/appeal; peer review protections (HCQIA)</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HCQIA (1986) stable; CMS CoPs updated every 3–5 yrs; state peer review protections vary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 npdb.hrsa.gov/resources/aboutHcqia.jsp</w:t>
            </w:r>
          </w:p>
        </w:tc>
      </w:tr>
    </w:tbl>
    <w:p>
      <w:r>
        <w:br w:type="page"/>
      </w:r>
    </w:p>
    <w:p>
      <w:pPr>
        <w:pStyle w:val="Heading1"/>
        <w:spacing w:after="120" w:before="360"/>
      </w:pPr>
      <w:r>
        <w:rPr>
          <w:rFonts w:ascii="Arial" w:cs="Arial" w:eastAsia="Arial" w:hAnsi="Arial"/>
          <w:b/>
          <w:bCs/>
          <w:color w:val="1B3A5C"/>
          <w:sz w:val="28"/>
          <w:szCs w:val="28"/>
        </w:rPr>
        <w:t xml:space="preserve">25. Emerging &amp; Specialized Regulatory Areas</w:t>
      </w:r>
    </w:p>
    <w:p>
      <w:pPr>
        <w:spacing w:after="80"/>
      </w:pPr>
      <w:r>
        <w:rPr>
          <w:rFonts w:ascii="Arial" w:cs="Arial" w:eastAsia="Arial" w:hAnsi="Arial"/>
          <w:i/>
          <w:iCs/>
          <w:color w:val="555555"/>
          <w:sz w:val="16"/>
          <w:szCs w:val="16"/>
        </w:rPr>
        <w:t xml:space="preserve">Newer or niche regulatory areas increasingly relevant to healthcare compliance.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0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Policy / Regulation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Description / Scope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Enforcing Agency</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State Variance</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Update Frequency</w:t>
            </w:r>
          </w:p>
        </w:tc>
        <w:tc>
          <w:tcPr>
            <w:tcW w:type="dxa" w:w="47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r>
              <w:rPr>
                <w:rFonts w:ascii="Arial" w:cs="Arial" w:eastAsia="Arial" w:hAnsi="Arial"/>
                <w:b/>
                <w:bCs/>
                <w:color w:val="FFFFFF"/>
                <w:sz w:val="15"/>
                <w:szCs w:val="15"/>
              </w:rPr>
              <w:t xml:space="preserve">Authoritative Sources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AI &amp; Algorithmic Decision-Making</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SaMD framework; CMS coverage of AI diagnostics; state AI transparency/bias laws; liability</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 CMS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Extremely active — FDA guidance, state laws, and EU AI Act developments continuously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fda.gov/medical-devices/software-medical-device-samd; each state legislature; ai.gov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Social Determinants of Health (SDOH) Data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SDOH screening (Z-codes); ONC USCDI SDOH elements; privacy considerations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 / ONC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USCDI SDOH elements expanding annually; CMS guidance periodic</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cms.gov/priorities/health-equity; healthit.gov/isa/uscdi</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Health Equity Compliance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health equity initiatives; accreditation standards; disparities reporting; cultural competency</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 Accreditors</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 health equity framework 2022; accreditor requirements expanding</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cms.gov/priorities/health-equity; jointcommission.org/resources/health-equity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Cannabis / Medical Marijuana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Schedule I vs. state programs; employer testing conflicts; patient accommodations; banking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scheduling review underway; state programs update continuously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deadiversion.usdoj.gov; each state cannabis regulatory agency; ncsl.org/health/state-medical-cannabis-laws</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Genomic Medicine &amp; Precision Health</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Genetic testing (CLIA, FDA); genetic counseling licensure; GINA; genetic data privacy; DTC testing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 CLIA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oversight evolving; state genetic privacy laws expanding; GINA stable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fda.gov/medical-devices/in-vitro-diagnostics/direct-consumer-tests; genome.gov</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Clinical Decision Support (CDS) Exemptions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21st Century Cures CDS exemptions from device regulation; four-criteria test; locked vs. adaptive CDS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Low/None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guidance finalized 2022; updates as technology evolves</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fda.gov/regulatory-information/search-fda-guidance-documents/clinical-decision-support-software</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Autonomous &amp; Robotic Surgery Systems</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clearance; credentialing for robotic procedures; facility requirements; reporting</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 State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 clearances ongoing; facility standards evolving with technology</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fda.gov/medical-devices; each state health dept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Right to Try Act (21 U.S.C. § 360bbb-0a)</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Patient access to investigational drugs outside trials; eligibility; manufacturer reporting; state laws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 / State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Federal law enacted 2018; state laws enacted 2014–2018; relatively stable now</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fda.gov/patients/learn-about-expanded-access-and-other-treatment-options/right-try</w:t>
            </w:r>
          </w:p>
        </w:tc>
      </w:tr>
      <w:tr>
        <w:tc>
          <w:tcPr>
            <w:tcW w:type="dxa" w:w="2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b/>
                <w:bCs/>
                <w:sz w:val="14"/>
                <w:szCs w:val="14"/>
              </w:rPr>
              <w:t xml:space="preserve">Interstate Practice &amp; Multi-State Compliance</w:t>
            </w:r>
          </w:p>
        </w:tc>
        <w:tc>
          <w:tcPr>
            <w:tcW w:type="dxa" w:w="26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Challenges of multi-state operations; varying licensure, scope, mandates, privacy laws; compacts</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Multiple</w:t>
            </w:r>
          </w:p>
        </w:tc>
        <w:tc>
          <w:tcPr>
            <w:tcW w:type="dxa" w:w="10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High</w:t>
            </w:r>
          </w:p>
        </w:tc>
        <w:tc>
          <w:tcPr>
            <w:tcW w:type="dxa" w:w="120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Continuous — each state has independent update cycle</w:t>
            </w:r>
          </w:p>
        </w:tc>
        <w:tc>
          <w:tcPr>
            <w:tcW w:type="dxa" w:w="4760"/>
            <w:tcBorders>
              <w:top w:val="single" w:color="CCCCCC" w:sz="1"/>
              <w:left w:val="single" w:color="CCCCCC" w:sz="1"/>
              <w:bottom w:val="single" w:color="CCCCCC" w:sz="1"/>
              <w:right w:val="single" w:color="CCCCCC" w:sz="1"/>
            </w:tcBorders>
            <w:shd w:fill="F5F8FB" w:val="clear"/>
            <w:tcMar>
              <w:top w:type="dxa" w:w="50"/>
              <w:left w:type="dxa" w:w="80"/>
              <w:bottom w:type="dxa" w:w="50"/>
              <w:right w:type="dxa" w:w="80"/>
            </w:tcMar>
          </w:tcPr>
          <w:p>
            <w:pPr>
              <w:spacing w:after="0"/>
            </w:pPr>
            <w:r>
              <w:rPr>
                <w:rFonts w:ascii="Arial" w:cs="Arial" w:eastAsia="Arial" w:hAnsi="Arial"/>
                <w:sz w:val="14"/>
                <w:szCs w:val="14"/>
              </w:rPr>
              <w:t xml:space="preserve">imlcc.org; ncsbn.org; cchpca.org; each state legislature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Environmental Sustainability Reporting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Emerging requirements for healthcare carbon footprint, sustainable procurement, environmental impact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EPA / State / Voluntary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Moderate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Voluntary frameworks evolving; some state mandates emerging</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epa.gov; practicegreenhealth.org; jointcommission.org</w:t>
            </w:r>
          </w:p>
        </w:tc>
      </w:tr>
    </w:tbl>
    <w:p>
      <w:pPr>
        <w:spacing w:before="400"/>
      </w:pPr>
    </w:p>
    <w:p>
      <w:pPr>
        <w:pBdr>
          <w:top w:val="single" w:color="1B3A5C" w:sz="2" w:space="1"/>
        </w:pBdr>
        <w:spacing w:after="100" w:before="200"/>
      </w:pPr>
      <w:r>
        <w:rPr>
          <w:rFonts w:ascii="Arial" w:cs="Arial" w:eastAsia="Arial" w:hAnsi="Arial"/>
          <w:b/>
          <w:bCs/>
          <w:color w:val="1B3A5C"/>
          <w:sz w:val="20"/>
          <w:szCs w:val="20"/>
        </w:rPr>
        <w:t xml:space="preserve">TOTAL: 25 Categories | 200+ Distinct Regulatory Frameworks | 6 Dimensions Per Entry</w:t>
      </w:r>
    </w:p>
    <w:p>
      <w:pPr>
        <w:spacing w:after="80"/>
      </w:pPr>
      <w:r>
        <w:rPr>
          <w:rFonts w:ascii="Arial" w:cs="Arial" w:eastAsia="Arial" w:hAnsi="Arial"/>
          <w:i/>
          <w:iCs/>
          <w:color w:val="555555"/>
          <w:sz w:val="16"/>
          <w:szCs w:val="16"/>
        </w:rPr>
        <w:t xml:space="preserve">This document represents the most comprehensive inventory of U.S. healthcare compliance requirements as of March 2026. Each entry marked "High" in State Variance requires jurisdiction-by-jurisdiction research across all 50 states, DC, and U.S. territories. The "Update Frequency" column tells you how often to re-check each source. The "Authoritative Sources" column provides the primary official websites for current policy text. For your compliance software, we recommend building automated monitoring of the Federal Register (federalregister.gov), state legislative tracking services (e.g., legiscan.com, westlaw.com), and the enforcement action pages of key agencies (OIG, OCR, CMS, DOJ, FTC).</w:t>
      </w:r>
    </w:p>
    <w:sectPr>
      <w:headerReference w:type="default" r:id="rId7"/>
      <w:foot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U.S. Medical Compliance Policy Reference — Exhaustive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2026-03-10T07:17:47.916Z</dcterms:created>
  <dcterms:modified xsi:type="dcterms:W3CDTF">2026-03-10T07:17:47.919Z</dcterms:modified>
</cp:coreProperties>
</file>

<file path=docProps/custom.xml><?xml version="1.0" encoding="utf-8"?>
<Properties xmlns="http://schemas.openxmlformats.org/officeDocument/2006/custom-properties" xmlns:vt="http://schemas.openxmlformats.org/officeDocument/2006/docPropsVTypes"/>
</file>