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Том 1 — Общие положения (v2)</w:t>
      </w:r>
    </w:p>
    <w:p>
      <w:pPr>
        <w:pStyle w:val="Heading2"/>
      </w:pPr>
      <w:r>
        <w:t>7. Заинтересованные стороны</w:t>
      </w:r>
    </w:p>
    <w:p>
      <w:r>
        <w:br/>
        <w:t>• Министерство транспорта</w:t>
        <w:br/>
        <w:t>• Контролирующие органы</w:t>
        <w:br/>
        <w:t>• Государственные предприятия</w:t>
        <w:br/>
        <w:t>• Юридические лица</w:t>
        <w:br/>
        <w:t>• Индивидуальные предприниматели</w:t>
        <w:br/>
        <w:t>• Водители</w:t>
        <w:br/>
        <w:t>• Диспетчеры</w:t>
        <w:br/>
        <w:t>• Механики</w:t>
        <w:br/>
        <w:t>• Медицинские работники</w:t>
        <w:br/>
        <w:t>• Интегрируемые государственные информационные системы</w:t>
        <w:br/>
      </w:r>
    </w:p>
    <w:p>
      <w:pPr>
        <w:pStyle w:val="Heading2"/>
      </w:pPr>
      <w:r>
        <w:t>8. Основные требования</w:t>
      </w:r>
    </w:p>
    <w:p>
      <w:pPr>
        <w:pStyle w:val="ListBullet"/>
      </w:pPr>
      <w:r>
        <w:t>Единая государственная платформа</w:t>
      </w:r>
    </w:p>
    <w:p>
      <w:pPr>
        <w:pStyle w:val="ListBullet"/>
      </w:pPr>
      <w:r>
        <w:t>Работа 24×7×365</w:t>
      </w:r>
    </w:p>
    <w:p>
      <w:pPr>
        <w:pStyle w:val="ListBullet"/>
      </w:pPr>
      <w:r>
        <w:t>Микросервисная архитектура</w:t>
      </w:r>
    </w:p>
    <w:p>
      <w:pPr>
        <w:pStyle w:val="ListBullet"/>
      </w:pPr>
      <w:r>
        <w:t>SSO и многофакторная аутентификация</w:t>
      </w:r>
    </w:p>
    <w:p>
      <w:pPr>
        <w:pStyle w:val="ListBullet"/>
      </w:pPr>
      <w:r>
        <w:t>Юридически значимая электронная подпись</w:t>
      </w:r>
    </w:p>
    <w:p>
      <w:pPr>
        <w:pStyle w:val="ListBullet"/>
      </w:pPr>
      <w:r>
        <w:t>Полный аудит всех действий</w:t>
      </w:r>
    </w:p>
    <w:p>
      <w:pPr>
        <w:pStyle w:val="ListBullet"/>
      </w:pPr>
      <w:r>
        <w:t>Мультиязычность</w:t>
      </w:r>
    </w:p>
    <w:p>
      <w:pPr>
        <w:pStyle w:val="ListBullet"/>
      </w:pPr>
      <w:r>
        <w:t>Web + Mobile + API</w:t>
      </w:r>
    </w:p>
    <w:p>
      <w:pPr>
        <w:pStyle w:val="ListBullet"/>
      </w:pPr>
      <w:r>
        <w:t>Высокая доступность</w:t>
      </w:r>
    </w:p>
    <w:p>
      <w:pPr>
        <w:pStyle w:val="ListBullet"/>
      </w:pPr>
      <w:r>
        <w:t>Горизонтальное масштабирование</w:t>
      </w:r>
    </w:p>
    <w:p>
      <w:pPr>
        <w:pStyle w:val="Heading2"/>
      </w:pPr>
      <w:r>
        <w:t>9. Нефункциональные требования</w:t>
      </w:r>
    </w:p>
    <w:p>
      <w:r>
        <w:t>Доступность не ниже 99.95%.</w:t>
      </w:r>
    </w:p>
    <w:p>
      <w:r>
        <w:t>Поддержка миллионов пользователей и сотен тысяч одновременных сессий.</w:t>
      </w:r>
    </w:p>
    <w:p>
      <w:r>
        <w:t>Время отклика большинства операций — до 2 секунд.</w:t>
      </w:r>
    </w:p>
    <w:p>
      <w:r>
        <w:t>Полное журналирование и трассировка операций.</w:t>
      </w:r>
    </w:p>
    <w:p>
      <w:r>
        <w:t>Резервное копирование и аварийное восстановление.</w:t>
      </w:r>
    </w:p>
    <w:p>
      <w:pPr>
        <w:pStyle w:val="Heading2"/>
      </w:pPr>
      <w:r>
        <w:t>10. Следующие главы</w:t>
      </w:r>
    </w:p>
    <w:p>
      <w:r>
        <w:t>Следующие версии будут содержать законодательную базу, детальные требования, терминологию, BPMN, бизнес-правила, сценарии использования и полную инженерную спецификацию.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