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Том 1 — Общие положения (v3)</w:t>
      </w:r>
    </w:p>
    <w:p>
      <w:pPr>
        <w:pStyle w:val="Heading2"/>
      </w:pPr>
      <w:r>
        <w:t>11. Термины и определения</w:t>
      </w:r>
    </w:p>
    <w:p>
      <w:pPr>
        <w:pStyle w:val="ListBullet"/>
      </w:pPr>
      <w:r>
        <w:t>Путевой лист — юридически значимый электронный документ, сопровождающий выполнение рейса.</w:t>
      </w:r>
    </w:p>
    <w:p>
      <w:pPr>
        <w:pStyle w:val="ListBullet"/>
      </w:pPr>
      <w:r>
        <w:t>Рейс — завершенный цикл выполнения транспортной задачи.</w:t>
      </w:r>
    </w:p>
    <w:p>
      <w:pPr>
        <w:pStyle w:val="ListBullet"/>
      </w:pPr>
      <w:r>
        <w:t>ЭПЛ — электронный путевой лист.</w:t>
      </w:r>
    </w:p>
    <w:p>
      <w:pPr>
        <w:pStyle w:val="ListBullet"/>
      </w:pPr>
      <w:r>
        <w:t>Организация — юридическое лицо или ИП, эксплуатирующее транспорт.</w:t>
      </w:r>
    </w:p>
    <w:p>
      <w:pPr>
        <w:pStyle w:val="ListBullet"/>
      </w:pPr>
      <w:r>
        <w:t>Жизненный цикл ЭПЛ — последовательность состояний документа от создания до архивирования.</w:t>
      </w:r>
    </w:p>
    <w:p>
      <w:pPr>
        <w:pStyle w:val="Heading2"/>
      </w:pPr>
      <w:r>
        <w:t>12. Принципы построения системы</w:t>
      </w:r>
    </w:p>
    <w:p>
      <w:pPr>
        <w:pStyle w:val="ListBullet"/>
      </w:pPr>
      <w:r>
        <w:t>Единая государственная платформа.</w:t>
      </w:r>
    </w:p>
    <w:p>
      <w:pPr>
        <w:pStyle w:val="ListBullet"/>
      </w:pPr>
      <w:r>
        <w:t>Единые справочники и классификаторы.</w:t>
      </w:r>
    </w:p>
    <w:p>
      <w:pPr>
        <w:pStyle w:val="ListBullet"/>
      </w:pPr>
      <w:r>
        <w:t>Повторное использование данных (Once Only Principle).</w:t>
      </w:r>
    </w:p>
    <w:p>
      <w:pPr>
        <w:pStyle w:val="ListBullet"/>
      </w:pPr>
      <w:r>
        <w:t>API First и интеграция со всеми государственными ИС.</w:t>
      </w:r>
    </w:p>
    <w:p>
      <w:pPr>
        <w:pStyle w:val="ListBullet"/>
      </w:pPr>
      <w:r>
        <w:t>Полная прослеживаемость операций.</w:t>
      </w:r>
    </w:p>
    <w:p>
      <w:pPr>
        <w:pStyle w:val="Heading2"/>
      </w:pPr>
      <w:r>
        <w:t>13. Ключевые показатели</w:t>
      </w:r>
    </w:p>
    <w:p>
      <w:pPr>
        <w:pStyle w:val="ListBullet"/>
      </w:pPr>
      <w:r>
        <w:t>Доступность: не менее 99.95%.</w:t>
      </w:r>
    </w:p>
    <w:p>
      <w:pPr>
        <w:pStyle w:val="ListBullet"/>
      </w:pPr>
      <w:r>
        <w:t>Поддержка более 1 000 000 пользователей ежедневно.</w:t>
      </w:r>
    </w:p>
    <w:p>
      <w:pPr>
        <w:pStyle w:val="ListBullet"/>
      </w:pPr>
      <w:r>
        <w:t>Горизонтальное масштабирование.</w:t>
      </w:r>
    </w:p>
    <w:p>
      <w:pPr>
        <w:pStyle w:val="ListBullet"/>
      </w:pPr>
      <w:r>
        <w:t>Полный аудит действий пользователей.</w:t>
      </w:r>
    </w:p>
    <w:p>
      <w:pPr>
        <w:pStyle w:val="ListBullet"/>
      </w:pPr>
      <w:r>
        <w:t>Юридическая значимость документов.</w:t>
      </w:r>
    </w:p>
    <w:p>
      <w:pPr>
        <w:pStyle w:val="Heading2"/>
      </w:pPr>
      <w:r>
        <w:t>14. Основные домены системы</w:t>
      </w:r>
    </w:p>
    <w:p>
      <w:pPr>
        <w:pStyle w:val="ListBullet"/>
      </w:pPr>
      <w:r>
        <w:t>Пользователи</w:t>
      </w:r>
    </w:p>
    <w:p>
      <w:pPr>
        <w:pStyle w:val="ListBullet"/>
      </w:pPr>
      <w:r>
        <w:t>Организации</w:t>
      </w:r>
    </w:p>
    <w:p>
      <w:pPr>
        <w:pStyle w:val="ListBullet"/>
      </w:pPr>
      <w:r>
        <w:t>Водители</w:t>
      </w:r>
    </w:p>
    <w:p>
      <w:pPr>
        <w:pStyle w:val="ListBullet"/>
      </w:pPr>
      <w:r>
        <w:t>Транспортные средства</w:t>
      </w:r>
    </w:p>
    <w:p>
      <w:pPr>
        <w:pStyle w:val="ListBullet"/>
      </w:pPr>
      <w:r>
        <w:t>Путевые листы</w:t>
      </w:r>
    </w:p>
    <w:p>
      <w:pPr>
        <w:pStyle w:val="ListBullet"/>
      </w:pPr>
      <w:r>
        <w:t>Медицинские осмотры</w:t>
      </w:r>
    </w:p>
    <w:p>
      <w:pPr>
        <w:pStyle w:val="ListBullet"/>
      </w:pPr>
      <w:r>
        <w:t>Технические осмотры</w:t>
      </w:r>
    </w:p>
    <w:p>
      <w:pPr>
        <w:pStyle w:val="ListBullet"/>
      </w:pPr>
      <w:r>
        <w:t>Маршруты</w:t>
      </w:r>
    </w:p>
    <w:p>
      <w:pPr>
        <w:pStyle w:val="ListBullet"/>
      </w:pPr>
      <w:r>
        <w:t>GPS</w:t>
      </w:r>
    </w:p>
    <w:p>
      <w:pPr>
        <w:pStyle w:val="ListBullet"/>
      </w:pPr>
      <w:r>
        <w:t>Интеграции</w:t>
      </w:r>
    </w:p>
    <w:p>
      <w:pPr>
        <w:pStyle w:val="ListBullet"/>
      </w:pPr>
      <w:r>
        <w:t>Отчеты</w:t>
      </w:r>
    </w:p>
    <w:p>
      <w:pPr>
        <w:pStyle w:val="ListBullet"/>
      </w:pPr>
      <w:r>
        <w:t>Архив</w:t>
      </w:r>
    </w:p>
    <w:p>
      <w:pPr>
        <w:pStyle w:val="ListBullet"/>
      </w:pPr>
      <w:r>
        <w:t>Аудит</w:t>
      </w:r>
    </w:p>
    <w:p>
      <w:pPr>
        <w:pStyle w:val="Heading2"/>
      </w:pPr>
      <w:r>
        <w:t>15. План дальнейшей детализации</w:t>
      </w:r>
    </w:p>
    <w:p>
      <w:pPr>
        <w:pStyle w:val="ListBullet"/>
      </w:pPr>
      <w:r>
        <w:t>Следующие версии документа будут содержать детальное описание требований, BPMN, UML, бизнес-правил, ролей, экранов, API, модели данных, интеграций, безопасности, DevSecOps и тестирования.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