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Yens Thai Ice Cream</w:t>
        <w:br/>
        <w:t>FY2025–FY2029 Financial Forecast</w:t>
      </w:r>
    </w:p>
    <w:p>
      <w:r>
        <w:t>Basis:</w:t>
        <w:br/>
        <w:t>- FY2025 actual sales (Jan–25 Dec 2025)</w:t>
        <w:br/>
        <w:t>- Revenue growth at 20% year on year</w:t>
        <w:br/>
        <w:t>- Direct costs scale with revenue</w:t>
        <w:br/>
        <w:t>- Staff costs inflated at 5% annually</w:t>
        <w:br/>
        <w:t>- Other operating costs held flat</w:t>
        <w:br/>
      </w:r>
    </w:p>
    <w:p>
      <w:pPr>
        <w:pStyle w:val="Heading2"/>
      </w:pPr>
      <w:r>
        <w:t>Revenue Forecast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FY2025</w:t>
            </w:r>
          </w:p>
        </w:tc>
        <w:tc>
          <w:tcPr>
            <w:tcW w:type="dxa" w:w="1440"/>
          </w:tcPr>
          <w:p>
            <w:r>
              <w:t>FY2026</w:t>
            </w:r>
          </w:p>
        </w:tc>
        <w:tc>
          <w:tcPr>
            <w:tcW w:type="dxa" w:w="1440"/>
          </w:tcPr>
          <w:p>
            <w:r>
              <w:t>FY2027</w:t>
            </w:r>
          </w:p>
        </w:tc>
        <w:tc>
          <w:tcPr>
            <w:tcW w:type="dxa" w:w="1440"/>
          </w:tcPr>
          <w:p>
            <w:r>
              <w:t>FY2028</w:t>
            </w:r>
          </w:p>
        </w:tc>
        <w:tc>
          <w:tcPr>
            <w:tcW w:type="dxa" w:w="1440"/>
          </w:tcPr>
          <w:p>
            <w:r>
              <w:t>FY2029</w:t>
            </w:r>
          </w:p>
        </w:tc>
      </w:tr>
      <w:tr>
        <w:tc>
          <w:tcPr>
            <w:tcW w:type="dxa" w:w="1440"/>
          </w:tcPr>
          <w:p>
            <w:r>
              <w:t>Revenue (THB)</w:t>
            </w:r>
          </w:p>
        </w:tc>
        <w:tc>
          <w:tcPr>
            <w:tcW w:type="dxa" w:w="1440"/>
          </w:tcPr>
          <w:p>
            <w:r>
              <w:t>1,443,357</w:t>
            </w:r>
          </w:p>
        </w:tc>
        <w:tc>
          <w:tcPr>
            <w:tcW w:type="dxa" w:w="1440"/>
          </w:tcPr>
          <w:p>
            <w:r>
              <w:t>1,732,028</w:t>
            </w:r>
          </w:p>
        </w:tc>
        <w:tc>
          <w:tcPr>
            <w:tcW w:type="dxa" w:w="1440"/>
          </w:tcPr>
          <w:p>
            <w:r>
              <w:t>2,078,433</w:t>
            </w:r>
          </w:p>
        </w:tc>
        <w:tc>
          <w:tcPr>
            <w:tcW w:type="dxa" w:w="1440"/>
          </w:tcPr>
          <w:p>
            <w:r>
              <w:t>2,494,119</w:t>
            </w:r>
          </w:p>
        </w:tc>
        <w:tc>
          <w:tcPr>
            <w:tcW w:type="dxa" w:w="1440"/>
          </w:tcPr>
          <w:p>
            <w:r>
              <w:t>2,992,942</w:t>
            </w:r>
          </w:p>
        </w:tc>
      </w:tr>
    </w:tbl>
    <w:p>
      <w:pPr>
        <w:pStyle w:val="Heading2"/>
      </w:pPr>
      <w:r>
        <w:t>Projected Profit &amp; Loss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THB</w:t>
            </w:r>
          </w:p>
        </w:tc>
        <w:tc>
          <w:tcPr>
            <w:tcW w:type="dxa" w:w="1440"/>
          </w:tcPr>
          <w:p>
            <w:r>
              <w:t>FY2025</w:t>
            </w:r>
          </w:p>
        </w:tc>
        <w:tc>
          <w:tcPr>
            <w:tcW w:type="dxa" w:w="1440"/>
          </w:tcPr>
          <w:p>
            <w:r>
              <w:t>FY2026</w:t>
            </w:r>
          </w:p>
        </w:tc>
        <w:tc>
          <w:tcPr>
            <w:tcW w:type="dxa" w:w="1440"/>
          </w:tcPr>
          <w:p>
            <w:r>
              <w:t>FY2027</w:t>
            </w:r>
          </w:p>
        </w:tc>
        <w:tc>
          <w:tcPr>
            <w:tcW w:type="dxa" w:w="1440"/>
          </w:tcPr>
          <w:p>
            <w:r>
              <w:t>FY2028</w:t>
            </w:r>
          </w:p>
        </w:tc>
        <w:tc>
          <w:tcPr>
            <w:tcW w:type="dxa" w:w="1440"/>
          </w:tcPr>
          <w:p>
            <w:r>
              <w:t>FY2029</w:t>
            </w:r>
          </w:p>
        </w:tc>
      </w:tr>
      <w:tr>
        <w:tc>
          <w:tcPr>
            <w:tcW w:type="dxa" w:w="1440"/>
          </w:tcPr>
          <w:p>
            <w:r>
              <w:t>Revenue</w:t>
            </w:r>
          </w:p>
        </w:tc>
        <w:tc>
          <w:tcPr>
            <w:tcW w:type="dxa" w:w="1440"/>
          </w:tcPr>
          <w:p>
            <w:r>
              <w:t>1,443,357</w:t>
            </w:r>
          </w:p>
        </w:tc>
        <w:tc>
          <w:tcPr>
            <w:tcW w:type="dxa" w:w="1440"/>
          </w:tcPr>
          <w:p>
            <w:r>
              <w:t>1,732,028</w:t>
            </w:r>
          </w:p>
        </w:tc>
        <w:tc>
          <w:tcPr>
            <w:tcW w:type="dxa" w:w="1440"/>
          </w:tcPr>
          <w:p>
            <w:r>
              <w:t>2,078,433</w:t>
            </w:r>
          </w:p>
        </w:tc>
        <w:tc>
          <w:tcPr>
            <w:tcW w:type="dxa" w:w="1440"/>
          </w:tcPr>
          <w:p>
            <w:r>
              <w:t>2,494,119</w:t>
            </w:r>
          </w:p>
        </w:tc>
        <w:tc>
          <w:tcPr>
            <w:tcW w:type="dxa" w:w="1440"/>
          </w:tcPr>
          <w:p>
            <w:r>
              <w:t>2,992,942</w:t>
            </w:r>
          </w:p>
        </w:tc>
      </w:tr>
      <w:tr>
        <w:tc>
          <w:tcPr>
            <w:tcW w:type="dxa" w:w="1440"/>
          </w:tcPr>
          <w:p>
            <w:r>
              <w:t>Direct Costs (COGS)</w:t>
            </w:r>
          </w:p>
        </w:tc>
        <w:tc>
          <w:tcPr>
            <w:tcW w:type="dxa" w:w="1440"/>
          </w:tcPr>
          <w:p>
            <w:r>
              <w:t>29,285</w:t>
            </w:r>
          </w:p>
        </w:tc>
        <w:tc>
          <w:tcPr>
            <w:tcW w:type="dxa" w:w="1440"/>
          </w:tcPr>
          <w:p>
            <w:r>
              <w:t>35,142</w:t>
            </w:r>
          </w:p>
        </w:tc>
        <w:tc>
          <w:tcPr>
            <w:tcW w:type="dxa" w:w="1440"/>
          </w:tcPr>
          <w:p>
            <w:r>
              <w:t>42,171</w:t>
            </w:r>
          </w:p>
        </w:tc>
        <w:tc>
          <w:tcPr>
            <w:tcW w:type="dxa" w:w="1440"/>
          </w:tcPr>
          <w:p>
            <w:r>
              <w:t>50,605</w:t>
            </w:r>
          </w:p>
        </w:tc>
        <w:tc>
          <w:tcPr>
            <w:tcW w:type="dxa" w:w="1440"/>
          </w:tcPr>
          <w:p>
            <w:r>
              <w:t>60,726</w:t>
            </w:r>
          </w:p>
        </w:tc>
      </w:tr>
      <w:tr>
        <w:tc>
          <w:tcPr>
            <w:tcW w:type="dxa" w:w="1440"/>
          </w:tcPr>
          <w:p>
            <w:r>
              <w:t>Gross Profit</w:t>
            </w:r>
          </w:p>
        </w:tc>
        <w:tc>
          <w:tcPr>
            <w:tcW w:type="dxa" w:w="1440"/>
          </w:tcPr>
          <w:p>
            <w:r>
              <w:t>1,414,072</w:t>
            </w:r>
          </w:p>
        </w:tc>
        <w:tc>
          <w:tcPr>
            <w:tcW w:type="dxa" w:w="1440"/>
          </w:tcPr>
          <w:p>
            <w:r>
              <w:t>1,696,886</w:t>
            </w:r>
          </w:p>
        </w:tc>
        <w:tc>
          <w:tcPr>
            <w:tcW w:type="dxa" w:w="1440"/>
          </w:tcPr>
          <w:p>
            <w:r>
              <w:t>2,036,262</w:t>
            </w:r>
          </w:p>
        </w:tc>
        <w:tc>
          <w:tcPr>
            <w:tcW w:type="dxa" w:w="1440"/>
          </w:tcPr>
          <w:p>
            <w:r>
              <w:t>2,443,514</w:t>
            </w:r>
          </w:p>
        </w:tc>
        <w:tc>
          <w:tcPr>
            <w:tcW w:type="dxa" w:w="1440"/>
          </w:tcPr>
          <w:p>
            <w:r>
              <w:t>2,932,216</w:t>
            </w:r>
          </w:p>
        </w:tc>
      </w:tr>
      <w:tr>
        <w:tc>
          <w:tcPr>
            <w:tcW w:type="dxa" w:w="1440"/>
          </w:tcPr>
          <w:p>
            <w:r>
              <w:t>Staff Costs</w:t>
            </w:r>
          </w:p>
        </w:tc>
        <w:tc>
          <w:tcPr>
            <w:tcW w:type="dxa" w:w="1440"/>
          </w:tcPr>
          <w:p>
            <w:r>
              <w:t>1,300,000</w:t>
            </w:r>
          </w:p>
        </w:tc>
        <w:tc>
          <w:tcPr>
            <w:tcW w:type="dxa" w:w="1440"/>
          </w:tcPr>
          <w:p>
            <w:r>
              <w:t>1,365,000</w:t>
            </w:r>
          </w:p>
        </w:tc>
        <w:tc>
          <w:tcPr>
            <w:tcW w:type="dxa" w:w="1440"/>
          </w:tcPr>
          <w:p>
            <w:r>
              <w:t>1,433,250</w:t>
            </w:r>
          </w:p>
        </w:tc>
        <w:tc>
          <w:tcPr>
            <w:tcW w:type="dxa" w:w="1440"/>
          </w:tcPr>
          <w:p>
            <w:r>
              <w:t>1,504,912</w:t>
            </w:r>
          </w:p>
        </w:tc>
        <w:tc>
          <w:tcPr>
            <w:tcW w:type="dxa" w:w="1440"/>
          </w:tcPr>
          <w:p>
            <w:r>
              <w:t>1,580,157</w:t>
            </w:r>
          </w:p>
        </w:tc>
      </w:tr>
      <w:tr>
        <w:tc>
          <w:tcPr>
            <w:tcW w:type="dxa" w:w="1440"/>
          </w:tcPr>
          <w:p>
            <w:r>
              <w:t>Other Operating Costs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</w:tr>
      <w:tr>
        <w:tc>
          <w:tcPr>
            <w:tcW w:type="dxa" w:w="1440"/>
          </w:tcPr>
          <w:p>
            <w:r>
              <w:t>Operating Profit / (Loss)</w:t>
            </w:r>
          </w:p>
        </w:tc>
        <w:tc>
          <w:tcPr>
            <w:tcW w:type="dxa" w:w="1440"/>
          </w:tcPr>
          <w:p>
            <w:r>
              <w:t>14,072</w:t>
            </w:r>
          </w:p>
        </w:tc>
        <w:tc>
          <w:tcPr>
            <w:tcW w:type="dxa" w:w="1440"/>
          </w:tcPr>
          <w:p>
            <w:r>
              <w:t>231,886</w:t>
            </w:r>
          </w:p>
        </w:tc>
        <w:tc>
          <w:tcPr>
            <w:tcW w:type="dxa" w:w="1440"/>
          </w:tcPr>
          <w:p>
            <w:r>
              <w:t>503,012</w:t>
            </w:r>
          </w:p>
        </w:tc>
        <w:tc>
          <w:tcPr>
            <w:tcW w:type="dxa" w:w="1440"/>
          </w:tcPr>
          <w:p>
            <w:r>
              <w:t>838,602</w:t>
            </w:r>
          </w:p>
        </w:tc>
        <w:tc>
          <w:tcPr>
            <w:tcW w:type="dxa" w:w="1440"/>
          </w:tcPr>
          <w:p>
            <w:r>
              <w:t>1,252,059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