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0F172A"/>
          <w:sz w:val="32"/>
        </w:rPr>
        <w:t>Receptor-Directed Deep Learning Ensemble with Interpretable Mechanisms for Multi-Target Alzheimer's Drug Discovery: Targeting AChE, BACE1, and GSK-3β Inhibitors</w:t>
      </w:r>
    </w:p>
    <w:p>
      <w:r/>
      <w:r>
        <w:rPr>
          <w:b/>
        </w:rPr>
        <w:t>RUNNING TITLE:</w:t>
      </w:r>
      <w:r>
        <w:t xml:space="preserve"> Interpretable Ensemble Learning for Multi-Target Alzheimer's Therapeutics</w:t>
      </w:r>
    </w:p>
    <w:p>
      <w:pPr>
        <w:spacing w:before="80" w:after="80"/>
      </w:pPr>
    </w:p>
    <w:p>
      <w:pPr>
        <w:spacing w:before="200" w:after="80"/>
      </w:pPr>
      <w:r>
        <w:rPr>
          <w:rFonts w:ascii="Times New Roman" w:hAnsi="Times New Roman"/>
          <w:b/>
          <w:color w:val="1E293B"/>
          <w:sz w:val="27"/>
        </w:rPr>
        <w:t>AUTHOR INFORMATION</w:t>
      </w:r>
    </w:p>
    <w:p>
      <w:r/>
      <w:r>
        <w:rPr>
          <w:b/>
        </w:rPr>
        <w:t>Tajuddin Shaik¹,*, Saravanan Ravindiran², Anbuselvi S.³, M. Sudhakar⁴</w:t>
      </w:r>
      <w:r/>
    </w:p>
    <w:p>
      <w:r>
        <w:t>¹Research Scholar, Faculty of Pharmacy, Bharath Institute of Higher Education and Research, Chennai 600073, India</w:t>
      </w:r>
    </w:p>
    <w:p>
      <w:r>
        <w:t>²Professor &amp; Head, Faculty of Pharmacy, Bharath Institute of Higher Education and Research, Chennai 600073, India</w:t>
      </w:r>
    </w:p>
    <w:p>
      <w:r>
        <w:t>³Associate Professor, Faculty of Pharmacy, Bharath Institute of Higher Education and Research, Chennai 600073, India</w:t>
      </w:r>
    </w:p>
    <w:p>
      <w:r>
        <w:t>⁴Principal &amp; Professor, Malla Reddy College of Pharmacy, Hyderabad 500100, India</w:t>
      </w:r>
    </w:p>
    <w:p>
      <w:r/>
      <w:r>
        <w:rPr>
          <w:b/>
        </w:rPr>
        <w:t>Corresponding Author:</w:t>
      </w:r>
      <w:r>
        <w:t xml:space="preserve"> Tajuddin Shaik (tajo9128@gmail.com, ORCID: 0000-0002-XXXX-XXXX)</w:t>
      </w:r>
    </w:p>
    <w:p>
      <w:pPr>
        <w:spacing w:before="80" w:after="80"/>
      </w:pPr>
    </w:p>
    <w:p>
      <w:pPr>
        <w:spacing w:before="200" w:after="80"/>
      </w:pPr>
      <w:r>
        <w:rPr>
          <w:rFonts w:ascii="Times New Roman" w:hAnsi="Times New Roman"/>
          <w:b/>
          <w:color w:val="1E293B"/>
          <w:sz w:val="27"/>
        </w:rPr>
        <w:t>ABSTRACT</w:t>
      </w:r>
    </w:p>
    <w:p>
      <w:r>
        <w:t>Alzheimer's disease (AD) pathophysiology involves concurrent disruption of multiple biological pathways requiring multi-target directed ligands (MTDLs) simultaneously inhibiting acetylcholinesterase (AChE), beta-secretase 1 (BACE1), and glycogen synthase kinase-3β (GSK-3β). This study develops an integrated computational pharmacology framework combining receptor-directed drug design principles with interpretable deep learning ensemble methods to accelerate MTDL discovery.</w:t>
      </w:r>
    </w:p>
    <w:p>
      <w:r>
        <w:t>A stacked ensemble integrating three complementary neural architectures—MolFormer-XL (47 million parameters pretrained on 1.1 billion molecules), ChemBERTa-77M (77 million parameters), and Random Forest classifiers trained on learned embeddings—was constructed and fine-tuned on 10,134 multi-target bioactivity records aggregated from ChEMBL, BindingDB, PubChem, and MoleculeNet. Ensemble predictions were validated through SHAP (SHapley Additive exPlanations) analysis for mechanistic interpretability, molecular docking simulations against crystallographic protein structures (AChE: PDB 4EY7, BACE1: 5VCZ, GSK-3β: 1J1B), and 10-nanosecond molecular dynamics simulations confirming binding stability.</w:t>
      </w:r>
    </w:p>
    <w:p>
      <w:r>
        <w:t>The final stacked ensemble achieved 91.48% accuracy (area under the receiver operating characteristic curve [AUC-ROC] = 0.929) on held-out test set (n=1,014), substantially exceeding individual base model performance (86.79–88.86%, AUC-ROC 0.891–0.912) and published single-target baseline methods (81–85%). Stratified 5-fold cross-validation confirmed robust performance (mean accuracy 91.48% ± 0.45%, χ²=14.2, p&lt;0.001 vs. best individual model). Y-randomization testing (accuracy drop from 91.48% to 50.4% with shuffled labels) and applicability domain analysis (94% in-domain, 93.2% accuracy; 6% out-of-domain, 78.5% accuracy) validated that the model captures genuine structure-activity relationships, not random patterns.</w:t>
      </w:r>
    </w:p>
    <w:p>
      <w:r>
        <w:t>SHAP-derived structure-activity relationship analysis identified critical pharmacophoric elements: hydroxyl-substituted aromatic systems (+0.58 SHAP value) drive AChE inhibition through Ser203/Tyr337 hydrogen bonding, aromatic heterocycles (+0.34 SHAP) enable π-π stacking interactions, and peripheral features (+0.12 SHAP) tolerate structural variation. Computational validation via AutoDock Vina revealed binding free energies (ΔG) ranging from −9.1 to −10.2 kcal/mol for top-ranked lead candidates, with molecular dynamics simulations confirming stable protein-ligand complexes (RMSD plateau &lt;3 Å post-2ns equilibration). Persistent hydrogen bonding analysis (Tyr337 occupancy 82% across 10ns trajectory) validated SHAP-identified pharmacophores against experimental binding data for reference compounds (donepezil, rivastigmine, galantamine, verubecestat: 100% correct classification with 91.8–98.2% confidence).</w:t>
      </w:r>
    </w:p>
    <w:p>
      <w:r>
        <w:t>This receptor-directed ensemble framework reduces experimental screening burden 95% (from 10,134→~500 lead candidates) while providing mechanistically interpretable predictions aligned with known Alzheimer's target biochemistry. The framework is readily transferable across therapeutic areas and disease targets through domain-specific retraining (2–4 hours preparation, &lt;2 minutes computational training), facilitating rapid adaptation to novel pharmacological targets and patient populations with diverse multimorbidity patterns.</w:t>
      </w:r>
    </w:p>
    <w:p>
      <w:r/>
      <w:r>
        <w:rPr>
          <w:b/>
        </w:rPr>
        <w:t>KEYWORDS:</w:t>
      </w:r>
      <w:r>
        <w:t xml:space="preserve"> stacked ensemble learning, deep learning, SHAP interpretability, multi-target pharmacology, AChE inhibitors, BACE1 inhibitors, GSK-3β inhibitors, Alzheimer's disease, molecular docking, molecular dynamics simulations, computational drug discovery, precision medicine, machine learning validation</w:t>
      </w:r>
    </w:p>
    <w:p>
      <w:pPr>
        <w:spacing w:before="80" w:after="80"/>
      </w:pPr>
    </w:p>
    <w:p>
      <w:pPr>
        <w:spacing w:before="200" w:after="80"/>
      </w:pPr>
      <w:r>
        <w:rPr>
          <w:rFonts w:ascii="Times New Roman" w:hAnsi="Times New Roman"/>
          <w:b/>
          <w:color w:val="1E293B"/>
          <w:sz w:val="27"/>
        </w:rPr>
        <w:t>1. INTRODUCTION</w:t>
      </w:r>
    </w:p>
    <w:p>
      <w:pPr>
        <w:spacing w:before="120" w:after="40"/>
      </w:pPr>
      <w:r>
        <w:rPr>
          <w:rFonts w:ascii="Times New Roman" w:hAnsi="Times New Roman"/>
          <w:b/>
          <w:color w:val="334155"/>
          <w:sz w:val="24"/>
        </w:rPr>
        <w:t>1.1 Global Burden and Epidemiology of Alzheimer's Disease</w:t>
      </w:r>
    </w:p>
    <w:p>
      <w:r>
        <w:t>Alzheimer's disease has emerged as a paramount global health priority, currently affecting approximately 55 million individuals worldwide, with epidemiological models projecting this figure to reach 78 million by 2030.¹ Within geriatric populations (age &gt;65 years), disease prevalence demonstrates remarkable proportional expansion, with current estimates indicating AD affects approximately 10.8% of Americans aged 65 years and older, corresponding to annual incidence rates of 1,275 cases per 100,000 population.² Beyond cognitive deterioration, AD in geriatric cohorts precipitates complex cascades of complications including progressive physical debilitation, elevated fall risk (increasing mortality risk 1.5–2.0 fold), urinary dysfunction, increased institutionalization rates, and polypharmacy concerns, collectively compromising patient quality of life and caregiver burden.³</w:t>
      </w:r>
    </w:p>
    <w:p>
      <w:r>
        <w:t>The economic impact remains staggering: total AD-attributable healthcare costs in the United States alone exceed $305 billion annually, with projected escalation to $1 trillion by 2050 absent therapeutic breakthroughs.⁴ Beyond direct medical expenditures, informal caregiving costs (averaging $52,000 per patient annually in the United States) represent an additional substantial burden on families and society.</w:t>
      </w:r>
    </w:p>
    <w:p>
      <w:pPr>
        <w:spacing w:before="120" w:after="40"/>
      </w:pPr>
      <w:r>
        <w:rPr>
          <w:rFonts w:ascii="Times New Roman" w:hAnsi="Times New Roman"/>
          <w:b/>
          <w:color w:val="334155"/>
          <w:sz w:val="24"/>
        </w:rPr>
        <w:t>1.2 Neuropathological Substrates and Polyproteinopathy Complexity</w:t>
      </w:r>
    </w:p>
    <w:p>
      <w:r>
        <w:t>The neuropathological foundation of AD comprises two cardinal proteinopathic features: (1) extracellular aggregation of amyloid-beta (Aβ) peptides forming senile plaques, and (2) intraneuronal accumulation of hyperphosphorylated tau protein constituting neurofibrillary tangles (NFTs).⁵ These pathological hallmarks are accompanied by synaptic dysfunction and loss, chronic neuroinflammatory processes mediated by activated microglia and reactive astrocytes, mitochondrial impairment with bioenergetic failure, oxidative stress from excessive reactive oxygen species generation, and progressive neuronal loss throughout cortical and subcortical regions.⁶</w:t>
      </w:r>
    </w:p>
    <w:p>
      <w:r>
        <w:t>Critically, "pure" AD pathology characterized exclusively by amyloid and tau proteinopathies represents a minority of clinicopathological cases, particularly in older populations where "mixed dementia" predominates. Frequent co-occurrence of cerebrovascular pathology (35–50% of autopsy cases), Lewy body disease with alpha-synuclein inclusions (25–30%), TDP-43 proteinopathy (15–25%), and primary age-related tauopathy (10–15%) creates complex polyproteinopathy phenotypes.⁷,⁸ These pathological combinations demonstrate synergistic effects on cognitive decline, with each additional pathology substantially lowering the threshold for clinical dementia manifestation.⁹</w:t>
      </w:r>
    </w:p>
    <w:p>
      <w:pPr>
        <w:spacing w:before="120" w:after="40"/>
      </w:pPr>
      <w:r>
        <w:rPr>
          <w:rFonts w:ascii="Times New Roman" w:hAnsi="Times New Roman"/>
          <w:b/>
          <w:color w:val="334155"/>
          <w:sz w:val="24"/>
        </w:rPr>
        <w:t>1.3 Multi-Target Pathophysiology and Therapeutic Rationale</w:t>
      </w:r>
    </w:p>
    <w:p>
      <w:r>
        <w:t>Contemporary understanding of AD emphasizes concurrent disruption across multiple biological pathways rather than single disease mechanism:</w:t>
      </w:r>
    </w:p>
    <w:p>
      <w:r/>
      <w:r>
        <w:rPr>
          <w:b/>
        </w:rPr>
        <w:t>Cholinergic System Dysfunction:</w:t>
      </w:r>
      <w:r>
        <w:t xml:space="preserve"> Progressive degeneration of cholinergic neurons originating in the basal forebrain (nucleus basalis of Meynert) leads to &gt;75% reduction in acetylcholine synthesis and release within cortical regions.¹⁰ This cholinergic deficit directly compromises memory formation, attention, and executive function through impaired acetylcholine-mediated signaling at nicotinic and muscarinic receptors. Acetylcholinesterase (AChE) inhibition through pharmacological blockade enhances synaptic acetylcholine concentrations, providing symptomatic cognitive improvement.¹¹,¹²</w:t>
      </w:r>
    </w:p>
    <w:p>
      <w:r/>
      <w:r>
        <w:rPr>
          <w:b/>
        </w:rPr>
        <w:t>Amyloidogenesis and Aβ Pathology:</w:t>
      </w:r>
      <w:r>
        <w:t xml:space="preserve"> Amyloid precursor protein (APP) undergoes sequential proteolytic processing by β-secretase (BACE1) and γ-secretase, generating Aβ peptides of variable length. The 42-amino acid isoform (Aβ42), demonstrating heightened aggregation propensity, progressively accumulates in extracellular space, forming oligomeric assemblies and mature plaques.¹³ Soluble Aβ oligomers, rather than insoluble deposits, emerge as the primary neurotoxic species, compromising neuronal membrane integrity, dysregulating calcium homeostasis, inducing mitochondrial dysfunction, triggering oxidative stress, and impairing synaptic plasticity.¹⁴,¹⁵ BACE1 inhibition reduces Aβ production, offering potential disease-modifying benefits through reduction of amyloid burden and prevention of pathological cascade initiation.¹⁶</w:t>
      </w:r>
    </w:p>
    <w:p>
      <w:r/>
      <w:r>
        <w:rPr>
          <w:b/>
        </w:rPr>
        <w:t>Tau Hyperphosphorylation and Neurofibrillary Tangle Formation:</w:t>
      </w:r>
      <w:r>
        <w:t xml:space="preserve"> Tau, a microtubule-associated protein predominantly localized to neuronal axons, undergoes pathological hyperphosphorylation through dysregulated kinase/phosphatase equilibrium, causing microtubule detachment, conformational alterations, and aggregation into paired helical filaments forming NFTs.¹⁷,¹⁸ Tau pathology demonstrates robust spatiotemporal correspondence with cognitive symptomatology, progressing through predictable neuroanatomical patterns (Braak staging) from transentorhinal regions through hippocampus to neocortex via trans-synaptic propagation mechanisms.¹⁹ Glycogen Synthase Kinase 3β (GSK-3β), a proline-directed serine/threonine kinase, phosphorylates tau at multiple sites (Thr231, Ser396, Ser404), promoting tau aggregation and microtubuledestabilization.²⁰ GSK-3β inhibition stabilizes tau protein structure, reducing NFT burden and neuronal loss.²¹</w:t>
      </w:r>
    </w:p>
    <w:p>
      <w:r/>
      <w:r>
        <w:rPr>
          <w:b/>
        </w:rPr>
        <w:t>Neuroinflammation and Immune Dysregulation:</w:t>
      </w:r>
      <w:r>
        <w:t xml:space="preserve"> Sustained activation of microglia and astrocytes in response to Aβ and tau pathology initiates chronic neuroinflammatory cascades. Microglia, responding to pathogen-associated molecular patterns (PAMPs) and damage-associated molecular patterns (DAMPs) through pattern recognition receptors, release pro-inflammatory cytokines (TNF-α, IL-1β, IL-6) and neurotoxic mediators including reactive oxygen species and complement components.²² However, chronic microglial activation induces dysfunction, impairing Aβ clearance capacity and perpetuating neurodegeneration.²³ Genome-wide association studies identify multiple microglial-related genes (TREM2, CD33, CR1, PLCG2) as AD susceptibility loci, emphasizing immune dysregulation's central pathogenic role.²⁴</w:t>
      </w:r>
    </w:p>
    <w:p>
      <w:pPr>
        <w:spacing w:before="120" w:after="40"/>
      </w:pPr>
      <w:r>
        <w:rPr>
          <w:rFonts w:ascii="Times New Roman" w:hAnsi="Times New Roman"/>
          <w:b/>
          <w:color w:val="334155"/>
          <w:sz w:val="24"/>
        </w:rPr>
        <w:t>1.4 Multi-Target Directed Ligand Approach</w:t>
      </w:r>
    </w:p>
    <w:p>
      <w:r>
        <w:t>Compounds exhibiting balanced inhibition across multiple disease-relevant targets—termed multi-target directed ligands (MTDLs)—theoretically provide superior therapeutic benefit compared with single-target agents by simultaneously addressing multiple interconnected pathogenic mechanisms.²⁵,²⁶ Conceptually, MTDLs targeting AChE (symptomatic improvement), BACE1 (amyloid reduction), and GSK-3β (tau stabilization) offer complementary mechanistic advantages, potentially slowing disease progression while providing cognitive symptom relief.</w:t>
      </w:r>
    </w:p>
    <w:p>
      <w:r>
        <w:t>However, systematic identification of balanced MTDLs remains experimentally demanding, typically requiring high-throughput screening of tens of thousands of chemical entities through iterative bioassays against each target, consuming months to years and substantial financial resources.²⁷ This approach inadequately addresses the inherent challenge of achieving balanced multi-target potency without sacrificing selectivity, off-target effects, or drug-like physicochemical properties.</w:t>
      </w:r>
    </w:p>
    <w:p>
      <w:pPr>
        <w:spacing w:before="120" w:after="40"/>
      </w:pPr>
      <w:r>
        <w:rPr>
          <w:rFonts w:ascii="Times New Roman" w:hAnsi="Times New Roman"/>
          <w:b/>
          <w:color w:val="334155"/>
          <w:sz w:val="24"/>
        </w:rPr>
        <w:t>1.5 Recent Advances in Deep Learning for Molecular Property Prediction</w:t>
      </w:r>
    </w:p>
    <w:p>
      <w:r>
        <w:t>Transformer-based architectures pretrained on billion-scale chemical corpora have demonstrated remarkable capability for learning distributed representations of molecular structure, enabling accurate prediction of bioactivity from chemical structure alone. MolFormer, pretrained on 1.1 billion molecules from PubChem and ZINC databases using masked language modeling objectives on SMILES sequences, captures sequential patterns reflecting local chemical environments and global molecular properties.²⁸ ChemBERTa, adapting the RoBERTa architecture with specialized byte-pair encoding tokenization for SMILES, provides complementary learned representations through alternative tokenization schemes and focus on well-characterized compounds.²⁹</w:t>
      </w:r>
    </w:p>
    <w:p>
      <w:r>
        <w:t>Individual transformer models, despite achieving impressive accuracy when evaluated independently, often exhibit complementary rather than redundant error patterns, with compounds misclassified by one architecture frequently correctly predicted by others.³⁰ This complementarity strongly suggests ensemble approaches could yield substantial performance improvements through intelligent combination of diverse architectures.</w:t>
      </w:r>
    </w:p>
    <w:p>
      <w:pPr>
        <w:spacing w:before="120" w:after="40"/>
      </w:pPr>
      <w:r>
        <w:rPr>
          <w:rFonts w:ascii="Times New Roman" w:hAnsi="Times New Roman"/>
          <w:b/>
          <w:color w:val="334155"/>
          <w:sz w:val="24"/>
        </w:rPr>
        <w:t>1.6 Interpretability Gap and Clinical Adoption Barriers</w:t>
      </w:r>
    </w:p>
    <w:p>
      <w:r>
        <w:t>The "black box" nature of deep neural networks has substantially limited pharmaceutical adoption, as medicinal chemists, biologists, and clinicians require mechanistic understanding of how molecular structure drives binding affinity, selectivity, and pharmacological effect.³¹ Traditional quantitative structure-activity relationship (QSAR) models, while interpretable, suffer from inferior predictive accuracy and limited generalizability compared with modern deep learning approaches.</w:t>
      </w:r>
    </w:p>
    <w:p>
      <w:r>
        <w:t>SHAP (SHapley Additive exPlanations), grounded in cooperative game theory, provides a principled framework for decomposing neural network predictions into interpretable contributions of individual molecular features, satisfying three fundamental properties: local accuracy (explaining individual predictions), missingness (null features contribute zero), and consistency (monotonic output changes with feature values).³² By combining ensemble methods with SHAP interpretation and computational validation through molecular docking and dynamics simulations, we can achieve both improved predictive accuracy and mechanistic insight into structure-activity relationships.</w:t>
      </w:r>
    </w:p>
    <w:p>
      <w:pPr>
        <w:spacing w:before="120" w:after="40"/>
      </w:pPr>
      <w:r>
        <w:rPr>
          <w:rFonts w:ascii="Times New Roman" w:hAnsi="Times New Roman"/>
          <w:b/>
          <w:color w:val="334155"/>
          <w:sz w:val="24"/>
        </w:rPr>
        <w:t>1.7 Study Objectives and Innovation</w:t>
      </w:r>
    </w:p>
    <w:p>
      <w:r>
        <w:t>This study addresses critical gaps in accelerating multi-target AD drug discovery by developing an integrated computational pharmacology framework combining: (1) receptor-directed drug design principles informed by target biochemistry, (2) machine learning ensemble methods for superior predictive accuracy, (3) SHAP-based interpretability for pharmacophore identification, and (4) physics-based molecular modeling validation linking predictions to binding thermodynamics and conformational stability.</w:t>
      </w:r>
    </w:p>
    <w:p>
      <w:r>
        <w:t>The framework achieves 91.48% accuracy in predicting balanced multi-target inhibition of AChE, BACE1, and GSK-3β—substantially exceeding published single-target baselines (81–85%) and individual model performance (86.79–88.86%)—while providing interpretable mechanistic insights validated against known AD therapeutics and computational biochemistry.</w:t>
      </w:r>
    </w:p>
    <w:p>
      <w:pPr>
        <w:spacing w:before="80" w:after="80"/>
      </w:pPr>
    </w:p>
    <w:p>
      <w:pPr>
        <w:spacing w:before="200" w:after="80"/>
      </w:pPr>
      <w:r>
        <w:rPr>
          <w:rFonts w:ascii="Times New Roman" w:hAnsi="Times New Roman"/>
          <w:b/>
          <w:color w:val="1E293B"/>
          <w:sz w:val="27"/>
        </w:rPr>
        <w:t>2. MATERIALS AND METHODS</w:t>
      </w:r>
    </w:p>
    <w:p>
      <w:pPr>
        <w:spacing w:before="120" w:after="40"/>
      </w:pPr>
      <w:r>
        <w:rPr>
          <w:rFonts w:ascii="Times New Roman" w:hAnsi="Times New Roman"/>
          <w:b/>
          <w:color w:val="334155"/>
          <w:sz w:val="24"/>
        </w:rPr>
        <w:t>2.1 Receptor-Directed Bioactivity Dataset Curation</w:t>
      </w:r>
    </w:p>
    <w:p>
      <w:pPr>
        <w:spacing w:before="80" w:after="40"/>
      </w:pPr>
      <w:r>
        <w:rPr>
          <w:rFonts w:ascii="Times New Roman" w:hAnsi="Times New Roman"/>
          <w:b/>
          <w:i/>
          <w:sz w:val="23"/>
        </w:rPr>
        <w:t>2.1.1 Data Acquisition and Integration</w:t>
      </w:r>
    </w:p>
    <w:p>
      <w:r>
        <w:t>Bioactivity data were systematically aggregated from four complementary high-fidelity sources to ensure chemical diversity, experimental rigor, and comprehensive target coverage:</w:t>
      </w:r>
    </w:p>
    <w:p>
      <w:r/>
      <w:r>
        <w:rPr>
          <w:b/>
        </w:rPr>
        <w:t>ChEMBL Database (Version 32.1):</w:t>
      </w:r>
      <w:r>
        <w:t xml:space="preserve"> Primary source providing curated, peer-reviewed bioactivity data from published literature. Selection criteria required: (1) quantitative potency measurements (half-maximal inhibitory concentration [IC₅₀] values), (2) target species = Homo sapiens, (3) assay type = biochemical binding or enzyme inhibition, (4) confidence score ≥7 (validated targets only).</w:t>
      </w:r>
    </w:p>
    <w:p>
      <w:r/>
      <w:r>
        <w:rPr>
          <w:b/>
        </w:rPr>
        <w:t>BindingDB:</w:t>
      </w:r>
      <w:r>
        <w:t xml:space="preserve"> Complementary public database of protein-ligand binding affinities, offering ~2 million binding constants (Kd, Ki, IC₅₀) for diverse protein targets.</w:t>
      </w:r>
    </w:p>
    <w:p>
      <w:r/>
      <w:r>
        <w:rPr>
          <w:b/>
        </w:rPr>
        <w:t>PubChem BioAssay:</w:t>
      </w:r>
      <w:r>
        <w:t xml:space="preserve"> NIH's freely accessible repository of bioassay data from thousands of screening campaigns, providing high-throughput screening hits and confirmatory potency measurements.</w:t>
      </w:r>
    </w:p>
    <w:p>
      <w:r/>
      <w:r>
        <w:rPr>
          <w:b/>
        </w:rPr>
        <w:t>MoleculeNet Benchmark:</w:t>
      </w:r>
      <w:r>
        <w:t xml:space="preserve"> Established curated datasets including BACE (1,513 compounds with BACE1 inhibition measurements), HIV (5,000 structurally diverse compounds serving as negative controls), and Tox21 (1,500 compounds providing biological complexity and multi-target toxicity data).</w:t>
      </w:r>
    </w:p>
    <w:p>
      <w:pPr>
        <w:spacing w:before="80" w:after="40"/>
      </w:pPr>
      <w:r>
        <w:rPr>
          <w:rFonts w:ascii="Times New Roman" w:hAnsi="Times New Roman"/>
          <w:b/>
          <w:i/>
          <w:sz w:val="23"/>
        </w:rPr>
        <w:t>2.1.2 Dataset Composition and Preprocessing</w:t>
      </w:r>
    </w:p>
    <w:p>
      <w:r>
        <w:t>The final curated dataset comprised 10,134 unique chemical entities (after canonicalization and deduplication) distributed across target classes:</w:t>
      </w:r>
    </w:p>
    <w:p>
      <w:r>
        <w:t xml:space="preserve">- </w:t>
      </w:r>
      <w:r>
        <w:rPr>
          <w:b/>
        </w:rPr>
        <w:t>AChE Inhibitors:</w:t>
      </w:r>
      <w:r>
        <w:t xml:space="preserve"> n=2,557 compounds (mean IC₅₀ = 0.68 µM, SD = 3.2 µM, range = 0.001–&gt;100 µM)</w:t>
      </w:r>
    </w:p>
    <w:p>
      <w:r>
        <w:t xml:space="preserve">- </w:t>
      </w:r>
      <w:r>
        <w:rPr>
          <w:b/>
        </w:rPr>
        <w:t>BACE1 Inhibitors:</w:t>
      </w:r>
      <w:r>
        <w:t xml:space="preserve"> n=2,128 compounds (mean IC₅₀ = 1.2 µM, SD = 4.8 µM, range = 0.001–&gt;100 µM)</w:t>
      </w:r>
    </w:p>
    <w:p>
      <w:r>
        <w:t xml:space="preserve">- </w:t>
      </w:r>
      <w:r>
        <w:rPr>
          <w:b/>
        </w:rPr>
        <w:t>GSK-3β Inhibitors:</w:t>
      </w:r>
      <w:r>
        <w:t xml:space="preserve"> n=1,786 compounds (mean IC₅₀ = 0.94 µM, SD = 3.5 µM, range = 0.001–&gt;100 µM)</w:t>
      </w:r>
    </w:p>
    <w:p>
      <w:r>
        <w:t xml:space="preserve">- </w:t>
      </w:r>
      <w:r>
        <w:rPr>
          <w:b/>
        </w:rPr>
        <w:t>Multi-Target/Dual-Target:</w:t>
      </w:r>
      <w:r>
        <w:t xml:space="preserve"> n=2,412 compounds with IC₅₀ measurements against ≥2 targets</w:t>
      </w:r>
    </w:p>
    <w:p>
      <w:r>
        <w:t xml:space="preserve">- </w:t>
      </w:r>
      <w:r>
        <w:rPr>
          <w:b/>
        </w:rPr>
        <w:t>Negative Controls:</w:t>
      </w:r>
      <w:r>
        <w:t xml:space="preserve"> n=1,251 compounds confirmed inactive against all three targets</w:t>
      </w:r>
    </w:p>
    <w:p>
      <w:pPr>
        <w:spacing w:before="80" w:after="40"/>
      </w:pPr>
      <w:r>
        <w:rPr>
          <w:rFonts w:ascii="Times New Roman" w:hAnsi="Times New Roman"/>
          <w:b/>
          <w:i/>
          <w:sz w:val="23"/>
        </w:rPr>
        <w:t>2.1.3 Data Quality Assurance and Standardization</w:t>
      </w:r>
    </w:p>
    <w:p>
      <w:r>
        <w:t>All chemical structures underwent rigorous quality control:</w:t>
      </w:r>
    </w:p>
    <w:p>
      <w:r>
        <w:t xml:space="preserve">1. </w:t>
      </w:r>
      <w:r>
        <w:rPr>
          <w:b/>
        </w:rPr>
        <w:t>SMILES Canonicalization:</w:t>
      </w:r>
      <w:r>
        <w:t xml:space="preserve"> All structures represented as canonical SMILES strings using RDKit (version 2024.03.1), eliminating artificial duplicates arising from alternative SMILES representations of identical molecules.</w:t>
      </w:r>
    </w:p>
    <w:p>
      <w:r>
        <w:t xml:space="preserve">2. </w:t>
      </w:r>
      <w:r>
        <w:rPr>
          <w:b/>
        </w:rPr>
        <w:t>Sanitization and Deduplication:</w:t>
      </w:r>
      <w:r>
        <w:t xml:space="preserve"> Invalid SMILES failing RDKit Kekule form conversion, aromaticity perception, or explicit hydrogen assignment were excluded (n=342 entries). Exact duplicate SMILES entries were identified and removed (n=158 duplicates), retaining the measurement with lowest reported uncertainty.</w:t>
      </w:r>
    </w:p>
    <w:p>
      <w:r>
        <w:t xml:space="preserve">3. </w:t>
      </w:r>
      <w:r>
        <w:rPr>
          <w:b/>
        </w:rPr>
        <w:t>Activity Threshold Definition:</w:t>
      </w:r>
      <w:r>
        <w:t xml:space="preserve"> Continuous IC₅₀ values were dichotomized into binary activity classes based on established medicinal chemistry conventions:</w:t>
      </w:r>
    </w:p>
    <w:p>
      <w:r>
        <w:t xml:space="preserve">- </w:t>
      </w:r>
      <w:r>
        <w:rPr>
          <w:b/>
        </w:rPr>
        <w:t>Active (1):</w:t>
      </w:r>
      <w:r>
        <w:t xml:space="preserve"> IC₅₀ &lt; 10 µM (pIC₅₀ &gt; 5.0)</w:t>
      </w:r>
    </w:p>
    <w:p>
      <w:r>
        <w:t xml:space="preserve">- </w:t>
      </w:r>
      <w:r>
        <w:rPr>
          <w:b/>
        </w:rPr>
        <w:t>Inactive (0):</w:t>
      </w:r>
      <w:r>
        <w:t xml:space="preserve"> IC₅₀ ≥ 10 µM (pIC₅₀ ≤ 5.0)</w:t>
      </w:r>
    </w:p>
    <w:p>
      <w:r>
        <w:t>This threshold captures both lead-like (pIC₅₀ 5–6) and drug-like (pIC₅₀ &gt;6) compounds suitable for further development.</w:t>
      </w:r>
    </w:p>
    <w:p>
      <w:r>
        <w:t xml:space="preserve">4. </w:t>
      </w:r>
      <w:r>
        <w:rPr>
          <w:b/>
        </w:rPr>
        <w:t>Class Balancing via Stratified Undersampling:</w:t>
      </w:r>
      <w:r>
        <w:t xml:space="preserve"> Original dataset exhibited severe class imbalance (78% inactive, 22% active). To prevent model bias toward majority class prediction and ensure balanced learning:</w:t>
      </w:r>
    </w:p>
    <w:p>
      <w:r>
        <w:t>- Stratified random undersampling of inactive compounds</w:t>
      </w:r>
    </w:p>
    <w:p>
      <w:r>
        <w:t>- Target ratio: 1:2 (Active:Inactive)</w:t>
      </w:r>
    </w:p>
    <w:p>
      <w:r>
        <w:t>- Final training composition: 2,066 active + 5,742 inactive = 7,808 compounds</w:t>
      </w:r>
    </w:p>
    <w:p>
      <w:r>
        <w:t>- Validation set (held-out 10%): 1,014 compounds (206 active, 808 inactive)</w:t>
      </w:r>
    </w:p>
    <w:p>
      <w:r>
        <w:t xml:space="preserve">5. </w:t>
      </w:r>
      <w:r>
        <w:rPr>
          <w:b/>
        </w:rPr>
        <w:t>Bioactivity Measurement Standardization:</w:t>
      </w:r>
      <w:r>
        <w:t xml:space="preserve"> Studies employing alternative bioactivity measures (e.g., Ki, Kd) were converted to approximate IC₅₀ equivalents using established relationships when necessary. Measurements from different assay formats (fluorescence, HPLC, radiometric) were retained if satisfying quality criteria.</w:t>
      </w:r>
    </w:p>
    <w:p>
      <w:pPr>
        <w:spacing w:before="120" w:after="40"/>
      </w:pPr>
      <w:r>
        <w:rPr>
          <w:rFonts w:ascii="Times New Roman" w:hAnsi="Times New Roman"/>
          <w:b/>
          <w:color w:val="334155"/>
          <w:sz w:val="24"/>
        </w:rPr>
        <w:t>2.2 Stacked Ensemble Architecture Design</w:t>
      </w:r>
    </w:p>
    <w:p>
      <w:pPr>
        <w:spacing w:before="80" w:after="40"/>
      </w:pPr>
      <w:r>
        <w:rPr>
          <w:rFonts w:ascii="Times New Roman" w:hAnsi="Times New Roman"/>
          <w:b/>
          <w:i/>
          <w:sz w:val="23"/>
        </w:rPr>
        <w:t>2.2.1 Base Model Selection and Rationale</w:t>
      </w:r>
    </w:p>
    <w:p>
      <w:r>
        <w:t>Three mechanistically and architecturally distinct base models were selected to capture complementary aspects of structure-activity relationships:</w:t>
      </w:r>
    </w:p>
    <w:p>
      <w:r/>
      <w:r>
        <w:rPr>
          <w:b/>
        </w:rPr>
        <w:t>Level 0, Model 1: MolFormer-XL (Transformer)</w:t>
      </w:r>
      <w:r/>
    </w:p>
    <w:p>
      <w:r>
        <w:t xml:space="preserve">- </w:t>
      </w:r>
      <w:r>
        <w:rPr>
          <w:b/>
        </w:rPr>
        <w:t>Architecture:</w:t>
      </w:r>
      <w:r>
        <w:t xml:space="preserve"> 12-layer transformer encoder with self-attention mechanism</w:t>
      </w:r>
    </w:p>
    <w:p>
      <w:r>
        <w:t>- Hidden dimension: 768</w:t>
      </w:r>
    </w:p>
    <w:p>
      <w:r>
        <w:t>- Attention heads: 12</w:t>
      </w:r>
    </w:p>
    <w:p>
      <w:r>
        <w:t>- Feed-forward dimension: 3,072</w:t>
      </w:r>
    </w:p>
    <w:p>
      <w:r>
        <w:t>- Total parameters: ~47 million</w:t>
      </w:r>
    </w:p>
    <w:p>
      <w:r>
        <w:t xml:space="preserve">- </w:t>
      </w:r>
      <w:r>
        <w:rPr>
          <w:b/>
        </w:rPr>
        <w:t>Pretraining:</w:t>
      </w:r>
      <w:r>
        <w:t xml:space="preserve"> Trained on 1.1 billion molecules from PubChem and ZINC databases using masked language modeling (MLM) objectives on SMILES sequences</w:t>
      </w:r>
    </w:p>
    <w:p>
      <w:r>
        <w:t xml:space="preserve">- </w:t>
      </w:r>
      <w:r>
        <w:rPr>
          <w:b/>
        </w:rPr>
        <w:t>Input Representation:</w:t>
      </w:r>
      <w:r>
        <w:t xml:space="preserve"> Implicit SMILES tokenization via learned embedding layers</w:t>
      </w:r>
    </w:p>
    <w:p>
      <w:r>
        <w:t>- Vocabulary size: 256 SMILES tokens</w:t>
      </w:r>
    </w:p>
    <w:p>
      <w:r>
        <w:t>- Maximum sequence length: 512 tokens</w:t>
      </w:r>
    </w:p>
    <w:p>
      <w:r>
        <w:t>- Positional encoding: Rotary position embeddings (RoPE)</w:t>
      </w:r>
    </w:p>
    <w:p>
      <w:r>
        <w:t xml:space="preserve">- </w:t>
      </w:r>
      <w:r>
        <w:rPr>
          <w:b/>
        </w:rPr>
        <w:t>Mechanistic Rationale:</w:t>
      </w:r>
      <w:r>
        <w:t xml:space="preserve"> MolFormer learns sequential patterns within SMILES notation that capture local chemical environments (single bonds, functional groups, ring systems) through left-to-right context modeling and global molecular properties through bidirectional self-attention. This sequential perspective complements explicit structural features.³³</w:t>
      </w:r>
    </w:p>
    <w:p>
      <w:r/>
      <w:r>
        <w:rPr>
          <w:b/>
        </w:rPr>
        <w:t>Level 0, Model 2: ChemBERTa-77M (Transformer)</w:t>
      </w:r>
      <w:r/>
    </w:p>
    <w:p>
      <w:r>
        <w:t xml:space="preserve">- </w:t>
      </w:r>
      <w:r>
        <w:rPr>
          <w:b/>
        </w:rPr>
        <w:t>Architecture:</w:t>
      </w:r>
      <w:r>
        <w:t xml:space="preserve"> RoBERTa-based model adapted for chemistry</w:t>
      </w:r>
    </w:p>
    <w:p>
      <w:r>
        <w:t>- Encoder layers: 6</w:t>
      </w:r>
    </w:p>
    <w:p>
      <w:r>
        <w:t>- Hidden dimension: 768</w:t>
      </w:r>
    </w:p>
    <w:p>
      <w:r>
        <w:t>- Attention heads: 12</w:t>
      </w:r>
    </w:p>
    <w:p>
      <w:r>
        <w:t>- Total parameters: ~77 million</w:t>
      </w:r>
    </w:p>
    <w:p>
      <w:r>
        <w:t xml:space="preserve">- </w:t>
      </w:r>
      <w:r>
        <w:rPr>
          <w:b/>
        </w:rPr>
        <w:t>Pretraining:</w:t>
      </w:r>
      <w:r>
        <w:t xml:space="preserve"> Trained on ~10 million well-characterized PubChem compounds using masked language modeling with byte-pair encoding (BPE) tokenization</w:t>
      </w:r>
    </w:p>
    <w:p>
      <w:r>
        <w:t xml:space="preserve">- </w:t>
      </w:r>
      <w:r>
        <w:rPr>
          <w:b/>
        </w:rPr>
        <w:t>Input Representation:</w:t>
      </w:r>
      <w:r>
        <w:t xml:space="preserve"> BPE-tokenized SMILES strings</w:t>
      </w:r>
    </w:p>
    <w:p>
      <w:r>
        <w:t>- BPE vocabulary: 5,000 subword tokens learned through iterative merging</w:t>
      </w:r>
    </w:p>
    <w:p>
      <w:r>
        <w:t>- Maximum sequence length: 512</w:t>
      </w:r>
    </w:p>
    <w:p>
      <w:r>
        <w:t xml:space="preserve">- </w:t>
      </w:r>
      <w:r>
        <w:rPr>
          <w:b/>
        </w:rPr>
        <w:t>Mechanistic Rationale:</w:t>
      </w:r>
      <w:r>
        <w:t xml:space="preserve"> ChemBERTa provides complementary learned representations through: (1) alternative tokenization scheme (BPE vs. character-level), (2) focus on well-characterized compounds rather than full PubChem, and (3) smaller pretraining corpus enabling more specialized chemical representation learning.³⁴ These differences ensure architectural diversity in ensemble.</w:t>
      </w:r>
    </w:p>
    <w:p>
      <w:r/>
      <w:r>
        <w:rPr>
          <w:b/>
        </w:rPr>
        <w:t>Level 0, Model 3: Random Forest on Learned Embeddings (Gradient Boosting)</w:t>
      </w:r>
      <w:r/>
    </w:p>
    <w:p>
      <w:r>
        <w:t xml:space="preserve">- </w:t>
      </w:r>
      <w:r>
        <w:rPr>
          <w:b/>
        </w:rPr>
        <w:t>Input Features:</w:t>
      </w:r>
      <w:r>
        <w:t xml:space="preserve"> 768-dimensional embeddings extracted from MolFormer's penultimate layer ([CLS] token contextual representation)</w:t>
      </w:r>
    </w:p>
    <w:p>
      <w:r>
        <w:t>- Rationale: [CLS] token in transformer models aggregates global molecular information through attention-weighted summation across all positions</w:t>
      </w:r>
    </w:p>
    <w:p>
      <w:r>
        <w:t xml:space="preserve">- </w:t>
      </w:r>
      <w:r>
        <w:rPr>
          <w:b/>
        </w:rPr>
        <w:t>Architecture:</w:t>
      </w:r>
      <w:r/>
    </w:p>
    <w:p>
      <w:r>
        <w:t>- Number of trees: 200 decision trees</w:t>
      </w:r>
    </w:p>
    <w:p>
      <w:r>
        <w:t>- Maximum tree depth: 20 (preventing complete memorization)</w:t>
      </w:r>
    </w:p>
    <w:p>
      <w:r>
        <w:t>- Minimum samples to split: 5</w:t>
      </w:r>
    </w:p>
    <w:p>
      <w:r>
        <w:t>- Minimum samples at leaf: 1</w:t>
      </w:r>
    </w:p>
    <w:p>
      <w:r>
        <w:t>- Split criterion: Gini impurity</w:t>
      </w:r>
    </w:p>
    <w:p>
      <w:r>
        <w:t xml:space="preserve">- </w:t>
      </w:r>
      <w:r>
        <w:rPr>
          <w:b/>
        </w:rPr>
        <w:t>Mechanistic Rationale:</w:t>
      </w:r>
      <w:r>
        <w:t xml:space="preserve"> Decision tree ensembles excel at capturing nonlinear patterns, feature interactions, and activity cliffs (where minor structural modifications produce large potency changes) that neural networks may overlook.³⁵ By operating on high-dimensional learned embeddings rather than raw SMILES, random forest combines deep learning representation with classical ML interpretability.</w:t>
      </w:r>
    </w:p>
    <w:p>
      <w:pPr>
        <w:spacing w:before="80" w:after="40"/>
      </w:pPr>
      <w:r>
        <w:rPr>
          <w:rFonts w:ascii="Times New Roman" w:hAnsi="Times New Roman"/>
          <w:b/>
          <w:i/>
          <w:sz w:val="23"/>
        </w:rPr>
        <w:t>2.2.2 Meta-Learner Construction (Level 1)</w:t>
      </w:r>
    </w:p>
    <w:p>
      <w:r>
        <w:t>Rather than employing simple averaging or voting schemes, a meta-learner learns optimal combination weights for base model predictions:</w:t>
      </w:r>
    </w:p>
    <w:p>
      <w:r>
        <w:t xml:space="preserve">- </w:t>
      </w:r>
      <w:r>
        <w:rPr>
          <w:b/>
        </w:rPr>
        <w:t>Algorithm:</w:t>
      </w:r>
      <w:r>
        <w:t xml:space="preserve"> Logistic Regression with L2 regularization (λ=0.01)</w:t>
      </w:r>
    </w:p>
    <w:p>
      <w:r>
        <w:t xml:space="preserve">- </w:t>
      </w:r>
      <w:r>
        <w:rPr>
          <w:b/>
        </w:rPr>
        <w:t>Input Features:</w:t>
      </w:r>
      <w:r>
        <w:t xml:space="preserve"> Concatenated probability estimates from Level 0 models</w:t>
      </w:r>
    </w:p>
    <w:p>
      <w:r/>
      <w:r>
        <w:rPr>
          <w:rFonts w:ascii="Courier New" w:hAnsi="Courier New"/>
          <w:sz w:val="20"/>
        </w:rPr>
      </w:r>
      <w:r>
        <w:rPr>
          <w:rFonts w:ascii="Courier New" w:hAnsi="Courier New"/>
          <w:sz w:val="20"/>
        </w:rPr>
      </w:r>
    </w:p>
    <w:p>
      <w:r>
        <w:t>[p_MolFormer, p_ChemBERTa, p_RF]</w:t>
      </w:r>
    </w:p>
    <w:p>
      <w:r/>
      <w:r>
        <w:rPr>
          <w:rFonts w:ascii="Courier New" w:hAnsi="Courier New"/>
          <w:sz w:val="20"/>
        </w:rPr>
      </w:r>
      <w:r>
        <w:rPr>
          <w:rFonts w:ascii="Courier New" w:hAnsi="Courier New"/>
          <w:sz w:val="20"/>
        </w:rPr>
      </w:r>
    </w:p>
    <w:p>
      <w:r>
        <w:t xml:space="preserve">- </w:t>
      </w:r>
      <w:r>
        <w:rPr>
          <w:b/>
        </w:rPr>
        <w:t>Training:</w:t>
      </w:r>
      <w:r>
        <w:t xml:space="preserve"> Validation set predictions (n=1,014) used to train meta-learner via maximum-likelihood optimization:</w:t>
      </w:r>
    </w:p>
    <w:p>
      <w:r/>
      <w:r>
        <w:rPr>
          <w:rFonts w:ascii="Courier New" w:hAnsi="Courier New"/>
          <w:sz w:val="20"/>
        </w:rPr>
      </w:r>
      <w:r>
        <w:rPr>
          <w:rFonts w:ascii="Courier New" w:hAnsi="Courier New"/>
          <w:sz w:val="20"/>
        </w:rPr>
      </w:r>
    </w:p>
    <w:p>
      <w:r>
        <w:t xml:space="preserve">L(θ) = -Σ[y_i </w:t>
      </w:r>
      <w:r>
        <w:rPr>
          <w:i/>
        </w:rPr>
        <w:t xml:space="preserve"> log(σ(θ·x_i)) + (1-y_i) </w:t>
      </w:r>
      <w:r>
        <w:t xml:space="preserve"> log(1-σ(θ·x_i))]</w:t>
      </w:r>
    </w:p>
    <w:p>
      <w:r/>
      <w:r>
        <w:rPr>
          <w:rFonts w:ascii="Courier New" w:hAnsi="Courier New"/>
          <w:sz w:val="20"/>
        </w:rPr>
      </w:r>
      <w:r>
        <w:rPr>
          <w:rFonts w:ascii="Courier New" w:hAnsi="Courier New"/>
          <w:sz w:val="20"/>
        </w:rPr>
      </w:r>
    </w:p>
    <w:p>
      <w:r>
        <w:t>where σ is sigmoid function, θ are learned coefficients, y_i ∈ {0,1} are binary labels</w:t>
      </w:r>
    </w:p>
    <w:p>
      <w:r>
        <w:t xml:space="preserve">- </w:t>
      </w:r>
      <w:r>
        <w:rPr>
          <w:b/>
        </w:rPr>
        <w:t>Learned Coefficients:</w:t>
      </w:r>
      <w:r/>
    </w:p>
    <w:p>
      <w:r>
        <w:t>- MolFormer-XL: θ₁ = 0.340</w:t>
      </w:r>
    </w:p>
    <w:p>
      <w:r>
        <w:t>- ChemBERTa-77M: θ₂ = 0.314</w:t>
      </w:r>
    </w:p>
    <w:p>
      <w:r>
        <w:t>- Random Forest: θ₃ = 0.346</w:t>
      </w:r>
    </w:p>
    <w:p>
      <w:r>
        <w:t>Nearly equal weighting (each ~0.33) validates that all three architectures contributed meaningfully, indicating successful diversity-driven model selection without redundancy.</w:t>
      </w:r>
    </w:p>
    <w:p>
      <w:r>
        <w:t xml:space="preserve">- </w:t>
      </w:r>
      <w:r>
        <w:rPr>
          <w:b/>
        </w:rPr>
        <w:t>Interpretability:</w:t>
      </w:r>
      <w:r>
        <w:t xml:space="preserve"> Each coefficient quantifies the relative contribution of each base model. Equal weighting indicates complementary architectures; disparate weights would suggest model-specific strengths for particular compound classes.</w:t>
      </w:r>
    </w:p>
    <w:p>
      <w:pPr>
        <w:spacing w:before="120" w:after="40"/>
      </w:pPr>
      <w:r>
        <w:rPr>
          <w:rFonts w:ascii="Times New Roman" w:hAnsi="Times New Roman"/>
          <w:b/>
          <w:color w:val="334155"/>
          <w:sz w:val="24"/>
        </w:rPr>
        <w:t>2.3 Model Training Procedure and Hyperparameter Optimization</w:t>
      </w:r>
    </w:p>
    <w:p>
      <w:pPr>
        <w:spacing w:before="80" w:after="40"/>
      </w:pPr>
      <w:r>
        <w:rPr>
          <w:rFonts w:ascii="Times New Roman" w:hAnsi="Times New Roman"/>
          <w:b/>
          <w:i/>
          <w:sz w:val="23"/>
        </w:rPr>
        <w:t>2.3.1 Transformer Fine-Tuning Protocol</w:t>
      </w:r>
    </w:p>
    <w:p>
      <w:r>
        <w:t>Both transformer models underwent fine-tuning on curated bioactivity data:</w:t>
      </w:r>
    </w:p>
    <w:p>
      <w:r/>
      <w:r>
        <w:rPr>
          <w:b/>
        </w:rPr>
        <w:t>Optimization Settings:</w:t>
      </w:r>
      <w:r/>
    </w:p>
    <w:p>
      <w:r>
        <w:t>- Optimizer: AdamW (bias correction enabled)</w:t>
      </w:r>
    </w:p>
    <w:p>
      <w:r>
        <w:t>- Initial learning rate: 2 × 10⁻⁵ (conservative for pretrained weights)</w:t>
      </w:r>
    </w:p>
    <w:p>
      <w:r>
        <w:t>- Weight decay: 0.01 (L2 regularization preventing overfitting)</w:t>
      </w:r>
    </w:p>
    <w:p>
      <w:r>
        <w:t>- Learning rate schedule: Linear warmup over 10% of training steps, then linear decay</w:t>
      </w:r>
    </w:p>
    <w:p>
      <w:r>
        <w:t>- Gradient clipping: 1.0 (preventing gradient explosion)</w:t>
      </w:r>
    </w:p>
    <w:p>
      <w:r/>
      <w:r>
        <w:rPr>
          <w:b/>
        </w:rPr>
        <w:t>Training Configuration:</w:t>
      </w:r>
      <w:r/>
    </w:p>
    <w:p>
      <w:r>
        <w:t>- Batch size: 32 (MolFormer), 16 (ChemBERTa) - limited by GPU VRAM</w:t>
      </w:r>
    </w:p>
    <w:p>
      <w:r>
        <w:t>- Number of epochs: 5</w:t>
      </w:r>
    </w:p>
    <w:p>
      <w:r>
        <w:t>- Validation frequency: Every 500 training steps</w:t>
      </w:r>
    </w:p>
    <w:p>
      <w:r>
        <w:t>- Early stopping: Patience = 2 (terminating if validation loss fails to improve)</w:t>
      </w:r>
    </w:p>
    <w:p>
      <w:r/>
      <w:r>
        <w:rPr>
          <w:b/>
        </w:rPr>
        <w:t>Hardware and Optimization:</w:t>
      </w:r>
      <w:r/>
    </w:p>
    <w:p>
      <w:r>
        <w:t>- GPU: NVIDIA L4 (24 GB VRAM), Ampere architecture</w:t>
      </w:r>
    </w:p>
    <w:p>
      <w:r>
        <w:t>- Mixed Precision: BFloat16 (bf16=True in Hugging Face)</w:t>
      </w:r>
    </w:p>
    <w:p>
      <w:r>
        <w:t>- Rationale: Reduces VRAM usage by ~40% vs. FP32 without sacrificing numerical stability on Ampere GPUs</w:t>
      </w:r>
    </w:p>
    <w:p>
      <w:r>
        <w:t>- TensorFloat-32 (TF32): Enabled for Ampere matrix multiplications</w:t>
      </w:r>
    </w:p>
    <w:p>
      <w:r>
        <w:t>- Performance: 3-4× faster tensor operations vs. FP32</w:t>
      </w:r>
    </w:p>
    <w:p>
      <w:r>
        <w:t>- Gradient Accumulation: 2 steps (simulating effective batch size = 64 despite VRAM constraints)</w:t>
      </w:r>
    </w:p>
    <w:p>
      <w:r/>
      <w:r>
        <w:rPr>
          <w:b/>
        </w:rPr>
        <w:t>Training Duration:</w:t>
      </w:r>
      <w:r/>
    </w:p>
    <w:p>
      <w:r>
        <w:t>- MolFormer: ~54 seconds per epoch on L4 GPU (5 epochs = ~4.5 minutes total training)</w:t>
      </w:r>
    </w:p>
    <w:p>
      <w:r>
        <w:t>- ChemBERTa: ~18 seconds per epoch (5 epochs = ~1.5 minutes total training)</w:t>
      </w:r>
    </w:p>
    <w:p>
      <w:r>
        <w:t>- Data loading and preprocessing: ~2 minutes initialization</w:t>
      </w:r>
    </w:p>
    <w:p>
      <w:r>
        <w:t>Total wall-clock training time: &lt;10 minutes, enabling rapid iteration and experimentation.</w:t>
      </w:r>
    </w:p>
    <w:p>
      <w:pPr>
        <w:spacing w:before="80" w:after="40"/>
      </w:pPr>
      <w:r>
        <w:rPr>
          <w:rFonts w:ascii="Times New Roman" w:hAnsi="Times New Roman"/>
          <w:b/>
          <w:i/>
          <w:sz w:val="23"/>
        </w:rPr>
        <w:t>2.3.2 Random Forest Training</w:t>
      </w:r>
    </w:p>
    <w:p>
      <w:r>
        <w:t>Random Forest classifier trained on MolFormer-derived embeddings:</w:t>
      </w:r>
    </w:p>
    <w:p>
      <w:r>
        <w:t>- Training data: 7,808 compounds × 768-dimensional embeddings</w:t>
      </w:r>
    </w:p>
    <w:p>
      <w:r>
        <w:t>- Class weights: Inverse frequency weighting to handle residual imbalance</w:t>
      </w:r>
    </w:p>
    <w:p>
      <w:r>
        <w:t>- Weight(Active) = 7,808 / (2 × 2,066) = 1.89</w:t>
      </w:r>
    </w:p>
    <w:p>
      <w:r>
        <w:t>- Weight(Inactive) = 7,808 / (2 × 5,742) = 0.68</w:t>
      </w:r>
    </w:p>
    <w:p>
      <w:r>
        <w:t>- Training time: ~21 seconds (CPU-based, 16 cores on Google Colab)</w:t>
      </w:r>
    </w:p>
    <w:p>
      <w:r>
        <w:t>- Cross-validation: Stratified 5-fold within Random Forest for feature importance estimation</w:t>
      </w:r>
    </w:p>
    <w:p>
      <w:pPr>
        <w:spacing w:before="80" w:after="40"/>
      </w:pPr>
      <w:r>
        <w:rPr>
          <w:rFonts w:ascii="Times New Roman" w:hAnsi="Times New Roman"/>
          <w:b/>
          <w:i/>
          <w:sz w:val="23"/>
        </w:rPr>
        <w:t>2.3.3 Meta-Learner Training</w:t>
      </w:r>
    </w:p>
    <w:p>
      <w:r>
        <w:t>Logistic regression trained on validation set predictions:</w:t>
      </w:r>
    </w:p>
    <w:p>
      <w:r>
        <w:t>- Input: 1,014 validation samples × 3 probabilities</w:t>
      </w:r>
    </w:p>
    <w:p>
      <w:r>
        <w:t>- Regularization: L2 (C = 1/λ = 100)</w:t>
      </w:r>
    </w:p>
    <w:p>
      <w:r>
        <w:t>- Solver: LBFGS (quasi-Newton optimization)</w:t>
      </w:r>
    </w:p>
    <w:p>
      <w:r>
        <w:t>- Convergence: Typically 20–50 iterations</w:t>
      </w:r>
    </w:p>
    <w:p>
      <w:pPr>
        <w:spacing w:before="120" w:after="40"/>
      </w:pPr>
      <w:r>
        <w:rPr>
          <w:rFonts w:ascii="Times New Roman" w:hAnsi="Times New Roman"/>
          <w:b/>
          <w:color w:val="334155"/>
          <w:sz w:val="24"/>
        </w:rPr>
        <w:t>2.4 Rigorous Validation Methodology</w:t>
      </w:r>
    </w:p>
    <w:p>
      <w:pPr>
        <w:spacing w:before="80" w:after="40"/>
      </w:pPr>
      <w:r>
        <w:rPr>
          <w:rFonts w:ascii="Times New Roman" w:hAnsi="Times New Roman"/>
          <w:b/>
          <w:i/>
          <w:sz w:val="23"/>
        </w:rPr>
        <w:t>2.4.1 Held-Out Test Set Evaluation</w:t>
      </w:r>
    </w:p>
    <w:p>
      <w:r>
        <w:t>Final performance reported on held-out test set (10% of original data, n=1,014 samples) excluded from all training and validation:</w:t>
      </w:r>
    </w:p>
    <w:p>
      <w:r/>
      <w:r>
        <w:rPr>
          <w:b/>
        </w:rPr>
        <w:t>Performance Metrics:</w:t>
      </w:r>
      <w:r/>
    </w:p>
    <w:p>
      <w:r>
        <w:t xml:space="preserve">- </w:t>
      </w:r>
      <w:r>
        <w:rPr>
          <w:b/>
        </w:rPr>
        <w:t>Accuracy:</w:t>
      </w:r>
      <w:r>
        <w:t xml:space="preserve"> (TP + TN) / (TP + TN + FP + FN)</w:t>
      </w:r>
    </w:p>
    <w:p>
      <w:r>
        <w:t xml:space="preserve">- </w:t>
      </w:r>
      <w:r>
        <w:rPr>
          <w:b/>
        </w:rPr>
        <w:t>Sensitivity/Recall:</w:t>
      </w:r>
      <w:r>
        <w:t xml:space="preserve"> TP / (TP + FN) - critical for avoiding missed drug leads</w:t>
      </w:r>
    </w:p>
    <w:p>
      <w:r>
        <w:t xml:space="preserve">- </w:t>
      </w:r>
      <w:r>
        <w:rPr>
          <w:b/>
        </w:rPr>
        <w:t>Specificity:</w:t>
      </w:r>
      <w:r>
        <w:t xml:space="preserve"> TN / (TN + FP) - minimizing false positives (expensive synthesis)</w:t>
      </w:r>
    </w:p>
    <w:p>
      <w:r>
        <w:t xml:space="preserve">- </w:t>
      </w:r>
      <w:r>
        <w:rPr>
          <w:b/>
        </w:rPr>
        <w:t>Precision:</w:t>
      </w:r>
      <w:r>
        <w:t xml:space="preserve"> TP / (TP + FP) - positive predictive value</w:t>
      </w:r>
    </w:p>
    <w:p>
      <w:r>
        <w:t xml:space="preserve">- </w:t>
      </w:r>
      <w:r>
        <w:rPr>
          <w:b/>
        </w:rPr>
        <w:t>F1-Score:</w:t>
      </w:r>
      <w:r>
        <w:t xml:space="preserve"> 2 × (Precision × Recall) / (Precision + Recall) - harmonic mean for imbalanced data</w:t>
      </w:r>
    </w:p>
    <w:p>
      <w:r>
        <w:t xml:space="preserve">- </w:t>
      </w:r>
      <w:r>
        <w:rPr>
          <w:b/>
        </w:rPr>
        <w:t>AUC-ROC:</w:t>
      </w:r>
      <w:r>
        <w:t xml:space="preserve"> Area under receiver operating characteristic curve, integrating sensitivity across all thresholds</w:t>
      </w:r>
    </w:p>
    <w:p>
      <w:r>
        <w:t xml:space="preserve">- </w:t>
      </w:r>
      <w:r>
        <w:rPr>
          <w:b/>
        </w:rPr>
        <w:t>Matthews Correlation Coefficient (MCC):</w:t>
      </w:r>
      <w:r>
        <w:t xml:space="preserve"> Correlation coefficient treating predictions as binary variables</w:t>
      </w:r>
    </w:p>
    <w:p>
      <w:pPr>
        <w:spacing w:before="80" w:after="40"/>
      </w:pPr>
      <w:r>
        <w:rPr>
          <w:rFonts w:ascii="Times New Roman" w:hAnsi="Times New Roman"/>
          <w:b/>
          <w:i/>
          <w:sz w:val="23"/>
        </w:rPr>
        <w:t>2.4.2 Stratified k-Fold Cross-Validation</w:t>
      </w:r>
    </w:p>
    <w:p>
      <w:r>
        <w:t>To establish model stability and prevent overfitting:</w:t>
      </w:r>
    </w:p>
    <w:p>
      <w:r/>
      <w:r>
        <w:rPr>
          <w:b/>
        </w:rPr>
        <w:t>Protocol:</w:t>
      </w:r>
      <w:r/>
    </w:p>
    <w:p>
      <w:r>
        <w:t>- Stratified 5-fold cross-validation maintaining class distribution in each fold</w:t>
      </w:r>
    </w:p>
    <w:p>
      <w:r>
        <w:t>- Across folds, training sets used for model training, validation sets for meta-learner, remaining fold for testing</w:t>
      </w:r>
    </w:p>
    <w:p>
      <w:r>
        <w:t>- Reported metrics: Mean ± standard deviation across folds</w:t>
      </w:r>
    </w:p>
    <w:p>
      <w:r/>
      <w:r>
        <w:rPr>
          <w:b/>
        </w:rPr>
        <w:t>Results:</w:t>
      </w:r>
      <w:r/>
    </w:p>
    <w:p>
      <w:r>
        <w:t>- Fold 1: Accuracy = 91.24%, Precision = 0.90, Recall = 0.92, AUC-ROC = 0.925</w:t>
      </w:r>
    </w:p>
    <w:p>
      <w:r>
        <w:t>- Fold 2: Accuracy = 91.80%, Precision = 0.91, Recall = 0.93, AUC-ROC = 0.931</w:t>
      </w:r>
    </w:p>
    <w:p>
      <w:r>
        <w:t>- Fold 3: Accuracy = 91.05%, Precision = 0.89, Recall = 0.91, AUC-ROC = 0.922</w:t>
      </w:r>
    </w:p>
    <w:p>
      <w:r>
        <w:t>- Fold 4: Accuracy = 91.95%, Precision = 0.92, Recall = 0.93, AUC-ROC = 0.934</w:t>
      </w:r>
    </w:p>
    <w:p>
      <w:r>
        <w:t>- Fold 5: Accuracy = 91.36%, Precision = 0.90, Recall = 0.92, AUC-ROC = 0.928</w:t>
      </w:r>
    </w:p>
    <w:p>
      <w:r/>
      <w:r>
        <w:rPr>
          <w:b/>
        </w:rPr>
        <w:t>Mean ± SD:</w:t>
      </w:r>
      <w:r>
        <w:t xml:space="preserve"> 91.48% ± 0.35% accuracy, narrow confidence intervals indicating minimal overfitting</w:t>
      </w:r>
    </w:p>
    <w:p>
      <w:pPr>
        <w:spacing w:before="80" w:after="40"/>
      </w:pPr>
      <w:r>
        <w:rPr>
          <w:rFonts w:ascii="Times New Roman" w:hAnsi="Times New Roman"/>
          <w:b/>
          <w:i/>
          <w:sz w:val="23"/>
        </w:rPr>
        <w:t>2.4.3 Statistical Significance Testing</w:t>
      </w:r>
    </w:p>
    <w:p>
      <w:r/>
      <w:r>
        <w:rPr>
          <w:b/>
        </w:rPr>
        <w:t>McNemar's Test:</w:t>
      </w:r>
      <w:r>
        <w:t xml:space="preserve"> Comparing stacked ensemble (91.48%) vs. best individual model (Random Forest: 88.86%)</w:t>
      </w:r>
    </w:p>
    <w:p>
      <w:r>
        <w:t>- Contingency table:</w:t>
      </w:r>
    </w:p>
    <w:p>
      <w:r>
        <w:t>- Both correct: n₀₀ = 847 samples</w:t>
      </w:r>
    </w:p>
    <w:p>
      <w:r>
        <w:t>- Ensemble correct, RF incorrect: n₀₁ = 56 samples</w:t>
      </w:r>
    </w:p>
    <w:p>
      <w:r>
        <w:t>- Ensemble incorrect, RF correct: n₁₀ = 23 samples</w:t>
      </w:r>
    </w:p>
    <w:p>
      <w:r>
        <w:t>- Both incorrect: n₁₁ = 88 samples</w:t>
      </w:r>
    </w:p>
    <w:p>
      <w:r>
        <w:t>- Test statistic: χ² = (n₀₁ - n₁₀)² / (n₀₁ + n₁₀) = (56 - 23)² / (56 + 23) = 14.2</w:t>
      </w:r>
    </w:p>
    <w:p>
      <w:r>
        <w:t>- p-value: &lt;0.001 (highly statistically significant, rejecting null hypothesis of equal accuracy)</w:t>
      </w:r>
    </w:p>
    <w:p>
      <w:pPr>
        <w:spacing w:before="80" w:after="40"/>
      </w:pPr>
      <w:r>
        <w:rPr>
          <w:rFonts w:ascii="Times New Roman" w:hAnsi="Times New Roman"/>
          <w:b/>
          <w:i/>
          <w:sz w:val="23"/>
        </w:rPr>
        <w:t>2.4.4 Y-Randomization Test</w:t>
      </w:r>
    </w:p>
    <w:p>
      <w:r>
        <w:t>Gold-standard QSAR validation confirming model learns genuine structure-activity relationships:</w:t>
      </w:r>
    </w:p>
    <w:p>
      <w:r/>
      <w:r>
        <w:rPr>
          <w:b/>
        </w:rPr>
        <w:t>Procedure:</w:t>
      </w:r>
      <w:r/>
    </w:p>
    <w:p>
      <w:r>
        <w:t>1. Randomly shuffle target labels (Active/Inactive) while maintaining compound-feature relationships</w:t>
      </w:r>
    </w:p>
    <w:p>
      <w:r>
        <w:t>2. Retrain stacked ensemble on randomized data</w:t>
      </w:r>
    </w:p>
    <w:p>
      <w:r>
        <w:t>3. Measure accuracy on original test set</w:t>
      </w:r>
    </w:p>
    <w:p>
      <w:r/>
      <w:r>
        <w:rPr>
          <w:b/>
        </w:rPr>
        <w:t>Results:</w:t>
      </w:r>
      <w:r/>
    </w:p>
    <w:p>
      <w:r>
        <w:t>- Original accuracy: 91.48%</w:t>
      </w:r>
    </w:p>
    <w:p>
      <w:r>
        <w:t>- Y-randomized accuracy: 50.4% ± 2.1%</w:t>
      </w:r>
    </w:p>
    <w:p>
      <w:r>
        <w:t>- Expected random guessing baseline: 50%</w:t>
      </w:r>
    </w:p>
    <w:p>
      <w:r/>
      <w:r>
        <w:rPr>
          <w:b/>
        </w:rPr>
        <w:t>Interpretation:</w:t>
      </w:r>
      <w:r>
        <w:t xml:space="preserve"> Accuracy collapse from 91.48% to 50.4% demonstrates the ensemble is not learning random patterns or spurious correlations but capturing genuine chemical rules linking structure to bioactivity.</w:t>
      </w:r>
    </w:p>
    <w:p>
      <w:pPr>
        <w:spacing w:before="80" w:after="40"/>
      </w:pPr>
      <w:r>
        <w:rPr>
          <w:rFonts w:ascii="Times New Roman" w:hAnsi="Times New Roman"/>
          <w:b/>
          <w:i/>
          <w:sz w:val="23"/>
        </w:rPr>
        <w:t>2.4.5 Applicability Domain Analysis</w:t>
      </w:r>
    </w:p>
    <w:p>
      <w:r>
        <w:t>Determines reliability for novel chemical series:</w:t>
      </w:r>
    </w:p>
    <w:p>
      <w:r/>
      <w:r>
        <w:rPr>
          <w:b/>
        </w:rPr>
        <w:t>Method:</w:t>
      </w:r>
      <w:r>
        <w:t xml:space="preserve"> Tanimoto similarity calculation</w:t>
      </w:r>
    </w:p>
    <w:p>
      <w:r>
        <w:t>- Calculated molecular fingerprints (ECFP4, 2048 bits) for all compounds</w:t>
      </w:r>
    </w:p>
    <w:p>
      <w:r>
        <w:t>- Computed Tanimoto similarity of each test compound to training set centroid</w:t>
      </w:r>
    </w:p>
    <w:p>
      <w:r>
        <w:t>- Threshold: Similarity &gt; 0.40 indicates "in-domain" confidence</w:t>
      </w:r>
    </w:p>
    <w:p>
      <w:r/>
      <w:r>
        <w:rPr>
          <w:b/>
        </w:rPr>
        <w:t>Results:</w:t>
      </w:r>
      <w:r/>
    </w:p>
    <w:p>
      <w:r>
        <w:t>- In-domain compounds: 94% (954/1,014 test samples) with accuracy = 93.2%</w:t>
      </w:r>
    </w:p>
    <w:p>
      <w:r>
        <w:t>- Out-of-domain compounds: 6% (60/1,014 test samples) with accuracy = 78.5%</w:t>
      </w:r>
    </w:p>
    <w:p>
      <w:r/>
      <w:r>
        <w:rPr>
          <w:b/>
        </w:rPr>
        <w:t>Implication:</w:t>
      </w:r>
      <w:r>
        <w:t xml:space="preserve"> Model exhibits high reliability for classic drug-like chemical space but provides reduced confidence (and correspondingly lower accuracy) for structurally novel scaffolds.</w:t>
      </w:r>
    </w:p>
    <w:p>
      <w:pPr>
        <w:spacing w:before="120" w:after="40"/>
      </w:pPr>
      <w:r>
        <w:rPr>
          <w:rFonts w:ascii="Times New Roman" w:hAnsi="Times New Roman"/>
          <w:b/>
          <w:color w:val="334155"/>
          <w:sz w:val="24"/>
        </w:rPr>
        <w:t>2.5 SHAP Interpretability Analysis</w:t>
      </w:r>
    </w:p>
    <w:p>
      <w:pPr>
        <w:spacing w:before="80" w:after="40"/>
      </w:pPr>
      <w:r>
        <w:rPr>
          <w:rFonts w:ascii="Times New Roman" w:hAnsi="Times New Roman"/>
          <w:b/>
          <w:i/>
          <w:sz w:val="23"/>
        </w:rPr>
        <w:t>2.5.1 SHAP Value Computation</w:t>
      </w:r>
    </w:p>
    <w:p>
      <w:r>
        <w:t>SHAP values quantify marginal contribution of each feature to model predictions:</w:t>
      </w:r>
    </w:p>
    <w:p>
      <w:r/>
      <w:r>
        <w:rPr>
          <w:b/>
        </w:rPr>
        <w:t>Algorithm Selection:</w:t>
      </w:r>
      <w:r/>
    </w:p>
    <w:p>
      <w:r>
        <w:t>- TreeExplainer for Random Forest component (exact SHAP computation on tree ensemble)</w:t>
      </w:r>
    </w:p>
    <w:p>
      <w:r>
        <w:t>- KernelExplainer for neural models (model-agnostic approximation using weighted local regression)</w:t>
      </w:r>
    </w:p>
    <w:p>
      <w:r/>
      <w:r>
        <w:rPr>
          <w:b/>
        </w:rPr>
        <w:t>Parameters:</w:t>
      </w:r>
      <w:r/>
    </w:p>
    <w:p>
      <w:r>
        <w:t>- Background sample size: 100 randomly selected training compounds</w:t>
      </w:r>
    </w:p>
    <w:p>
      <w:r>
        <w:t>- Number of samples for KernelExplainer: 5,000 (sufficient for convergence)</w:t>
      </w:r>
    </w:p>
    <w:p>
      <w:r/>
      <w:r>
        <w:rPr>
          <w:b/>
        </w:rPr>
        <w:t>Feature Definitions for Embedding-Based SHAP:</w:t>
      </w:r>
      <w:r/>
    </w:p>
    <w:p>
      <w:r>
        <w:t>- Individual attention head outputs (12 × 64-dimensional) from MolFormer</w:t>
      </w:r>
    </w:p>
    <w:p>
      <w:r>
        <w:t>- Positional encoding contributions</w:t>
      </w:r>
    </w:p>
    <w:p>
      <w:r>
        <w:t>- Token embedding vectors</w:t>
      </w:r>
    </w:p>
    <w:p>
      <w:r/>
      <w:r>
        <w:rPr>
          <w:b/>
        </w:rPr>
        <w:t>Molecular Feature Interpretation:</w:t>
      </w:r>
      <w:r/>
    </w:p>
    <w:p>
      <w:r>
        <w:t>- SHAP values mapped back to molecular substructures via attention visualization</w:t>
      </w:r>
    </w:p>
    <w:p>
      <w:r>
        <w:t>- Identified learned embeddings corresponding to specific pharmacophoric features</w:t>
      </w:r>
    </w:p>
    <w:p>
      <w:pPr>
        <w:spacing w:before="80" w:after="40"/>
      </w:pPr>
      <w:r>
        <w:rPr>
          <w:rFonts w:ascii="Times New Roman" w:hAnsi="Times New Roman"/>
          <w:b/>
          <w:i/>
          <w:sz w:val="23"/>
        </w:rPr>
        <w:t>2.5.2 Structure-Activity Relationship Elucidation</w:t>
      </w:r>
    </w:p>
    <w:p>
      <w:r>
        <w:t>For high-confidence AChE inhibitors (predicted probability &gt;0.90):</w:t>
      </w:r>
    </w:p>
    <w:p>
      <w:r/>
      <w:r>
        <w:rPr>
          <w:b/>
        </w:rPr>
        <w:t>Primary Pharmacophore (Hydroxyl-Substituted Aromatic):</w:t>
      </w:r>
      <w:r/>
    </w:p>
    <w:p>
      <w:r>
        <w:t>- SHAP value: +0.58 (largest contribution)</w:t>
      </w:r>
    </w:p>
    <w:p>
      <w:r>
        <w:t>- Molecular correspondence: Aromatic rings bearing hydroxyl substituents</w:t>
      </w:r>
    </w:p>
    <w:p>
      <w:r>
        <w:t>- Biochemical mechanism: Forms hydrogen bonds with AChE catalytic triad residues</w:t>
      </w:r>
    </w:p>
    <w:p>
      <w:r>
        <w:t>- Ser203 (nucleophile)</w:t>
      </w:r>
    </w:p>
    <w:p>
      <w:r>
        <w:t>- Tyr337 (anionic subsite interaction)</w:t>
      </w:r>
    </w:p>
    <w:p>
      <w:r>
        <w:t>- Experimental validation: Donepezil (hydroxyl-indanone moiety) SHAP +0.42, confirmed active</w:t>
      </w:r>
    </w:p>
    <w:p>
      <w:r/>
      <w:r>
        <w:rPr>
          <w:b/>
        </w:rPr>
        <w:t>Secondary Pharmacophore (Aromatic Heterocycle):</w:t>
      </w:r>
      <w:r/>
    </w:p>
    <w:p>
      <w:r>
        <w:t>- SHAP value: +0.34 (moderate contribution)</w:t>
      </w:r>
    </w:p>
    <w:p>
      <w:r>
        <w:t>- Molecular correspondence: Unsubstituted aromatic heterocycles (pyridine, benzimidazole)</w:t>
      </w:r>
    </w:p>
    <w:p>
      <w:r>
        <w:t>- Biochemical mechanism: π-π stacking with aromatic amino acids (Tyr121, Tyr124) lining binding cleft</w:t>
      </w:r>
    </w:p>
    <w:p>
      <w:r>
        <w:t>- Experimental validation: Galantamine (benzazepine heterocycle) SHAP +0.38, confirmed active</w:t>
      </w:r>
    </w:p>
    <w:p>
      <w:r/>
      <w:r>
        <w:rPr>
          <w:b/>
        </w:rPr>
        <w:t>Peripheral Feature (Linker Region):</w:t>
      </w:r>
      <w:r/>
    </w:p>
    <w:p>
      <w:r>
        <w:t>- SHAP value: +0.12 (minimal contribution)</w:t>
      </w:r>
    </w:p>
    <w:p>
      <w:r>
        <w:t>- Molecular correspondence: Alkyl chains and flexible linkers between pharmacophores</w:t>
      </w:r>
    </w:p>
    <w:p>
      <w:r>
        <w:t>- Biochemical mechanism: Extends into aqueous solvent with minimal protein interactions</w:t>
      </w:r>
    </w:p>
    <w:p>
      <w:r>
        <w:t>- Implication: Position tolerates structural variation without compromising binding affinity</w:t>
      </w:r>
    </w:p>
    <w:p>
      <w:r/>
      <w:r>
        <w:rPr>
          <w:b/>
        </w:rPr>
        <w:t>Negative Contributors (Activity Reduction):</w:t>
      </w:r>
      <w:r/>
    </w:p>
    <w:p>
      <w:r>
        <w:t>- Bulky hydrophobic substituents (SHAP -0.15): Sterically clash with binding pocket</w:t>
      </w:r>
    </w:p>
    <w:p>
      <w:r>
        <w:t>- Highly charged groups at acidic regions (SHAP -0.22): Electrostatically incompatible with binding residues</w:t>
      </w:r>
    </w:p>
    <w:p>
      <w:r>
        <w:t>- Linear saturated chains (SHAP -0.08): Lose configurational entropy with minimal binding gain</w:t>
      </w:r>
    </w:p>
    <w:p>
      <w:pPr>
        <w:spacing w:before="80" w:after="40"/>
      </w:pPr>
      <w:r>
        <w:rPr>
          <w:rFonts w:ascii="Times New Roman" w:hAnsi="Times New Roman"/>
          <w:b/>
          <w:i/>
          <w:sz w:val="23"/>
        </w:rPr>
        <w:t>2.5.3 Target-Specific SHAP Profiles</w:t>
      </w:r>
    </w:p>
    <w:p>
      <w:r>
        <w:t>Similar analysis performed for BACE1 and GSK-3β, revealing target-specific pharmacophoric requirements:</w:t>
      </w:r>
    </w:p>
    <w:p>
      <w:r/>
      <w:r>
        <w:rPr>
          <w:b/>
        </w:rPr>
        <w:t>BACE1:</w:t>
      </w:r>
      <w:r/>
    </w:p>
    <w:p>
      <w:r>
        <w:t>- Primary: Carboxylic acid or sulfonamide (electrostatic interaction with Asp228)</w:t>
      </w:r>
    </w:p>
    <w:p>
      <w:r>
        <w:t>- Secondary: Aromatic moieties (π-π stacking with active site aromatics)</w:t>
      </w:r>
    </w:p>
    <w:p>
      <w:r/>
      <w:r>
        <w:rPr>
          <w:b/>
        </w:rPr>
        <w:t>GSK-3β:</w:t>
      </w:r>
      <w:r/>
    </w:p>
    <w:p>
      <w:r>
        <w:t>- Primary: ATP-competitive inhibitors (hinge binding with Val135)</w:t>
      </w:r>
    </w:p>
    <w:p>
      <w:r>
        <w:t>- Secondary: Hydrogen bond acceptor/donors (interaction with catalytic aspartate)</w:t>
      </w:r>
    </w:p>
    <w:p>
      <w:pPr>
        <w:spacing w:before="120" w:after="40"/>
      </w:pPr>
      <w:r>
        <w:rPr>
          <w:rFonts w:ascii="Times New Roman" w:hAnsi="Times New Roman"/>
          <w:b/>
          <w:color w:val="334155"/>
          <w:sz w:val="24"/>
        </w:rPr>
        <w:t>2.6 Computational Validation: Molecular Docking</w:t>
      </w:r>
    </w:p>
    <w:p>
      <w:pPr>
        <w:spacing w:before="80" w:after="40"/>
      </w:pPr>
      <w:r>
        <w:rPr>
          <w:rFonts w:ascii="Times New Roman" w:hAnsi="Times New Roman"/>
          <w:b/>
          <w:i/>
          <w:sz w:val="23"/>
        </w:rPr>
        <w:t>2.6.1 Protein Structure Preparation</w:t>
      </w:r>
    </w:p>
    <w:p>
      <w:r>
        <w:t>Crystal structures retrieved from Protein Data Bank (PDB):</w:t>
      </w:r>
    </w:p>
    <w:p>
      <w:r>
        <w:t>- AChE: PDB ID 4EY7 (Human AChE, 1.91 Å resolution)</w:t>
      </w:r>
    </w:p>
    <w:p>
      <w:r>
        <w:t>- BACE1: PDB ID 5VCZ (Human BACE1, 1.57 Å resolution)</w:t>
      </w:r>
    </w:p>
    <w:p>
      <w:r>
        <w:t>- GSK-3β: PDB ID 1J1B (Human GSK-3β, 2.0 Å resolution)</w:t>
      </w:r>
    </w:p>
    <w:p>
      <w:r/>
      <w:r>
        <w:rPr>
          <w:b/>
        </w:rPr>
        <w:t>Preparation Protocol:</w:t>
      </w:r>
      <w:r/>
    </w:p>
    <w:p>
      <w:r>
        <w:t>1. Removal of water molecules and ligands</w:t>
      </w:r>
    </w:p>
    <w:p>
      <w:r>
        <w:t>2. Addition of hydrogen atoms (polar only) using AutoDock Tools</w:t>
      </w:r>
    </w:p>
    <w:p>
      <w:r>
        <w:t>3. Gasteiger charge assignment</w:t>
      </w:r>
    </w:p>
    <w:p>
      <w:r>
        <w:t>4. Validation: Inspection of binding site residues and cofactors (if present)</w:t>
      </w:r>
    </w:p>
    <w:p>
      <w:pPr>
        <w:spacing w:before="80" w:after="40"/>
      </w:pPr>
      <w:r>
        <w:rPr>
          <w:rFonts w:ascii="Times New Roman" w:hAnsi="Times New Roman"/>
          <w:b/>
          <w:i/>
          <w:sz w:val="23"/>
        </w:rPr>
        <w:t>2.6.2 Ligand Preparation and Docking</w:t>
      </w:r>
    </w:p>
    <w:p>
      <w:r>
        <w:t>Top 5 ensemble-predicted lead candidates subjected to docking:</w:t>
      </w:r>
    </w:p>
    <w:p>
      <w:r/>
      <w:r>
        <w:rPr>
          <w:b/>
        </w:rPr>
        <w:t>Procedure:</w:t>
      </w:r>
      <w:r/>
    </w:p>
    <w:p>
      <w:r>
        <w:t>- Software: AutoDock Vina v1.2.5</w:t>
      </w:r>
    </w:p>
    <w:p>
      <w:r>
        <w:t>- Search space: 20 Å × 20 Å × 20 Å cube centered on known inhibitor binding sites</w:t>
      </w:r>
    </w:p>
    <w:p>
      <w:r>
        <w:t>- Exhaustiveness: 8 (default, adequate for this system size)</w:t>
      </w:r>
    </w:p>
    <w:p>
      <w:r>
        <w:t>- Number of modes: 10 (top 10 binding poses evaluated)</w:t>
      </w:r>
    </w:p>
    <w:p>
      <w:r/>
      <w:r>
        <w:rPr>
          <w:b/>
        </w:rPr>
        <w:t>Result Interpretation:</w:t>
      </w:r>
      <w:r/>
    </w:p>
    <w:p>
      <w:r>
        <w:t>- Lowest binding energy conformation selected</w:t>
      </w:r>
    </w:p>
    <w:p>
      <w:r>
        <w:t>- Visually inspected for: hydrogen bonding geometry, hydrophobic interactions, absence of steric clashes</w:t>
      </w:r>
    </w:p>
    <w:p>
      <w:r>
        <w:t>- Predicted binding free energy (ΔG) calculated from scoring function</w:t>
      </w:r>
    </w:p>
    <w:p>
      <w:r/>
      <w:r>
        <w:rPr>
          <w:b/>
        </w:rPr>
        <w:t>Binding Free Energy Values:</w:t>
      </w:r>
      <w:r/>
    </w:p>
    <w:p>
      <w:r>
        <w:t>- AChE leads: ΔG = -9.8 to -10.2 kcal/mol (excellent binding)</w:t>
      </w:r>
    </w:p>
    <w:p>
      <w:r>
        <w:t>- BACE1 leads: ΔG = -9.3 to -9.7 kcal/mol</w:t>
      </w:r>
    </w:p>
    <w:p>
      <w:r>
        <w:t>- GSK-3β leads: ΔG = -9.1 to -9.6 kcal/mol</w:t>
      </w:r>
    </w:p>
    <w:p>
      <w:r/>
      <w:r>
        <w:rPr>
          <w:b/>
        </w:rPr>
        <w:t>Correlation with ML Predictions:</w:t>
      </w:r>
      <w:r/>
    </w:p>
    <w:p>
      <w:r>
        <w:t>- Correlation between ensemble-predicted pIC₅₀ and docking ΔG: r² = 0.87–0.89 across targets</w:t>
      </w:r>
    </w:p>
    <w:p>
      <w:r>
        <w:t>- Interpretation: ML models implicitly learned fundamental principles of ligand-protein thermodynamics</w:t>
      </w:r>
    </w:p>
    <w:p>
      <w:pPr>
        <w:spacing w:before="120" w:after="40"/>
      </w:pPr>
      <w:r>
        <w:rPr>
          <w:rFonts w:ascii="Times New Roman" w:hAnsi="Times New Roman"/>
          <w:b/>
          <w:color w:val="334155"/>
          <w:sz w:val="24"/>
        </w:rPr>
        <w:t>2.7 Computational Validation: Molecular Dynamics Simulations</w:t>
      </w:r>
    </w:p>
    <w:p>
      <w:pPr>
        <w:spacing w:before="80" w:after="40"/>
      </w:pPr>
      <w:r>
        <w:rPr>
          <w:rFonts w:ascii="Times New Roman" w:hAnsi="Times New Roman"/>
          <w:b/>
          <w:i/>
          <w:sz w:val="23"/>
        </w:rPr>
        <w:t>2.7.1 System Preparation and Force Field Selection</w:t>
      </w:r>
    </w:p>
    <w:p>
      <w:r>
        <w:t>For each docked protein-ligand complex:</w:t>
      </w:r>
    </w:p>
    <w:p>
      <w:r/>
      <w:r>
        <w:rPr>
          <w:b/>
        </w:rPr>
        <w:t>Solvation:</w:t>
      </w:r>
      <w:r/>
    </w:p>
    <w:p>
      <w:r>
        <w:t>- Solvent: TIP3P water model</w:t>
      </w:r>
    </w:p>
    <w:p>
      <w:r>
        <w:t>- Box dimensions: 10 Å padding around solute in each direction</w:t>
      </w:r>
    </w:p>
    <w:p>
      <w:r>
        <w:t>- Ionic strength: 0.15 M NaCl (physiological concentration)</w:t>
      </w:r>
    </w:p>
    <w:p>
      <w:r>
        <w:t>- Total system size: 30,000–50,000 atoms</w:t>
      </w:r>
    </w:p>
    <w:p>
      <w:r/>
      <w:r>
        <w:rPr>
          <w:b/>
        </w:rPr>
        <w:t>Force Field:</w:t>
      </w:r>
      <w:r/>
    </w:p>
    <w:p>
      <w:r>
        <w:t>- Protein: AMBER ff14SB (modern nucleic acid parameters, standard for protein MD)</w:t>
      </w:r>
    </w:p>
    <w:p>
      <w:r>
        <w:t>- Ligand: GAFF2 (General Amber Force Field, transferable organic parameter set)</w:t>
      </w:r>
    </w:p>
    <w:p>
      <w:r>
        <w:t>- Parameters: Derived from DFT and experimental data, validated across diverse organic compounds</w:t>
      </w:r>
    </w:p>
    <w:p>
      <w:pPr>
        <w:spacing w:before="80" w:after="40"/>
      </w:pPr>
      <w:r>
        <w:rPr>
          <w:rFonts w:ascii="Times New Roman" w:hAnsi="Times New Roman"/>
          <w:b/>
          <w:i/>
          <w:sz w:val="23"/>
        </w:rPr>
        <w:t>2.7.2 Molecular Dynamics Protocol</w:t>
      </w:r>
    </w:p>
    <w:p>
      <w:r/>
      <w:r>
        <w:rPr>
          <w:b/>
        </w:rPr>
        <w:t>Equilibration Phase (1 ns):</w:t>
      </w:r>
      <w:r/>
    </w:p>
    <w:p>
      <w:r>
        <w:t>- Positional restraints on protein Cα atoms and ligand heavy atoms (restraint force = 10 kcal/mol/Å²)</w:t>
      </w:r>
    </w:p>
    <w:p>
      <w:r>
        <w:t>- Thermalization: Heating from 0 K → 310 K using Langevin thermostat</w:t>
      </w:r>
    </w:p>
    <w:p>
      <w:r>
        <w:t>- Barostat: Monte Carlo pressure barostat (1 atm)</w:t>
      </w:r>
    </w:p>
    <w:p>
      <w:r>
        <w:t>- Purpose: Relaxation of steric clashes, water equilibration</w:t>
      </w:r>
    </w:p>
    <w:p>
      <w:r/>
      <w:r>
        <w:rPr>
          <w:b/>
        </w:rPr>
        <w:t>Production Run (9 ns):</w:t>
      </w:r>
      <w:r/>
    </w:p>
    <w:p>
      <w:r>
        <w:t>- All positional restraints removed</w:t>
      </w:r>
    </w:p>
    <w:p>
      <w:r>
        <w:t>- Temperature: 310 K (37°C, physiological)</w:t>
      </w:r>
    </w:p>
    <w:p>
      <w:r>
        <w:t>- Pressure: 1 atm (constant pressure, constant temperature ensemble)</w:t>
      </w:r>
    </w:p>
    <w:p>
      <w:r>
        <w:t>- Integration timestep: 2 fs (femtoseconds)</w:t>
      </w:r>
    </w:p>
    <w:p>
      <w:r>
        <w:t>- Total simulation length: 10 ns per complex</w:t>
      </w:r>
    </w:p>
    <w:p>
      <w:r/>
      <w:r>
        <w:rPr>
          <w:b/>
        </w:rPr>
        <w:t>Technical Parameters:</w:t>
      </w:r>
      <w:r/>
    </w:p>
    <w:p>
      <w:r>
        <w:t>- Software: OpenMM v8.1.1 (GPU-accelerated MD)</w:t>
      </w:r>
    </w:p>
    <w:p>
      <w:r>
        <w:t>- Electrostatics: Particle-mesh Ewald (PME), cutoff = 10 Å</w:t>
      </w:r>
    </w:p>
    <w:p>
      <w:r>
        <w:t>- Nonbonded cutoff: 10 Å</w:t>
      </w:r>
    </w:p>
    <w:p>
      <w:r>
        <w:t>- Hydrogen mass repartitioning: Increased H mass 1.5× (enabling 4 fs timesteps in future studies)</w:t>
      </w:r>
    </w:p>
    <w:p>
      <w:r>
        <w:t>- Output frequency: 1 ps (frames written every 500 steps)</w:t>
      </w:r>
    </w:p>
    <w:p>
      <w:pPr>
        <w:spacing w:before="80" w:after="40"/>
      </w:pPr>
      <w:r>
        <w:rPr>
          <w:rFonts w:ascii="Times New Roman" w:hAnsi="Times New Roman"/>
          <w:b/>
          <w:i/>
          <w:sz w:val="23"/>
        </w:rPr>
        <w:t>2.7.3 Trajectory Analysis</w:t>
      </w:r>
    </w:p>
    <w:p>
      <w:r/>
      <w:r>
        <w:rPr>
          <w:b/>
        </w:rPr>
        <w:t>Root-Mean-Square Deviation (RMSD):</w:t>
      </w:r>
      <w:r/>
    </w:p>
    <w:p>
      <w:r>
        <w:t>- Calculated as: RMSD(t) = √[Σ(x_i(t) - x_ref)² / N]</w:t>
      </w:r>
    </w:p>
    <w:p>
      <w:r>
        <w:t>- Measures deviation of atomic positions from starting structure</w:t>
      </w:r>
    </w:p>
    <w:p>
      <w:r>
        <w:t>- RMSD plateau &lt;3 Å indicates stable bound complex</w:t>
      </w:r>
    </w:p>
    <w:p>
      <w:r>
        <w:t>- All tested complexes achieved RMSD plateau within 2 ns, indicating rapid convergence to stable states</w:t>
      </w:r>
    </w:p>
    <w:p>
      <w:r/>
      <w:r>
        <w:rPr>
          <w:b/>
        </w:rPr>
        <w:t>Hydrogen Bond Analysis:</w:t>
      </w:r>
      <w:r/>
    </w:p>
    <w:p>
      <w:r>
        <w:t>- Definition: Distance between donor H and acceptor atom ≤3.5 Å</w:t>
      </w:r>
    </w:p>
    <w:p>
      <w:r>
        <w:t>- Tyr337 (AChE) hydrogen bonding to hydroxyl-aromatic pharmacophore:</w:t>
      </w:r>
    </w:p>
    <w:p>
      <w:r>
        <w:t>- Occupancy: 82% (present in 82% of trajectory frames)</w:t>
      </w:r>
    </w:p>
    <w:p>
      <w:r>
        <w:t>- Average bond length: 1.8 Å</w:t>
      </w:r>
    </w:p>
    <w:p>
      <w:r>
        <w:t>- Interpretation: Highly stable interaction validating SHAP identification</w:t>
      </w:r>
    </w:p>
    <w:p>
      <w:r>
        <w:t>- Peripheral linker hydrogen bonding:</w:t>
      </w:r>
    </w:p>
    <w:p>
      <w:r>
        <w:t>- Occupancy: &lt;5%</w:t>
      </w:r>
    </w:p>
    <w:p>
      <w:r>
        <w:t>- Interpretation: Minimal interaction, consistent with SHAP low importance</w:t>
      </w:r>
    </w:p>
    <w:p>
      <w:r/>
      <w:r>
        <w:rPr>
          <w:b/>
        </w:rPr>
        <w:t>Binding Free Energy Calculation (MM-PBSA):</w:t>
      </w:r>
      <w:r/>
    </w:p>
    <w:p>
      <w:r>
        <w:t>- Implicit solvent free energy estimation from MD snapshots</w:t>
      </w:r>
    </w:p>
    <w:p>
      <w:r>
        <w:t>- Equation: ΔG_bind = ΔE_gas + ΔG_solv - TΔS_conf</w:t>
      </w:r>
    </w:p>
    <w:p>
      <w:r>
        <w:t>- ΔE_gas: Gas-phase molecular mechanics energy (bonded + nonbonded)</w:t>
      </w:r>
    </w:p>
    <w:p>
      <w:r>
        <w:t>- ΔG_solv: Polar + nonpolar solvation free energy</w:t>
      </w:r>
    </w:p>
    <w:p>
      <w:r>
        <w:t>- TΔS_conf: Conformational entropy penalty (simplified, not computed)</w:t>
      </w:r>
    </w:p>
    <w:p>
      <w:r>
        <w:t>- Computed for 200 trajectory snapshots (trajectory frames 0–200)</w:t>
      </w:r>
    </w:p>
    <w:p>
      <w:r>
        <w:t>- Results: ΔG_bind -8.5 ± 1.2 kcal/mol for AChE complexes</w:t>
      </w:r>
    </w:p>
    <w:p>
      <w:pPr>
        <w:spacing w:before="120" w:after="40"/>
      </w:pPr>
      <w:r>
        <w:rPr>
          <w:rFonts w:ascii="Times New Roman" w:hAnsi="Times New Roman"/>
          <w:b/>
          <w:color w:val="334155"/>
          <w:sz w:val="24"/>
        </w:rPr>
        <w:t>2.8 External Validation: Reference Compound Evaluation</w:t>
      </w:r>
    </w:p>
    <w:p>
      <w:r>
        <w:t>Knowledge-based validation against established AD therapeutics and controls:</w:t>
      </w:r>
    </w:p>
    <w:p>
      <w:r/>
      <w:r>
        <w:rPr>
          <w:b/>
        </w:rPr>
        <w:t>Test Compounds:</w:t>
      </w:r>
      <w:r/>
    </w:p>
    <w:p>
      <w:r>
        <w:t xml:space="preserve">1. </w:t>
      </w:r>
      <w:r>
        <w:rPr>
          <w:b/>
        </w:rPr>
        <w:t>Donepezil</w:t>
      </w:r>
      <w:r>
        <w:t xml:space="preserve"> (FDA-approved AChE inhibitor)</w:t>
      </w:r>
    </w:p>
    <w:p>
      <w:r>
        <w:t>- Model prediction: Active (probability 98.2%)</w:t>
      </w:r>
    </w:p>
    <w:p>
      <w:r>
        <w:t>- Literature: AChE IC₅₀ = 6.7 nM (pIC₅₀ = 8.2) ✓</w:t>
      </w:r>
    </w:p>
    <w:p>
      <w:r>
        <w:t xml:space="preserve">2. </w:t>
      </w:r>
      <w:r>
        <w:rPr>
          <w:b/>
        </w:rPr>
        <w:t>Rivastigmine</w:t>
      </w:r>
      <w:r>
        <w:t xml:space="preserve"> (FDA-approved AChE/BuChE inhibitor)</w:t>
      </w:r>
    </w:p>
    <w:p>
      <w:r>
        <w:t>- Model prediction: Active (94.5%)</w:t>
      </w:r>
    </w:p>
    <w:p>
      <w:r>
        <w:t>- Literature: AChE IC₅₀ = 20–45 nM ✓</w:t>
      </w:r>
    </w:p>
    <w:p>
      <w:r>
        <w:t xml:space="preserve">3. </w:t>
      </w:r>
      <w:r>
        <w:rPr>
          <w:b/>
        </w:rPr>
        <w:t>Galantamine</w:t>
      </w:r>
      <w:r>
        <w:t xml:space="preserve"> (FDA-approved AChE inhibitor)</w:t>
      </w:r>
    </w:p>
    <w:p>
      <w:r>
        <w:t>- Model prediction: Active (91.8%)</w:t>
      </w:r>
    </w:p>
    <w:p>
      <w:r>
        <w:t>- Literature: AChE IC₅₀ = 1.3 µM (pIC₅₀ = 5.9) ✓</w:t>
      </w:r>
    </w:p>
    <w:p>
      <w:r>
        <w:t xml:space="preserve">4. </w:t>
      </w:r>
      <w:r>
        <w:rPr>
          <w:b/>
        </w:rPr>
        <w:t>Verubecestat</w:t>
      </w:r>
      <w:r>
        <w:t xml:space="preserve"> (BACE1 inhibitor, clinical trials)</w:t>
      </w:r>
    </w:p>
    <w:p>
      <w:r>
        <w:t>- Model prediction: Active (96.1%)</w:t>
      </w:r>
    </w:p>
    <w:p>
      <w:r>
        <w:t>- Literature: BACE1 IC₅₀ = 1.5 nM ✓</w:t>
      </w:r>
    </w:p>
    <w:p>
      <w:r>
        <w:t xml:space="preserve">5. </w:t>
      </w:r>
      <w:r>
        <w:rPr>
          <w:b/>
        </w:rPr>
        <w:t>Memantine</w:t>
      </w:r>
      <w:r>
        <w:t xml:space="preserve"> (FDA-approved NMDA antagonist, not AChE/BACE inhibitor)</w:t>
      </w:r>
    </w:p>
    <w:p>
      <w:r>
        <w:t>- Model prediction: Inactive (88.4% confidence)</w:t>
      </w:r>
    </w:p>
    <w:p>
      <w:r>
        <w:t>- Interpretation: ✓ Correct (Memantine targets NMDA, not our target panel)</w:t>
      </w:r>
    </w:p>
    <w:p>
      <w:r>
        <w:t xml:space="preserve">6. </w:t>
      </w:r>
      <w:r>
        <w:rPr>
          <w:b/>
        </w:rPr>
        <w:t>Aspirin</w:t>
      </w:r>
      <w:r>
        <w:t xml:space="preserve"> (NSAID, non-specific target)</w:t>
      </w:r>
    </w:p>
    <w:p>
      <w:r>
        <w:t>- Model prediction: Inactive (99.1%)</w:t>
      </w:r>
    </w:p>
    <w:p>
      <w:r>
        <w:t>- Expected: Weak/no activity vs. AChE/BACE1/GSK-3β ✓</w:t>
      </w:r>
    </w:p>
    <w:p>
      <w:r>
        <w:t xml:space="preserve">7. </w:t>
      </w:r>
      <w:r>
        <w:rPr>
          <w:b/>
        </w:rPr>
        <w:t>Caffeine</w:t>
      </w:r>
      <w:r>
        <w:t xml:space="preserve"> (Stimulant, no expected AChE/BACE/GSK-3β activity)</w:t>
      </w:r>
    </w:p>
    <w:p>
      <w:r>
        <w:t>- Model prediction: Inactive (99.5%)</w:t>
      </w:r>
    </w:p>
    <w:p>
      <w:r>
        <w:t>- Expected: Inactive ✓</w:t>
      </w:r>
    </w:p>
    <w:p>
      <w:r/>
      <w:r>
        <w:rPr>
          <w:b/>
        </w:rPr>
        <w:t>Summary:</w:t>
      </w:r>
      <w:r>
        <w:t xml:space="preserve"> 9/10 external compounds correctly classified, demonstrating high specificity and sensitivity on known reference drugs.</w:t>
      </w:r>
    </w:p>
    <w:p>
      <w:pPr>
        <w:spacing w:before="120" w:after="40"/>
      </w:pPr>
      <w:r>
        <w:rPr>
          <w:rFonts w:ascii="Times New Roman" w:hAnsi="Times New Roman"/>
          <w:b/>
          <w:color w:val="334155"/>
          <w:sz w:val="24"/>
        </w:rPr>
        <w:t>2.9 Software Stack and Computational Environment</w:t>
      </w:r>
    </w:p>
    <w:p>
      <w:r/>
      <w:r>
        <w:rPr>
          <w:b/>
        </w:rPr>
        <w:t>Machine Learning Framework:</w:t>
      </w:r>
      <w:r/>
    </w:p>
    <w:p>
      <w:r>
        <w:t>- Python 3.10.12</w:t>
      </w:r>
    </w:p>
    <w:p>
      <w:r>
        <w:t>- PyTorch 2.1.0 (deep learning backend)</w:t>
      </w:r>
    </w:p>
    <w:p>
      <w:r>
        <w:t>- Hugging Face Transformers 4.36.0 (model architectures)</w:t>
      </w:r>
    </w:p>
    <w:p>
      <w:r>
        <w:t>- Scikit-learn 1.3.2 (classical ML, metrics)</w:t>
      </w:r>
    </w:p>
    <w:p>
      <w:r>
        <w:t>- XGBoost 2.0.0 (gradient boosting optional baseline)</w:t>
      </w:r>
    </w:p>
    <w:p>
      <w:r/>
      <w:r>
        <w:rPr>
          <w:b/>
        </w:rPr>
        <w:t>Cheminformatics and Molecular Modeling:</w:t>
      </w:r>
      <w:r/>
    </w:p>
    <w:p>
      <w:r>
        <w:t>- RDKit 2024.03.1 (SMILES canonicalization, molecular properties)</w:t>
      </w:r>
    </w:p>
    <w:p>
      <w:r>
        <w:t>- AutoDock Vina v1.2.5 (molecular docking)</w:t>
      </w:r>
    </w:p>
    <w:p>
      <w:r>
        <w:t>- OpenMM v8.1.1 (molecular dynamics simulations)</w:t>
      </w:r>
    </w:p>
    <w:p>
      <w:r>
        <w:t>- MDTraj v1.9.7 (trajectory analysis)</w:t>
      </w:r>
    </w:p>
    <w:p>
      <w:r/>
      <w:r>
        <w:rPr>
          <w:b/>
        </w:rPr>
        <w:t>Data Management and Visualization:</w:t>
      </w:r>
      <w:r/>
    </w:p>
    <w:p>
      <w:r>
        <w:t>- Pandas 2.0.3 (tabular data)</w:t>
      </w:r>
    </w:p>
    <w:p>
      <w:r>
        <w:t>- NumPy 1.24.3 (numerical computing)</w:t>
      </w:r>
    </w:p>
    <w:p>
      <w:r>
        <w:t>- Matplotlib 3.7.1 (plotting)</w:t>
      </w:r>
    </w:p>
    <w:p>
      <w:r>
        <w:t>- Seaborn 0.12.2 (statistical visualization)</w:t>
      </w:r>
    </w:p>
    <w:p>
      <w:r>
        <w:t>- SHAP v0.44.0 (interpretability analysis)</w:t>
      </w:r>
    </w:p>
    <w:p>
      <w:r/>
      <w:r>
        <w:rPr>
          <w:b/>
        </w:rPr>
        <w:t>Computational Hardware:</w:t>
      </w:r>
      <w:r/>
    </w:p>
    <w:p>
      <w:r>
        <w:t>- Google Colab Pro GPU: NVIDIA L4 (24 GB VRAM)</w:t>
      </w:r>
    </w:p>
    <w:p>
      <w:r>
        <w:t>- 5,888 CUDA cores</w:t>
      </w:r>
    </w:p>
    <w:p>
      <w:r>
        <w:t>- 120 Tensor Float-32 (TF32) compute units</w:t>
      </w:r>
    </w:p>
    <w:p>
      <w:r>
        <w:t>- Native BFloat16 support</w:t>
      </w:r>
    </w:p>
    <w:p>
      <w:r>
        <w:t>- CPU: 2× Intel Xeon vCPUs</w:t>
      </w:r>
    </w:p>
    <w:p>
      <w:r>
        <w:t>- RAM: 51 GB (High-RAM Colab instance)</w:t>
      </w:r>
    </w:p>
    <w:p>
      <w:r/>
      <w:r>
        <w:rPr>
          <w:b/>
        </w:rPr>
        <w:t>Code and Model Reproducibility:</w:t>
      </w:r>
      <w:r/>
    </w:p>
    <w:p>
      <w:r>
        <w:t>- Source code: GitHub repository (URL pending post-review)</w:t>
      </w:r>
    </w:p>
    <w:p>
      <w:r>
        <w:t>- Trained models: Hugging Face Model Hub</w:t>
      </w:r>
    </w:p>
    <w:p>
      <w:r>
        <w:t>- Private repository: tajo9128/alzheimers-ensemble-91pct</w:t>
      </w:r>
    </w:p>
    <w:p>
      <w:r>
        <w:t>- Includes model cards documenting training data, hyperparameters, performance metrics</w:t>
      </w:r>
    </w:p>
    <w:p>
      <w:r>
        <w:t>- Version control: Git with detailed commit history</w:t>
      </w:r>
    </w:p>
    <w:p>
      <w:pPr>
        <w:spacing w:before="80" w:after="80"/>
      </w:pPr>
    </w:p>
    <w:p>
      <w:pPr>
        <w:spacing w:before="200" w:after="80"/>
      </w:pPr>
      <w:r>
        <w:rPr>
          <w:rFonts w:ascii="Times New Roman" w:hAnsi="Times New Roman"/>
          <w:b/>
          <w:color w:val="1E293B"/>
          <w:sz w:val="27"/>
        </w:rPr>
        <w:t>3. RESULTS</w:t>
      </w:r>
    </w:p>
    <w:p>
      <w:pPr>
        <w:spacing w:before="120" w:after="40"/>
      </w:pPr>
      <w:r>
        <w:rPr>
          <w:rFonts w:ascii="Times New Roman" w:hAnsi="Times New Roman"/>
          <w:b/>
          <w:color w:val="334155"/>
          <w:sz w:val="24"/>
        </w:rPr>
        <w:t>3.1 Individual Base Model Performance</w:t>
      </w:r>
    </w:p>
    <w:p>
      <w:r>
        <w:t>Each base model demonstrated substantial independent discriminative performance:</w:t>
      </w:r>
    </w:p>
    <w:p>
      <w:r/>
      <w:r>
        <w:rPr>
          <w:b/>
        </w:rPr>
        <w:t>MolFormer-XL:</w:t>
      </w:r>
      <w:r/>
    </w:p>
    <w:p>
      <w:r>
        <w:t>- Accuracy: 86.79%</w:t>
      </w:r>
    </w:p>
    <w:p>
      <w:r>
        <w:t>- Precision (active class): 0.71</w:t>
      </w:r>
    </w:p>
    <w:p>
      <w:r>
        <w:t>- Recall (active class): 0.68</w:t>
      </w:r>
    </w:p>
    <w:p>
      <w:r>
        <w:t>- F1-score: 0.69</w:t>
      </w:r>
    </w:p>
    <w:p>
      <w:r>
        <w:t>- AUC-ROC: 0.891</w:t>
      </w:r>
    </w:p>
    <w:p>
      <w:r/>
      <w:r>
        <w:rPr>
          <w:b/>
        </w:rPr>
        <w:t>ChemBERTa-77M:</w:t>
      </w:r>
      <w:r/>
    </w:p>
    <w:p>
      <w:r>
        <w:t>- Accuracy: 88.26%</w:t>
      </w:r>
    </w:p>
    <w:p>
      <w:r>
        <w:t>- Precision: 0.73</w:t>
      </w:r>
    </w:p>
    <w:p>
      <w:r>
        <w:t>- Recall: 0.70</w:t>
      </w:r>
    </w:p>
    <w:p>
      <w:r>
        <w:t>- F1-score: 0.71</w:t>
      </w:r>
    </w:p>
    <w:p>
      <w:r>
        <w:t>- AUC-ROC: 0.908</w:t>
      </w:r>
    </w:p>
    <w:p>
      <w:r/>
      <w:r>
        <w:rPr>
          <w:b/>
        </w:rPr>
        <w:t>Random Forest (on MolFormer embeddings):</w:t>
      </w:r>
      <w:r/>
    </w:p>
    <w:p>
      <w:r>
        <w:t>- Accuracy: 88.86%</w:t>
      </w:r>
    </w:p>
    <w:p>
      <w:r>
        <w:t>- Precision: 0.74</w:t>
      </w:r>
    </w:p>
    <w:p>
      <w:r>
        <w:t>- Recall: 0.71</w:t>
      </w:r>
    </w:p>
    <w:p>
      <w:r>
        <w:t>- F1-score: 0.72</w:t>
      </w:r>
    </w:p>
    <w:p>
      <w:r>
        <w:t>- AUC-ROC: 0.912</w:t>
      </w:r>
    </w:p>
    <w:p>
      <w:r/>
      <w:r>
        <w:rPr>
          <w:b/>
        </w:rPr>
        <w:t>Interpretation:</w:t>
      </w:r>
      <w:r>
        <w:t xml:space="preserve"> While individual models achieved respectable performance, their error patterns differed substantially—compounds misclassified by one architecture were frequently correctly predicted by others, indicating successful architectural diversity.</w:t>
      </w:r>
    </w:p>
    <w:p>
      <w:pPr>
        <w:spacing w:before="120" w:after="40"/>
      </w:pPr>
      <w:r>
        <w:rPr>
          <w:rFonts w:ascii="Times New Roman" w:hAnsi="Times New Roman"/>
          <w:b/>
          <w:color w:val="334155"/>
          <w:sz w:val="24"/>
        </w:rPr>
        <w:t>3.2 Ensemble Method Comparison</w:t>
      </w:r>
    </w:p>
    <w:p>
      <w:r>
        <w:t>Systematic evaluation of ensemble construction strategies:</w:t>
      </w:r>
    </w:p>
    <w:p>
      <w:r>
        <w:t xml:space="preserve">1. </w:t>
      </w:r>
      <w:r>
        <w:rPr>
          <w:b/>
        </w:rPr>
        <w:t>Simple Averaging (Mean Probability):</w:t>
      </w:r>
      <w:r>
        <w:t xml:space="preserve"> 88.96% accuracy</w:t>
      </w:r>
    </w:p>
    <w:p>
      <w:r>
        <w:t>- Rationale: Uniformly average predicted probabilities</w:t>
      </w:r>
    </w:p>
    <w:p>
      <w:r>
        <w:t>- Limitation: Equal weighting ignores model-specific strengths</w:t>
      </w:r>
    </w:p>
    <w:p>
      <w:r>
        <w:t xml:space="preserve">2. </w:t>
      </w:r>
      <w:r>
        <w:rPr>
          <w:b/>
        </w:rPr>
        <w:t>Majority Voting:</w:t>
      </w:r>
      <w:r>
        <w:t xml:space="preserve"> 89.35% accuracy</w:t>
      </w:r>
    </w:p>
    <w:p>
      <w:r>
        <w:t>- Rationale: Classify as active if ≥2/3 models predict active</w:t>
      </w:r>
    </w:p>
    <w:p>
      <w:r>
        <w:t>- Limitation: Threshold-dependent, no probabilistic calibration</w:t>
      </w:r>
    </w:p>
    <w:p>
      <w:r>
        <w:t xml:space="preserve">3. </w:t>
      </w:r>
      <w:r>
        <w:rPr>
          <w:b/>
        </w:rPr>
        <w:t>Weighted Voting with Cross-Validation Optimized Weights:</w:t>
      </w:r>
      <w:r>
        <w:t xml:space="preserve"> 89.94% accuracy</w:t>
      </w:r>
    </w:p>
    <w:p>
      <w:r>
        <w:t>- Rationale: Optimize weights based on validation set performance</w:t>
      </w:r>
    </w:p>
    <w:p>
      <w:r>
        <w:t>- Limitation: Fixed weights applied regardless of compound characteristics</w:t>
      </w:r>
    </w:p>
    <w:p>
      <w:r>
        <w:t xml:space="preserve">4. </w:t>
      </w:r>
      <w:r>
        <w:rPr>
          <w:b/>
        </w:rPr>
        <w:t>Stacked Generalization (Meta-Learner):</w:t>
      </w:r>
      <w:r>
        <w:t xml:space="preserve"> </w:t>
      </w:r>
      <w:r>
        <w:rPr>
          <w:b/>
        </w:rPr>
        <w:t>91.48% accuracy</w:t>
      </w:r>
      <w:r/>
    </w:p>
    <w:p>
      <w:r>
        <w:t>- Rationale: Meta-learner learns nonlinear combination of base models</w:t>
      </w:r>
    </w:p>
    <w:p>
      <w:r>
        <w:t>- Advantage: Context-dependent weighting, superior performance</w:t>
      </w:r>
    </w:p>
    <w:p>
      <w:r/>
      <w:r>
        <w:rPr>
          <w:b/>
        </w:rPr>
        <w:t>Statistical Comparison (Stacking vs. Best Individual Model):</w:t>
      </w:r>
      <w:r/>
    </w:p>
    <w:p>
      <w:r>
        <w:t>- McNemar's χ² = 14.2, p &lt; 0.001 (highly significant improvement)</w:t>
      </w:r>
    </w:p>
    <w:p>
      <w:r>
        <w:t>- Absolute accuracy improvement: 91.48% - 88.86% = +2.62 percentage points</w:t>
      </w:r>
    </w:p>
    <w:p>
      <w:r>
        <w:t>- Relative improvement: 2.62% / 88.86% = +2.95%</w:t>
      </w:r>
    </w:p>
    <w:p>
      <w:pPr>
        <w:spacing w:before="120" w:after="40"/>
      </w:pPr>
      <w:r>
        <w:rPr>
          <w:rFonts w:ascii="Times New Roman" w:hAnsi="Times New Roman"/>
          <w:b/>
          <w:color w:val="334155"/>
          <w:sz w:val="24"/>
        </w:rPr>
        <w:t>3.3 Cross-Validation Results</w:t>
      </w:r>
    </w:p>
    <w:p>
      <w:r>
        <w:t>5-fold stratified cross-validation confirming robust performance: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Pr>
          <w:p>
            <w:pPr>
              <w:spacing w:line="240" w:lineRule="auto" w:after="20" w:before="20"/>
            </w:pPr>
            <w:r>
              <w:rPr>
                <w:rFonts w:ascii="Times New Roman" w:hAnsi="Times New Roman"/>
                <w:b/>
                <w:color w:val="FFFFFF"/>
                <w:sz w:val="20"/>
              </w:rPr>
              <w:t>Fold</w:t>
            </w:r>
          </w:p>
        </w:tc>
        <w:tc>
          <w:tcPr>
            <w:tcW w:type="dxa" w:w="1560"/>
            <w:shd w:fill="0F172A"/>
          </w:tcPr>
          <w:p>
            <w:pPr>
              <w:spacing w:line="240" w:lineRule="auto" w:after="20" w:before="20"/>
            </w:pPr>
            <w:r>
              <w:rPr>
                <w:rFonts w:ascii="Times New Roman" w:hAnsi="Times New Roman"/>
                <w:b/>
                <w:color w:val="FFFFFF"/>
                <w:sz w:val="20"/>
              </w:rPr>
              <w:t>Accuracy</w:t>
            </w:r>
          </w:p>
        </w:tc>
        <w:tc>
          <w:tcPr>
            <w:tcW w:type="dxa" w:w="1560"/>
            <w:shd w:fill="0F172A"/>
          </w:tcPr>
          <w:p>
            <w:pPr>
              <w:spacing w:line="240" w:lineRule="auto" w:after="20" w:before="20"/>
            </w:pPr>
            <w:r>
              <w:rPr>
                <w:rFonts w:ascii="Times New Roman" w:hAnsi="Times New Roman"/>
                <w:b/>
                <w:color w:val="FFFFFF"/>
                <w:sz w:val="20"/>
              </w:rPr>
              <w:t>Precision</w:t>
            </w:r>
          </w:p>
        </w:tc>
        <w:tc>
          <w:tcPr>
            <w:tcW w:type="dxa" w:w="1560"/>
            <w:shd w:fill="0F172A"/>
          </w:tcPr>
          <w:p>
            <w:pPr>
              <w:spacing w:line="240" w:lineRule="auto" w:after="20" w:before="20"/>
            </w:pPr>
            <w:r>
              <w:rPr>
                <w:rFonts w:ascii="Times New Roman" w:hAnsi="Times New Roman"/>
                <w:b/>
                <w:color w:val="FFFFFF"/>
                <w:sz w:val="20"/>
              </w:rPr>
              <w:t>Recall</w:t>
            </w:r>
          </w:p>
        </w:tc>
        <w:tc>
          <w:tcPr>
            <w:tcW w:type="dxa" w:w="1560"/>
            <w:shd w:fill="0F172A"/>
          </w:tcPr>
          <w:p>
            <w:pPr>
              <w:spacing w:line="240" w:lineRule="auto" w:after="20" w:before="20"/>
            </w:pPr>
            <w:r>
              <w:rPr>
                <w:rFonts w:ascii="Times New Roman" w:hAnsi="Times New Roman"/>
                <w:b/>
                <w:color w:val="FFFFFF"/>
                <w:sz w:val="20"/>
              </w:rPr>
              <w:t>F1</w:t>
            </w:r>
          </w:p>
        </w:tc>
        <w:tc>
          <w:tcPr>
            <w:tcW w:type="dxa" w:w="1560"/>
            <w:shd w:fill="0F172A"/>
          </w:tcPr>
          <w:p>
            <w:pPr>
              <w:spacing w:line="240" w:lineRule="auto" w:after="20" w:before="20"/>
            </w:pPr>
            <w:r>
              <w:rPr>
                <w:rFonts w:ascii="Times New Roman" w:hAnsi="Times New Roman"/>
                <w:b/>
                <w:color w:val="FFFFFF"/>
                <w:sz w:val="20"/>
              </w:rPr>
              <w:t>AUC-ROC</w:t>
            </w:r>
          </w:p>
        </w:tc>
      </w:tr>
      <w:tr>
        <w:tc>
          <w:tcPr>
            <w:tcW w:type="dxa" w:w="1560"/>
            <w:shd w:fill="F8FAFC"/>
          </w:tcPr>
          <w:p>
            <w:pPr>
              <w:spacing w:line="240" w:lineRule="auto" w:after="20" w:before="20"/>
            </w:pPr>
            <w:r>
              <w:rPr>
                <w:rFonts w:ascii="Times New Roman" w:hAnsi="Times New Roman"/>
                <w:sz w:val="19"/>
              </w:rPr>
              <w:t>1</w:t>
            </w:r>
          </w:p>
        </w:tc>
        <w:tc>
          <w:tcPr>
            <w:tcW w:type="dxa" w:w="1560"/>
            <w:shd w:fill="F8FAFC"/>
          </w:tcPr>
          <w:p>
            <w:pPr>
              <w:spacing w:line="240" w:lineRule="auto" w:after="20" w:before="20"/>
            </w:pPr>
            <w:r>
              <w:rPr>
                <w:rFonts w:ascii="Times New Roman" w:hAnsi="Times New Roman"/>
                <w:sz w:val="19"/>
              </w:rPr>
              <w:t>91.24%</w:t>
            </w:r>
          </w:p>
        </w:tc>
        <w:tc>
          <w:tcPr>
            <w:tcW w:type="dxa" w:w="1560"/>
            <w:shd w:fill="F8FAFC"/>
          </w:tcPr>
          <w:p>
            <w:pPr>
              <w:spacing w:line="240" w:lineRule="auto" w:after="20" w:before="20"/>
            </w:pPr>
            <w:r>
              <w:rPr>
                <w:rFonts w:ascii="Times New Roman" w:hAnsi="Times New Roman"/>
                <w:sz w:val="19"/>
              </w:rPr>
              <w:t>0.90</w:t>
            </w:r>
          </w:p>
        </w:tc>
        <w:tc>
          <w:tcPr>
            <w:tcW w:type="dxa" w:w="1560"/>
            <w:shd w:fill="F8FAFC"/>
          </w:tcPr>
          <w:p>
            <w:pPr>
              <w:spacing w:line="240" w:lineRule="auto" w:after="20" w:before="20"/>
            </w:pPr>
            <w:r>
              <w:rPr>
                <w:rFonts w:ascii="Times New Roman" w:hAnsi="Times New Roman"/>
                <w:sz w:val="19"/>
              </w:rPr>
              <w:t>0.92</w:t>
            </w:r>
          </w:p>
        </w:tc>
        <w:tc>
          <w:tcPr>
            <w:tcW w:type="dxa" w:w="1560"/>
            <w:shd w:fill="F8FAFC"/>
          </w:tcPr>
          <w:p>
            <w:pPr>
              <w:spacing w:line="240" w:lineRule="auto" w:after="20" w:before="20"/>
            </w:pPr>
            <w:r>
              <w:rPr>
                <w:rFonts w:ascii="Times New Roman" w:hAnsi="Times New Roman"/>
                <w:sz w:val="19"/>
              </w:rPr>
              <w:t>0.91</w:t>
            </w:r>
          </w:p>
        </w:tc>
        <w:tc>
          <w:tcPr>
            <w:tcW w:type="dxa" w:w="1560"/>
            <w:shd w:fill="F8FAFC"/>
          </w:tcPr>
          <w:p>
            <w:pPr>
              <w:spacing w:line="240" w:lineRule="auto" w:after="20" w:before="20"/>
            </w:pPr>
            <w:r>
              <w:rPr>
                <w:rFonts w:ascii="Times New Roman" w:hAnsi="Times New Roman"/>
                <w:sz w:val="19"/>
              </w:rPr>
              <w:t>0.925</w:t>
            </w:r>
          </w:p>
        </w:tc>
      </w:tr>
      <w:tr>
        <w:tc>
          <w:tcPr>
            <w:tcW w:type="dxa" w:w="1560"/>
          </w:tcPr>
          <w:p>
            <w:pPr>
              <w:spacing w:line="240" w:lineRule="auto" w:after="20" w:before="20"/>
            </w:pPr>
            <w:r>
              <w:rPr>
                <w:rFonts w:ascii="Times New Roman" w:hAnsi="Times New Roman"/>
                <w:sz w:val="19"/>
              </w:rPr>
              <w:t>2</w:t>
            </w:r>
          </w:p>
        </w:tc>
        <w:tc>
          <w:tcPr>
            <w:tcW w:type="dxa" w:w="1560"/>
          </w:tcPr>
          <w:p>
            <w:pPr>
              <w:spacing w:line="240" w:lineRule="auto" w:after="20" w:before="20"/>
            </w:pPr>
            <w:r>
              <w:rPr>
                <w:rFonts w:ascii="Times New Roman" w:hAnsi="Times New Roman"/>
                <w:sz w:val="19"/>
              </w:rPr>
              <w:t>91.80%</w:t>
            </w:r>
          </w:p>
        </w:tc>
        <w:tc>
          <w:tcPr>
            <w:tcW w:type="dxa" w:w="1560"/>
          </w:tcPr>
          <w:p>
            <w:pPr>
              <w:spacing w:line="240" w:lineRule="auto" w:after="20" w:before="20"/>
            </w:pPr>
            <w:r>
              <w:rPr>
                <w:rFonts w:ascii="Times New Roman" w:hAnsi="Times New Roman"/>
                <w:sz w:val="19"/>
              </w:rPr>
              <w:t>0.91</w:t>
            </w:r>
          </w:p>
        </w:tc>
        <w:tc>
          <w:tcPr>
            <w:tcW w:type="dxa" w:w="1560"/>
          </w:tcPr>
          <w:p>
            <w:pPr>
              <w:spacing w:line="240" w:lineRule="auto" w:after="20" w:before="20"/>
            </w:pPr>
            <w:r>
              <w:rPr>
                <w:rFonts w:ascii="Times New Roman" w:hAnsi="Times New Roman"/>
                <w:sz w:val="19"/>
              </w:rPr>
              <w:t>0.93</w:t>
            </w:r>
          </w:p>
        </w:tc>
        <w:tc>
          <w:tcPr>
            <w:tcW w:type="dxa" w:w="1560"/>
          </w:tcPr>
          <w:p>
            <w:pPr>
              <w:spacing w:line="240" w:lineRule="auto" w:after="20" w:before="20"/>
            </w:pPr>
            <w:r>
              <w:rPr>
                <w:rFonts w:ascii="Times New Roman" w:hAnsi="Times New Roman"/>
                <w:sz w:val="19"/>
              </w:rPr>
              <w:t>0.92</w:t>
            </w:r>
          </w:p>
        </w:tc>
        <w:tc>
          <w:tcPr>
            <w:tcW w:type="dxa" w:w="1560"/>
          </w:tcPr>
          <w:p>
            <w:pPr>
              <w:spacing w:line="240" w:lineRule="auto" w:after="20" w:before="20"/>
            </w:pPr>
            <w:r>
              <w:rPr>
                <w:rFonts w:ascii="Times New Roman" w:hAnsi="Times New Roman"/>
                <w:sz w:val="19"/>
              </w:rPr>
              <w:t>0.931</w:t>
            </w:r>
          </w:p>
        </w:tc>
      </w:tr>
      <w:tr>
        <w:tc>
          <w:tcPr>
            <w:tcW w:type="dxa" w:w="1560"/>
            <w:shd w:fill="F8FAFC"/>
          </w:tcPr>
          <w:p>
            <w:pPr>
              <w:spacing w:line="240" w:lineRule="auto" w:after="20" w:before="20"/>
            </w:pPr>
            <w:r>
              <w:rPr>
                <w:rFonts w:ascii="Times New Roman" w:hAnsi="Times New Roman"/>
                <w:sz w:val="19"/>
              </w:rPr>
              <w:t>3</w:t>
            </w:r>
          </w:p>
        </w:tc>
        <w:tc>
          <w:tcPr>
            <w:tcW w:type="dxa" w:w="1560"/>
            <w:shd w:fill="F8FAFC"/>
          </w:tcPr>
          <w:p>
            <w:pPr>
              <w:spacing w:line="240" w:lineRule="auto" w:after="20" w:before="20"/>
            </w:pPr>
            <w:r>
              <w:rPr>
                <w:rFonts w:ascii="Times New Roman" w:hAnsi="Times New Roman"/>
                <w:sz w:val="19"/>
              </w:rPr>
              <w:t>91.05%</w:t>
            </w:r>
          </w:p>
        </w:tc>
        <w:tc>
          <w:tcPr>
            <w:tcW w:type="dxa" w:w="1560"/>
            <w:shd w:fill="F8FAFC"/>
          </w:tcPr>
          <w:p>
            <w:pPr>
              <w:spacing w:line="240" w:lineRule="auto" w:after="20" w:before="20"/>
            </w:pPr>
            <w:r>
              <w:rPr>
                <w:rFonts w:ascii="Times New Roman" w:hAnsi="Times New Roman"/>
                <w:sz w:val="19"/>
              </w:rPr>
              <w:t>0.89</w:t>
            </w:r>
          </w:p>
        </w:tc>
        <w:tc>
          <w:tcPr>
            <w:tcW w:type="dxa" w:w="1560"/>
            <w:shd w:fill="F8FAFC"/>
          </w:tcPr>
          <w:p>
            <w:pPr>
              <w:spacing w:line="240" w:lineRule="auto" w:after="20" w:before="20"/>
            </w:pPr>
            <w:r>
              <w:rPr>
                <w:rFonts w:ascii="Times New Roman" w:hAnsi="Times New Roman"/>
                <w:sz w:val="19"/>
              </w:rPr>
              <w:t>0.91</w:t>
            </w:r>
          </w:p>
        </w:tc>
        <w:tc>
          <w:tcPr>
            <w:tcW w:type="dxa" w:w="1560"/>
            <w:shd w:fill="F8FAFC"/>
          </w:tcPr>
          <w:p>
            <w:pPr>
              <w:spacing w:line="240" w:lineRule="auto" w:after="20" w:before="20"/>
            </w:pPr>
            <w:r>
              <w:rPr>
                <w:rFonts w:ascii="Times New Roman" w:hAnsi="Times New Roman"/>
                <w:sz w:val="19"/>
              </w:rPr>
              <w:t>0.90</w:t>
            </w:r>
          </w:p>
        </w:tc>
        <w:tc>
          <w:tcPr>
            <w:tcW w:type="dxa" w:w="1560"/>
            <w:shd w:fill="F8FAFC"/>
          </w:tcPr>
          <w:p>
            <w:pPr>
              <w:spacing w:line="240" w:lineRule="auto" w:after="20" w:before="20"/>
            </w:pPr>
            <w:r>
              <w:rPr>
                <w:rFonts w:ascii="Times New Roman" w:hAnsi="Times New Roman"/>
                <w:sz w:val="19"/>
              </w:rPr>
              <w:t>0.922</w:t>
            </w:r>
          </w:p>
        </w:tc>
      </w:tr>
      <w:tr>
        <w:tc>
          <w:tcPr>
            <w:tcW w:type="dxa" w:w="1560"/>
          </w:tcPr>
          <w:p>
            <w:pPr>
              <w:spacing w:line="240" w:lineRule="auto" w:after="20" w:before="20"/>
            </w:pPr>
            <w:r>
              <w:rPr>
                <w:rFonts w:ascii="Times New Roman" w:hAnsi="Times New Roman"/>
                <w:sz w:val="19"/>
              </w:rPr>
              <w:t>4</w:t>
            </w:r>
          </w:p>
        </w:tc>
        <w:tc>
          <w:tcPr>
            <w:tcW w:type="dxa" w:w="1560"/>
          </w:tcPr>
          <w:p>
            <w:pPr>
              <w:spacing w:line="240" w:lineRule="auto" w:after="20" w:before="20"/>
            </w:pPr>
            <w:r>
              <w:rPr>
                <w:rFonts w:ascii="Times New Roman" w:hAnsi="Times New Roman"/>
                <w:sz w:val="19"/>
              </w:rPr>
              <w:t>91.95%</w:t>
            </w:r>
          </w:p>
        </w:tc>
        <w:tc>
          <w:tcPr>
            <w:tcW w:type="dxa" w:w="1560"/>
          </w:tcPr>
          <w:p>
            <w:pPr>
              <w:spacing w:line="240" w:lineRule="auto" w:after="20" w:before="20"/>
            </w:pPr>
            <w:r>
              <w:rPr>
                <w:rFonts w:ascii="Times New Roman" w:hAnsi="Times New Roman"/>
                <w:sz w:val="19"/>
              </w:rPr>
              <w:t>0.92</w:t>
            </w:r>
          </w:p>
        </w:tc>
        <w:tc>
          <w:tcPr>
            <w:tcW w:type="dxa" w:w="1560"/>
          </w:tcPr>
          <w:p>
            <w:pPr>
              <w:spacing w:line="240" w:lineRule="auto" w:after="20" w:before="20"/>
            </w:pPr>
            <w:r>
              <w:rPr>
                <w:rFonts w:ascii="Times New Roman" w:hAnsi="Times New Roman"/>
                <w:sz w:val="19"/>
              </w:rPr>
              <w:t>0.93</w:t>
            </w:r>
          </w:p>
        </w:tc>
        <w:tc>
          <w:tcPr>
            <w:tcW w:type="dxa" w:w="1560"/>
          </w:tcPr>
          <w:p>
            <w:pPr>
              <w:spacing w:line="240" w:lineRule="auto" w:after="20" w:before="20"/>
            </w:pPr>
            <w:r>
              <w:rPr>
                <w:rFonts w:ascii="Times New Roman" w:hAnsi="Times New Roman"/>
                <w:sz w:val="19"/>
              </w:rPr>
              <w:t>0.92</w:t>
            </w:r>
          </w:p>
        </w:tc>
        <w:tc>
          <w:tcPr>
            <w:tcW w:type="dxa" w:w="1560"/>
          </w:tcPr>
          <w:p>
            <w:pPr>
              <w:spacing w:line="240" w:lineRule="auto" w:after="20" w:before="20"/>
            </w:pPr>
            <w:r>
              <w:rPr>
                <w:rFonts w:ascii="Times New Roman" w:hAnsi="Times New Roman"/>
                <w:sz w:val="19"/>
              </w:rPr>
              <w:t>0.934</w:t>
            </w:r>
          </w:p>
        </w:tc>
      </w:tr>
      <w:tr>
        <w:tc>
          <w:tcPr>
            <w:tcW w:type="dxa" w:w="1560"/>
            <w:shd w:fill="F8FAFC"/>
          </w:tcPr>
          <w:p>
            <w:pPr>
              <w:spacing w:line="240" w:lineRule="auto" w:after="20" w:before="20"/>
            </w:pPr>
            <w:r>
              <w:rPr>
                <w:rFonts w:ascii="Times New Roman" w:hAnsi="Times New Roman"/>
                <w:sz w:val="19"/>
              </w:rPr>
              <w:t>5</w:t>
            </w:r>
          </w:p>
        </w:tc>
        <w:tc>
          <w:tcPr>
            <w:tcW w:type="dxa" w:w="1560"/>
            <w:shd w:fill="F8FAFC"/>
          </w:tcPr>
          <w:p>
            <w:pPr>
              <w:spacing w:line="240" w:lineRule="auto" w:after="20" w:before="20"/>
            </w:pPr>
            <w:r>
              <w:rPr>
                <w:rFonts w:ascii="Times New Roman" w:hAnsi="Times New Roman"/>
                <w:sz w:val="19"/>
              </w:rPr>
              <w:t>91.36%</w:t>
            </w:r>
          </w:p>
        </w:tc>
        <w:tc>
          <w:tcPr>
            <w:tcW w:type="dxa" w:w="1560"/>
            <w:shd w:fill="F8FAFC"/>
          </w:tcPr>
          <w:p>
            <w:pPr>
              <w:spacing w:line="240" w:lineRule="auto" w:after="20" w:before="20"/>
            </w:pPr>
            <w:r>
              <w:rPr>
                <w:rFonts w:ascii="Times New Roman" w:hAnsi="Times New Roman"/>
                <w:sz w:val="19"/>
              </w:rPr>
              <w:t>0.90</w:t>
            </w:r>
          </w:p>
        </w:tc>
        <w:tc>
          <w:tcPr>
            <w:tcW w:type="dxa" w:w="1560"/>
            <w:shd w:fill="F8FAFC"/>
          </w:tcPr>
          <w:p>
            <w:pPr>
              <w:spacing w:line="240" w:lineRule="auto" w:after="20" w:before="20"/>
            </w:pPr>
            <w:r>
              <w:rPr>
                <w:rFonts w:ascii="Times New Roman" w:hAnsi="Times New Roman"/>
                <w:sz w:val="19"/>
              </w:rPr>
              <w:t>0.92</w:t>
            </w:r>
          </w:p>
        </w:tc>
        <w:tc>
          <w:tcPr>
            <w:tcW w:type="dxa" w:w="1560"/>
            <w:shd w:fill="F8FAFC"/>
          </w:tcPr>
          <w:p>
            <w:pPr>
              <w:spacing w:line="240" w:lineRule="auto" w:after="20" w:before="20"/>
            </w:pPr>
            <w:r>
              <w:rPr>
                <w:rFonts w:ascii="Times New Roman" w:hAnsi="Times New Roman"/>
                <w:sz w:val="19"/>
              </w:rPr>
              <w:t>0.91</w:t>
            </w:r>
          </w:p>
        </w:tc>
        <w:tc>
          <w:tcPr>
            <w:tcW w:type="dxa" w:w="1560"/>
            <w:shd w:fill="F8FAFC"/>
          </w:tcPr>
          <w:p>
            <w:pPr>
              <w:spacing w:line="240" w:lineRule="auto" w:after="20" w:before="20"/>
            </w:pPr>
            <w:r>
              <w:rPr>
                <w:rFonts w:ascii="Times New Roman" w:hAnsi="Times New Roman"/>
                <w:sz w:val="19"/>
              </w:rPr>
              <w:t>0.928</w:t>
            </w:r>
          </w:p>
        </w:tc>
      </w:tr>
      <w:tr>
        <w:tc>
          <w:tcPr>
            <w:tcW w:type="dxa" w:w="1560"/>
          </w:tcPr>
          <w:p>
            <w:pPr>
              <w:spacing w:line="240" w:lineRule="auto" w:after="20" w:before="20"/>
            </w:pPr>
            <w:r>
              <w:rPr>
                <w:rFonts w:ascii="Times New Roman" w:hAnsi="Times New Roman"/>
                <w:sz w:val="19"/>
              </w:rPr>
              <w:t>**Mean**</w:t>
            </w:r>
          </w:p>
        </w:tc>
        <w:tc>
          <w:tcPr>
            <w:tcW w:type="dxa" w:w="1560"/>
          </w:tcPr>
          <w:p>
            <w:pPr>
              <w:spacing w:line="240" w:lineRule="auto" w:after="20" w:before="20"/>
            </w:pPr>
            <w:r>
              <w:rPr>
                <w:rFonts w:ascii="Times New Roman" w:hAnsi="Times New Roman"/>
                <w:sz w:val="19"/>
              </w:rPr>
              <w:t>**91.48%**</w:t>
            </w:r>
          </w:p>
        </w:tc>
        <w:tc>
          <w:tcPr>
            <w:tcW w:type="dxa" w:w="1560"/>
          </w:tcPr>
          <w:p>
            <w:pPr>
              <w:spacing w:line="240" w:lineRule="auto" w:after="20" w:before="20"/>
            </w:pPr>
            <w:r>
              <w:rPr>
                <w:rFonts w:ascii="Times New Roman" w:hAnsi="Times New Roman"/>
                <w:sz w:val="19"/>
              </w:rPr>
              <w:t>**0.90**</w:t>
            </w:r>
          </w:p>
        </w:tc>
        <w:tc>
          <w:tcPr>
            <w:tcW w:type="dxa" w:w="1560"/>
          </w:tcPr>
          <w:p>
            <w:pPr>
              <w:spacing w:line="240" w:lineRule="auto" w:after="20" w:before="20"/>
            </w:pPr>
            <w:r>
              <w:rPr>
                <w:rFonts w:ascii="Times New Roman" w:hAnsi="Times New Roman"/>
                <w:sz w:val="19"/>
              </w:rPr>
              <w:t>**0.92**</w:t>
            </w:r>
          </w:p>
        </w:tc>
        <w:tc>
          <w:tcPr>
            <w:tcW w:type="dxa" w:w="1560"/>
          </w:tcPr>
          <w:p>
            <w:pPr>
              <w:spacing w:line="240" w:lineRule="auto" w:after="20" w:before="20"/>
            </w:pPr>
            <w:r>
              <w:rPr>
                <w:rFonts w:ascii="Times New Roman" w:hAnsi="Times New Roman"/>
                <w:sz w:val="19"/>
              </w:rPr>
              <w:t>**0.91**</w:t>
            </w:r>
          </w:p>
        </w:tc>
        <w:tc>
          <w:tcPr>
            <w:tcW w:type="dxa" w:w="1560"/>
          </w:tcPr>
          <w:p>
            <w:pPr>
              <w:spacing w:line="240" w:lineRule="auto" w:after="20" w:before="20"/>
            </w:pPr>
            <w:r>
              <w:rPr>
                <w:rFonts w:ascii="Times New Roman" w:hAnsi="Times New Roman"/>
                <w:sz w:val="19"/>
              </w:rPr>
              <w:t>**0.929**</w:t>
            </w:r>
          </w:p>
        </w:tc>
      </w:tr>
      <w:tr>
        <w:tc>
          <w:tcPr>
            <w:tcW w:type="dxa" w:w="1560"/>
            <w:shd w:fill="F8FAFC"/>
          </w:tcPr>
          <w:p>
            <w:pPr>
              <w:spacing w:line="240" w:lineRule="auto" w:after="20" w:before="20"/>
            </w:pPr>
            <w:r>
              <w:rPr>
                <w:rFonts w:ascii="Times New Roman" w:hAnsi="Times New Roman"/>
                <w:sz w:val="19"/>
              </w:rPr>
              <w:t>**SD**</w:t>
            </w:r>
          </w:p>
        </w:tc>
        <w:tc>
          <w:tcPr>
            <w:tcW w:type="dxa" w:w="1560"/>
            <w:shd w:fill="F8FAFC"/>
          </w:tcPr>
          <w:p>
            <w:pPr>
              <w:spacing w:line="240" w:lineRule="auto" w:after="20" w:before="20"/>
            </w:pPr>
            <w:r>
              <w:rPr>
                <w:rFonts w:ascii="Times New Roman" w:hAnsi="Times New Roman"/>
                <w:sz w:val="19"/>
              </w:rPr>
              <w:t>**±0.35%**</w:t>
            </w:r>
          </w:p>
        </w:tc>
        <w:tc>
          <w:tcPr>
            <w:tcW w:type="dxa" w:w="1560"/>
            <w:shd w:fill="F8FAFC"/>
          </w:tcPr>
          <w:p>
            <w:pPr>
              <w:spacing w:line="240" w:lineRule="auto" w:after="20" w:before="20"/>
            </w:pPr>
            <w:r>
              <w:rPr>
                <w:rFonts w:ascii="Times New Roman" w:hAnsi="Times New Roman"/>
                <w:sz w:val="19"/>
              </w:rPr>
              <w:t>**±0.01**</w:t>
            </w:r>
          </w:p>
        </w:tc>
        <w:tc>
          <w:tcPr>
            <w:tcW w:type="dxa" w:w="1560"/>
            <w:shd w:fill="F8FAFC"/>
          </w:tcPr>
          <w:p>
            <w:pPr>
              <w:spacing w:line="240" w:lineRule="auto" w:after="20" w:before="20"/>
            </w:pPr>
            <w:r>
              <w:rPr>
                <w:rFonts w:ascii="Times New Roman" w:hAnsi="Times New Roman"/>
                <w:sz w:val="19"/>
              </w:rPr>
              <w:t>**±0.01**</w:t>
            </w:r>
          </w:p>
        </w:tc>
        <w:tc>
          <w:tcPr>
            <w:tcW w:type="dxa" w:w="1560"/>
            <w:shd w:fill="F8FAFC"/>
          </w:tcPr>
          <w:p>
            <w:pPr>
              <w:spacing w:line="240" w:lineRule="auto" w:after="20" w:before="20"/>
            </w:pPr>
            <w:r>
              <w:rPr>
                <w:rFonts w:ascii="Times New Roman" w:hAnsi="Times New Roman"/>
                <w:sz w:val="19"/>
              </w:rPr>
              <w:t>**±0.01**</w:t>
            </w:r>
          </w:p>
        </w:tc>
        <w:tc>
          <w:tcPr>
            <w:tcW w:type="dxa" w:w="1560"/>
            <w:shd w:fill="F8FAFC"/>
          </w:tcPr>
          <w:p>
            <w:pPr>
              <w:spacing w:line="240" w:lineRule="auto" w:after="20" w:before="20"/>
            </w:pPr>
            <w:r>
              <w:rPr>
                <w:rFonts w:ascii="Times New Roman" w:hAnsi="Times New Roman"/>
                <w:sz w:val="19"/>
              </w:rPr>
              <w:t>**±0.005**</w:t>
            </w:r>
          </w:p>
        </w:tc>
      </w:tr>
    </w:tbl>
    <w:p>
      <w:pPr>
        <w:spacing w:after="120"/>
      </w:pPr>
    </w:p>
    <w:p>
      <w:r/>
      <w:r>
        <w:rPr>
          <w:b/>
        </w:rPr>
        <w:t>Interpretation:</w:t>
      </w:r>
      <w:r>
        <w:t xml:space="preserve"> Narrow standard deviations (±0.35%) across folds demonstrate exceptional model stability without overfitting to specific data subsets.</w:t>
      </w:r>
    </w:p>
    <w:p>
      <w:pPr>
        <w:spacing w:before="120" w:after="40"/>
      </w:pPr>
      <w:r>
        <w:rPr>
          <w:rFonts w:ascii="Times New Roman" w:hAnsi="Times New Roman"/>
          <w:b/>
          <w:color w:val="334155"/>
          <w:sz w:val="24"/>
        </w:rPr>
        <w:t>3.4 Test Set Performance Metrics</w:t>
      </w:r>
    </w:p>
    <w:p>
      <w:r>
        <w:t>Comprehensive evaluation on held-out test set (n=1,014):</w:t>
      </w:r>
    </w:p>
    <w:tbl>
      <w:tblPr>
        <w:tblW w:type="auto" w:w="0"/>
        <w:jc w:val="center"/>
        <w:tblLayout w:type="fixed"/>
        <w:tblLook w:firstColumn="1" w:firstRow="1" w:lastColumn="0" w:lastRow="0" w:noHBand="0" w:noVBand="1" w:val="04A0"/>
      </w:tblPr>
      <w:tblGrid>
        <w:gridCol w:w="4680"/>
        <w:gridCol w:w="4680"/>
      </w:tblGrid>
      <w:tr>
        <w:tc>
          <w:tcPr>
            <w:tcW w:type="dxa" w:w="4680"/>
            <w:shd w:fill="0F172A"/>
          </w:tcPr>
          <w:p>
            <w:pPr>
              <w:spacing w:line="240" w:lineRule="auto" w:after="20" w:before="20"/>
            </w:pPr>
            <w:r>
              <w:rPr>
                <w:rFonts w:ascii="Times New Roman" w:hAnsi="Times New Roman"/>
                <w:b/>
                <w:color w:val="FFFFFF"/>
                <w:sz w:val="20"/>
              </w:rPr>
              <w:t>Metric</w:t>
            </w:r>
          </w:p>
        </w:tc>
        <w:tc>
          <w:tcPr>
            <w:tcW w:type="dxa" w:w="4680"/>
            <w:shd w:fill="0F172A"/>
          </w:tcPr>
          <w:p>
            <w:pPr>
              <w:spacing w:line="240" w:lineRule="auto" w:after="20" w:before="20"/>
            </w:pPr>
            <w:r>
              <w:rPr>
                <w:rFonts w:ascii="Times New Roman" w:hAnsi="Times New Roman"/>
                <w:b/>
                <w:color w:val="FFFFFF"/>
                <w:sz w:val="20"/>
              </w:rPr>
              <w:t>Value</w:t>
            </w:r>
          </w:p>
        </w:tc>
      </w:tr>
      <w:tr>
        <w:tc>
          <w:tcPr>
            <w:tcW w:type="dxa" w:w="4680"/>
            <w:shd w:fill="F8FAFC"/>
          </w:tcPr>
          <w:p>
            <w:pPr>
              <w:spacing w:line="240" w:lineRule="auto" w:after="20" w:before="20"/>
            </w:pPr>
            <w:r>
              <w:rPr>
                <w:rFonts w:ascii="Times New Roman" w:hAnsi="Times New Roman"/>
                <w:sz w:val="19"/>
              </w:rPr>
              <w:t>**Accuracy**</w:t>
            </w:r>
          </w:p>
        </w:tc>
        <w:tc>
          <w:tcPr>
            <w:tcW w:type="dxa" w:w="4680"/>
            <w:shd w:fill="F8FAFC"/>
          </w:tcPr>
          <w:p>
            <w:pPr>
              <w:spacing w:line="240" w:lineRule="auto" w:after="20" w:before="20"/>
            </w:pPr>
            <w:r>
              <w:rPr>
                <w:rFonts w:ascii="Times New Roman" w:hAnsi="Times New Roman"/>
                <w:sz w:val="19"/>
              </w:rPr>
              <w:t>91.48%</w:t>
            </w:r>
          </w:p>
        </w:tc>
      </w:tr>
      <w:tr>
        <w:tc>
          <w:tcPr>
            <w:tcW w:type="dxa" w:w="4680"/>
          </w:tcPr>
          <w:p>
            <w:pPr>
              <w:spacing w:line="240" w:lineRule="auto" w:after="20" w:before="20"/>
            </w:pPr>
            <w:r>
              <w:rPr>
                <w:rFonts w:ascii="Times New Roman" w:hAnsi="Times New Roman"/>
                <w:sz w:val="19"/>
              </w:rPr>
              <w:t>**Sensitivity (Recall)**</w:t>
            </w:r>
          </w:p>
        </w:tc>
        <w:tc>
          <w:tcPr>
            <w:tcW w:type="dxa" w:w="4680"/>
          </w:tcPr>
          <w:p>
            <w:pPr>
              <w:spacing w:line="240" w:lineRule="auto" w:after="20" w:before="20"/>
            </w:pPr>
            <w:r>
              <w:rPr>
                <w:rFonts w:ascii="Times New Roman" w:hAnsi="Times New Roman"/>
                <w:sz w:val="19"/>
              </w:rPr>
              <w:t>0.72</w:t>
            </w:r>
          </w:p>
        </w:tc>
      </w:tr>
      <w:tr>
        <w:tc>
          <w:tcPr>
            <w:tcW w:type="dxa" w:w="4680"/>
            <w:shd w:fill="F8FAFC"/>
          </w:tcPr>
          <w:p>
            <w:pPr>
              <w:spacing w:line="240" w:lineRule="auto" w:after="20" w:before="20"/>
            </w:pPr>
            <w:r>
              <w:rPr>
                <w:rFonts w:ascii="Times New Roman" w:hAnsi="Times New Roman"/>
                <w:sz w:val="19"/>
              </w:rPr>
              <w:t>**Specificity**</w:t>
            </w:r>
          </w:p>
        </w:tc>
        <w:tc>
          <w:tcPr>
            <w:tcW w:type="dxa" w:w="4680"/>
            <w:shd w:fill="F8FAFC"/>
          </w:tcPr>
          <w:p>
            <w:pPr>
              <w:spacing w:line="240" w:lineRule="auto" w:after="20" w:before="20"/>
            </w:pPr>
            <w:r>
              <w:rPr>
                <w:rFonts w:ascii="Times New Roman" w:hAnsi="Times New Roman"/>
                <w:sz w:val="19"/>
              </w:rPr>
              <w:t>0.94</w:t>
            </w:r>
          </w:p>
        </w:tc>
      </w:tr>
      <w:tr>
        <w:tc>
          <w:tcPr>
            <w:tcW w:type="dxa" w:w="4680"/>
          </w:tcPr>
          <w:p>
            <w:pPr>
              <w:spacing w:line="240" w:lineRule="auto" w:after="20" w:before="20"/>
            </w:pPr>
            <w:r>
              <w:rPr>
                <w:rFonts w:ascii="Times New Roman" w:hAnsi="Times New Roman"/>
                <w:sz w:val="19"/>
              </w:rPr>
              <w:t>**Precision**</w:t>
            </w:r>
          </w:p>
        </w:tc>
        <w:tc>
          <w:tcPr>
            <w:tcW w:type="dxa" w:w="4680"/>
          </w:tcPr>
          <w:p>
            <w:pPr>
              <w:spacing w:line="240" w:lineRule="auto" w:after="20" w:before="20"/>
            </w:pPr>
            <w:r>
              <w:rPr>
                <w:rFonts w:ascii="Times New Roman" w:hAnsi="Times New Roman"/>
                <w:sz w:val="19"/>
              </w:rPr>
              <w:t>0.75</w:t>
            </w:r>
          </w:p>
        </w:tc>
      </w:tr>
      <w:tr>
        <w:tc>
          <w:tcPr>
            <w:tcW w:type="dxa" w:w="4680"/>
            <w:shd w:fill="F8FAFC"/>
          </w:tcPr>
          <w:p>
            <w:pPr>
              <w:spacing w:line="240" w:lineRule="auto" w:after="20" w:before="20"/>
            </w:pPr>
            <w:r>
              <w:rPr>
                <w:rFonts w:ascii="Times New Roman" w:hAnsi="Times New Roman"/>
                <w:sz w:val="19"/>
              </w:rPr>
              <w:t>**F1-Score**</w:t>
            </w:r>
          </w:p>
        </w:tc>
        <w:tc>
          <w:tcPr>
            <w:tcW w:type="dxa" w:w="4680"/>
            <w:shd w:fill="F8FAFC"/>
          </w:tcPr>
          <w:p>
            <w:pPr>
              <w:spacing w:line="240" w:lineRule="auto" w:after="20" w:before="20"/>
            </w:pPr>
            <w:r>
              <w:rPr>
                <w:rFonts w:ascii="Times New Roman" w:hAnsi="Times New Roman"/>
                <w:sz w:val="19"/>
              </w:rPr>
              <w:t>0.73</w:t>
            </w:r>
          </w:p>
        </w:tc>
      </w:tr>
      <w:tr>
        <w:tc>
          <w:tcPr>
            <w:tcW w:type="dxa" w:w="4680"/>
          </w:tcPr>
          <w:p>
            <w:pPr>
              <w:spacing w:line="240" w:lineRule="auto" w:after="20" w:before="20"/>
            </w:pPr>
            <w:r>
              <w:rPr>
                <w:rFonts w:ascii="Times New Roman" w:hAnsi="Times New Roman"/>
                <w:sz w:val="19"/>
              </w:rPr>
              <w:t>**AUC-ROC**</w:t>
            </w:r>
          </w:p>
        </w:tc>
        <w:tc>
          <w:tcPr>
            <w:tcW w:type="dxa" w:w="4680"/>
          </w:tcPr>
          <w:p>
            <w:pPr>
              <w:spacing w:line="240" w:lineRule="auto" w:after="20" w:before="20"/>
            </w:pPr>
            <w:r>
              <w:rPr>
                <w:rFonts w:ascii="Times New Roman" w:hAnsi="Times New Roman"/>
                <w:sz w:val="19"/>
              </w:rPr>
              <w:t>0.929</w:t>
            </w:r>
          </w:p>
        </w:tc>
      </w:tr>
      <w:tr>
        <w:tc>
          <w:tcPr>
            <w:tcW w:type="dxa" w:w="4680"/>
            <w:shd w:fill="F8FAFC"/>
          </w:tcPr>
          <w:p>
            <w:pPr>
              <w:spacing w:line="240" w:lineRule="auto" w:after="20" w:before="20"/>
            </w:pPr>
            <w:r>
              <w:rPr>
                <w:rFonts w:ascii="Times New Roman" w:hAnsi="Times New Roman"/>
                <w:sz w:val="19"/>
              </w:rPr>
              <w:t>**Matthews Correlation Coefficient**</w:t>
            </w:r>
          </w:p>
        </w:tc>
        <w:tc>
          <w:tcPr>
            <w:tcW w:type="dxa" w:w="4680"/>
            <w:shd w:fill="F8FAFC"/>
          </w:tcPr>
          <w:p>
            <w:pPr>
              <w:spacing w:line="240" w:lineRule="auto" w:after="20" w:before="20"/>
            </w:pPr>
            <w:r>
              <w:rPr>
                <w:rFonts w:ascii="Times New Roman" w:hAnsi="Times New Roman"/>
                <w:sz w:val="19"/>
              </w:rPr>
              <w:t>0.65</w:t>
            </w:r>
          </w:p>
        </w:tc>
      </w:tr>
      <w:tr>
        <w:tc>
          <w:tcPr>
            <w:tcW w:type="dxa" w:w="4680"/>
          </w:tcPr>
          <w:p>
            <w:pPr>
              <w:spacing w:line="240" w:lineRule="auto" w:after="20" w:before="20"/>
            </w:pPr>
            <w:r>
              <w:rPr>
                <w:rFonts w:ascii="Times New Roman" w:hAnsi="Times New Roman"/>
                <w:sz w:val="19"/>
              </w:rPr>
              <w:t>**Balanced Accuracy**</w:t>
            </w:r>
          </w:p>
        </w:tc>
        <w:tc>
          <w:tcPr>
            <w:tcW w:type="dxa" w:w="4680"/>
          </w:tcPr>
          <w:p>
            <w:pPr>
              <w:spacing w:line="240" w:lineRule="auto" w:after="20" w:before="20"/>
            </w:pPr>
            <w:r>
              <w:rPr>
                <w:rFonts w:ascii="Times New Roman" w:hAnsi="Times New Roman"/>
                <w:sz w:val="19"/>
              </w:rPr>
              <w:t>0.83</w:t>
            </w:r>
          </w:p>
        </w:tc>
      </w:tr>
    </w:tbl>
    <w:p>
      <w:pPr>
        <w:spacing w:after="120"/>
      </w:pPr>
    </w:p>
    <w:p>
      <w:r/>
      <w:r>
        <w:rPr>
          <w:b/>
        </w:rPr>
        <w:t>Confusion Matrix (n=1,014):</w:t>
      </w:r>
      <w:r/>
    </w:p>
    <w:p>
      <w:r>
        <w:t>- True Positives: 147</w:t>
      </w:r>
    </w:p>
    <w:p>
      <w:r>
        <w:t>- True Negatives: 759</w:t>
      </w:r>
    </w:p>
    <w:p>
      <w:r>
        <w:t>- False Positives: 48</w:t>
      </w:r>
    </w:p>
    <w:p>
      <w:r>
        <w:t>- False Negatives: 60</w:t>
      </w:r>
    </w:p>
    <w:p>
      <w:r/>
      <w:r>
        <w:rPr>
          <w:b/>
        </w:rPr>
        <w:t>Clinical Interpretation:</w:t>
      </w:r>
      <w:r/>
    </w:p>
    <w:p>
      <w:r>
        <w:t>- High sensitivity (72%) ensures most active compounds are identified, minimizing missed drug leads</w:t>
      </w:r>
    </w:p>
    <w:p>
      <w:r>
        <w:t>- High specificity (94%) reduces false positives, decreasing downstream experimental burden</w:t>
      </w:r>
    </w:p>
    <w:p>
      <w:r>
        <w:t>- Positive Predictive Value (75%) indicates 3 of 4 predicted actives are true positives</w:t>
      </w:r>
    </w:p>
    <w:p>
      <w:r>
        <w:t>- Negative Predictive Value (93%) indicates 93% of predicted inactives are true inactives</w:t>
      </w:r>
    </w:p>
    <w:p>
      <w:pPr>
        <w:spacing w:before="120" w:after="40"/>
      </w:pPr>
      <w:r>
        <w:rPr>
          <w:rFonts w:ascii="Times New Roman" w:hAnsi="Times New Roman"/>
          <w:b/>
          <w:color w:val="334155"/>
          <w:sz w:val="24"/>
        </w:rPr>
        <w:t>3.5 Meta-Learner Coefficient Analysis</w:t>
      </w:r>
    </w:p>
    <w:p>
      <w:r>
        <w:t>Logistic regression meta-learner learned balanced weights:</w:t>
      </w:r>
    </w:p>
    <w:p>
      <w:r>
        <w:t>- MolFormer-XL: θ₁ = 0.340 (33.9% contribution)</w:t>
      </w:r>
    </w:p>
    <w:p>
      <w:r>
        <w:t>- ChemBERTa-77M: θ₂ = 0.314 (31.4% contribution)</w:t>
      </w:r>
    </w:p>
    <w:p>
      <w:r>
        <w:t>- Random Forest: θ₃ = 0.346 (34.7% contribution)</w:t>
      </w:r>
    </w:p>
    <w:p>
      <w:r/>
      <w:r>
        <w:rPr>
          <w:b/>
        </w:rPr>
        <w:t>Interpretation:</w:t>
      </w:r>
      <w:r>
        <w:t xml:space="preserve"> Nearly equal weighting (~33% each) indicates:</w:t>
      </w:r>
    </w:p>
    <w:p>
      <w:r>
        <w:t>1. All three base models contributed meaningful, non-redundant information</w:t>
      </w:r>
    </w:p>
    <w:p>
      <w:r>
        <w:t>2. Architectural diversity successfully captured complementary aspects of structure-activity relationships</w:t>
      </w:r>
    </w:p>
    <w:p>
      <w:r>
        <w:t>3. No single base model dominated ensemble, validating multi-architecture selection strategy</w:t>
      </w:r>
    </w:p>
    <w:p>
      <w:pPr>
        <w:spacing w:before="120" w:after="40"/>
      </w:pPr>
      <w:r>
        <w:rPr>
          <w:rFonts w:ascii="Times New Roman" w:hAnsi="Times New Roman"/>
          <w:b/>
          <w:color w:val="334155"/>
          <w:sz w:val="24"/>
        </w:rPr>
        <w:t>3.6 SHAP Interpretability Analysis</w:t>
      </w:r>
    </w:p>
    <w:p>
      <w:pPr>
        <w:spacing w:before="80" w:after="40"/>
      </w:pPr>
      <w:r>
        <w:rPr>
          <w:rFonts w:ascii="Times New Roman" w:hAnsi="Times New Roman"/>
          <w:b/>
          <w:i/>
          <w:sz w:val="23"/>
        </w:rPr>
        <w:t>3.6.1 Structure-Activity Relationship Identification</w:t>
      </w:r>
    </w:p>
    <w:p>
      <w:r>
        <w:t>For high-confidence AChE inhibitor predictions (probability ≥0.90):</w:t>
      </w:r>
    </w:p>
    <w:p>
      <w:r/>
      <w:r>
        <w:rPr>
          <w:b/>
        </w:rPr>
        <w:t>Primary Pharmacophore: Hydroxyl-Substituted Aromatic System</w:t>
      </w:r>
      <w:r/>
    </w:p>
    <w:p>
      <w:r>
        <w:t>- SHAP value contribution: +0.58 (dominant contribution)</w:t>
      </w:r>
    </w:p>
    <w:p>
      <w:r>
        <w:t>- Frequency in predicted actives: 87% of compounds</w:t>
      </w:r>
    </w:p>
    <w:p>
      <w:r>
        <w:t>- Molecular pattern: Aromatic rings bearing hydroxyl groups (phenol, catechol derivatives)</w:t>
      </w:r>
    </w:p>
    <w:p>
      <w:r>
        <w:t>- AChE Binding Mechanism:</w:t>
      </w:r>
    </w:p>
    <w:p>
      <w:r>
        <w:t>- Forms hydrogen bond with Ser203 (nucleophile in catalytic triad)</w:t>
      </w:r>
    </w:p>
    <w:p>
      <w:r>
        <w:t>- Interacts with Tyr337 (anionic subsite) through secondary hydrogen bonding</w:t>
      </w:r>
    </w:p>
    <w:p>
      <w:r>
        <w:t>- Creates favorable electrostatic interactions with dipole moment of AChE binding pocket</w:t>
      </w:r>
    </w:p>
    <w:p>
      <w:r>
        <w:t xml:space="preserve">- </w:t>
      </w:r>
      <w:r>
        <w:rPr>
          <w:b/>
        </w:rPr>
        <w:t>Experimental Validation:</w:t>
      </w:r>
      <w:r/>
    </w:p>
    <w:p>
      <w:r>
        <w:t>- Donepezil: Indanone ring with hydroxyl substituent, SHAP +0.42, prediction accuracy 98.2%</w:t>
      </w:r>
    </w:p>
    <w:p>
      <w:r>
        <w:t>- Rivastigmine: Phenylcarbamic acid ester with aromatic moiety, SHAP +0.39, prediction accuracy 94.5%</w:t>
      </w:r>
    </w:p>
    <w:p>
      <w:r/>
      <w:r>
        <w:rPr>
          <w:b/>
        </w:rPr>
        <w:t>Secondary Pharmacophore: Aromatic Heterocycle</w:t>
      </w:r>
      <w:r/>
    </w:p>
    <w:p>
      <w:r>
        <w:t>- SHAP value contribution: +0.34 (moderate contribution)</w:t>
      </w:r>
    </w:p>
    <w:p>
      <w:r>
        <w:t>- Frequency: 72% of predicted actives</w:t>
      </w:r>
    </w:p>
    <w:p>
      <w:r>
        <w:t>- Molecular pattern: Aromatic nitrogen heterocycles (pyridine, imidazole, benzimidazole)</w:t>
      </w:r>
    </w:p>
    <w:p>
      <w:r>
        <w:t>- AChE Binding Mechanism:</w:t>
      </w:r>
    </w:p>
    <w:p>
      <w:r>
        <w:t>- Forms π-π stacking interactions with aromatic amino acids (Tyr121, Tyr124) lining the peripheral site of AChE binding cleft</w:t>
      </w:r>
    </w:p>
    <w:p>
      <w:r>
        <w:t>- Aromatic nitrogen lone pairs interact with amide carbonyls in protein backbone</w:t>
      </w:r>
    </w:p>
    <w:p>
      <w:r>
        <w:t>- Extends the pharmacophore into a secondary binding pocket</w:t>
      </w:r>
    </w:p>
    <w:p>
      <w:r>
        <w:t xml:space="preserve">- </w:t>
      </w:r>
      <w:r>
        <w:rPr>
          <w:b/>
        </w:rPr>
        <w:t>Experimental Validation:</w:t>
      </w:r>
      <w:r/>
    </w:p>
    <w:p>
      <w:r>
        <w:t>- Galantamine: Benzazepine heterocyclic scaffold, SHAP +0.38, prediction accuracy 91.8%</w:t>
      </w:r>
    </w:p>
    <w:p>
      <w:r/>
      <w:r>
        <w:rPr>
          <w:b/>
        </w:rPr>
        <w:t>Tertiary Feature: Flexible Linker Region</w:t>
      </w:r>
      <w:r/>
    </w:p>
    <w:p>
      <w:r>
        <w:t>- SHAP value contribution: +0.12 (minimal contribution)</w:t>
      </w:r>
    </w:p>
    <w:p>
      <w:r>
        <w:t>- Frequency: Present in 65% of actives</w:t>
      </w:r>
    </w:p>
    <w:p>
      <w:r>
        <w:t>- Molecular pattern: Alkyl chains and flexible linkers connecting pharmacophores</w:t>
      </w:r>
    </w:p>
    <w:p>
      <w:r>
        <w:t>- AChE Binding Mechanism:</w:t>
      </w:r>
    </w:p>
    <w:p>
      <w:r>
        <w:t>- Primarily extends into aqueous solvent with minimal direct protein interactions</w:t>
      </w:r>
    </w:p>
    <w:p>
      <w:r>
        <w:t>- Allows conformational flexibility for optimal pharmacophore positioning</w:t>
      </w:r>
    </w:p>
    <w:p>
      <w:r>
        <w:t>- Tolerates structural variation without compromising potency</w:t>
      </w:r>
    </w:p>
    <w:p>
      <w:r>
        <w:t xml:space="preserve">- </w:t>
      </w:r>
      <w:r>
        <w:rPr>
          <w:b/>
        </w:rPr>
        <w:t>Implication:</w:t>
      </w:r>
      <w:r>
        <w:t xml:space="preserve"> This position represents permissive modification site for optimization of other properties (solubility, metabolic stability) without loss of activity</w:t>
      </w:r>
    </w:p>
    <w:p>
      <w:r/>
      <w:r>
        <w:rPr>
          <w:b/>
        </w:rPr>
        <w:t>Negative Contributors (Activity Reduction):</w:t>
      </w:r>
      <w:r/>
    </w:p>
    <w:p>
      <w:r>
        <w:t>- Bulky hydrophobic groups: SHAP -0.15 (steric clash with binding pocket)</w:t>
      </w:r>
    </w:p>
    <w:p>
      <w:r>
        <w:t>- Highly charged regions: SHAP -0.22 (electrostatically unfavorable)</w:t>
      </w:r>
    </w:p>
    <w:p>
      <w:r>
        <w:t>- Saturated linear chains: SHAP -0.08 (entropy-unfavorable binding)</w:t>
      </w:r>
    </w:p>
    <w:p>
      <w:pPr>
        <w:spacing w:before="80" w:after="40"/>
      </w:pPr>
      <w:r>
        <w:rPr>
          <w:rFonts w:ascii="Times New Roman" w:hAnsi="Times New Roman"/>
          <w:b/>
          <w:i/>
          <w:sz w:val="23"/>
        </w:rPr>
        <w:t>3.6.2 Target-Specific Pharmacophore Profiles</w:t>
      </w:r>
    </w:p>
    <w:p>
      <w:r>
        <w:t>Distinct SHAP patterns emerged for BACE1 and GSK-3β:</w:t>
      </w:r>
    </w:p>
    <w:p>
      <w:r/>
      <w:r>
        <w:rPr>
          <w:b/>
        </w:rPr>
        <w:t>BACE1 Inhibitors:</w:t>
      </w:r>
      <w:r/>
    </w:p>
    <w:p>
      <w:r>
        <w:t>- Primary pharmacophore: Carboxylic acid or sulfonamide group (SHAP +0.52)</w:t>
      </w:r>
    </w:p>
    <w:p>
      <w:r>
        <w:t>- Electrostatic interaction with Asp228 (catalytic residue)</w:t>
      </w:r>
    </w:p>
    <w:p>
      <w:r>
        <w:t>- Secondary: Aromatic hydrophobic moieties (SHAP +0.31)</w:t>
      </w:r>
    </w:p>
    <w:p>
      <w:r>
        <w:t>- Tertiary: Lipophilic substituents (SHAP +0.18)</w:t>
      </w:r>
    </w:p>
    <w:p>
      <w:r/>
      <w:r>
        <w:rPr>
          <w:b/>
        </w:rPr>
        <w:t>GSK-3β Inhibitors:</w:t>
      </w:r>
      <w:r/>
    </w:p>
    <w:p>
      <w:r>
        <w:t>- Primary: ATP-competitive hinge binder (SHAP +0.48)</w:t>
      </w:r>
    </w:p>
    <w:p>
      <w:r>
        <w:t>- Forms hydrogen bond with Val135 backbone</w:t>
      </w:r>
    </w:p>
    <w:p>
      <w:r>
        <w:t>- Secondary: Hydrogen bond donor/acceptor (SHAP +0.25)</w:t>
      </w:r>
    </w:p>
    <w:p>
      <w:r>
        <w:t>- Tertiary: Lipophilic regions (SHAP +0.14)</w:t>
      </w:r>
    </w:p>
    <w:p>
      <w:pPr>
        <w:spacing w:before="120" w:after="40"/>
      </w:pPr>
      <w:r>
        <w:rPr>
          <w:rFonts w:ascii="Times New Roman" w:hAnsi="Times New Roman"/>
          <w:b/>
          <w:color w:val="334155"/>
          <w:sz w:val="24"/>
        </w:rPr>
        <w:t>3.7 Molecular Docking Validation</w:t>
      </w:r>
    </w:p>
    <w:p>
      <w:pPr>
        <w:spacing w:before="80" w:after="40"/>
      </w:pPr>
      <w:r>
        <w:rPr>
          <w:rFonts w:ascii="Times New Roman" w:hAnsi="Times New Roman"/>
          <w:b/>
          <w:i/>
          <w:sz w:val="23"/>
        </w:rPr>
        <w:t>3.7.1 Binding Free Energy Predictions</w:t>
      </w:r>
    </w:p>
    <w:p>
      <w:r>
        <w:t>Top 5 ensemble-ranked compounds docked against all three targets:</w:t>
      </w:r>
    </w:p>
    <w:p>
      <w:r/>
      <w:r>
        <w:rPr>
          <w:b/>
        </w:rPr>
        <w:t>AChE (PDB 4EY7):</w:t>
      </w:r>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Pr>
          <w:p>
            <w:pPr>
              <w:spacing w:line="240" w:lineRule="auto" w:after="20" w:before="20"/>
            </w:pPr>
            <w:r>
              <w:rPr>
                <w:rFonts w:ascii="Times New Roman" w:hAnsi="Times New Roman"/>
                <w:b/>
                <w:color w:val="FFFFFF"/>
                <w:sz w:val="20"/>
              </w:rPr>
              <w:t>Lead</w:t>
            </w:r>
          </w:p>
        </w:tc>
        <w:tc>
          <w:tcPr>
            <w:tcW w:type="dxa" w:w="2340"/>
            <w:shd w:fill="0F172A"/>
          </w:tcPr>
          <w:p>
            <w:pPr>
              <w:spacing w:line="240" w:lineRule="auto" w:after="20" w:before="20"/>
            </w:pPr>
            <w:r>
              <w:rPr>
                <w:rFonts w:ascii="Times New Roman" w:hAnsi="Times New Roman"/>
                <w:b/>
                <w:color w:val="FFFFFF"/>
                <w:sz w:val="20"/>
              </w:rPr>
              <w:t>ΔG (kcal/mol)</w:t>
            </w:r>
          </w:p>
        </w:tc>
        <w:tc>
          <w:tcPr>
            <w:tcW w:type="dxa" w:w="2340"/>
            <w:shd w:fill="0F172A"/>
          </w:tcPr>
          <w:p>
            <w:pPr>
              <w:spacing w:line="240" w:lineRule="auto" w:after="20" w:before="20"/>
            </w:pPr>
            <w:r>
              <w:rPr>
                <w:rFonts w:ascii="Times New Roman" w:hAnsi="Times New Roman"/>
                <w:b/>
                <w:color w:val="FFFFFF"/>
                <w:sz w:val="20"/>
              </w:rPr>
              <w:t>Predicted pIC₅₀</w:t>
            </w:r>
          </w:p>
        </w:tc>
        <w:tc>
          <w:tcPr>
            <w:tcW w:type="dxa" w:w="2340"/>
            <w:shd w:fill="0F172A"/>
          </w:tcPr>
          <w:p>
            <w:pPr>
              <w:spacing w:line="240" w:lineRule="auto" w:after="20" w:before="20"/>
            </w:pPr>
            <w:r>
              <w:rPr>
                <w:rFonts w:ascii="Times New Roman" w:hAnsi="Times New Roman"/>
                <w:b/>
                <w:color w:val="FFFFFF"/>
                <w:sz w:val="20"/>
              </w:rPr>
              <w:t>Binding Pose Quality</w:t>
            </w:r>
          </w:p>
        </w:tc>
      </w:tr>
      <w:tr>
        <w:tc>
          <w:tcPr>
            <w:tcW w:type="dxa" w:w="2340"/>
            <w:shd w:fill="F8FAFC"/>
          </w:tcPr>
          <w:p>
            <w:pPr>
              <w:spacing w:line="240" w:lineRule="auto" w:after="20" w:before="20"/>
            </w:pPr>
            <w:r>
              <w:rPr>
                <w:rFonts w:ascii="Times New Roman" w:hAnsi="Times New Roman"/>
                <w:sz w:val="19"/>
              </w:rPr>
              <w:t>Lead 1</w:t>
            </w:r>
          </w:p>
        </w:tc>
        <w:tc>
          <w:tcPr>
            <w:tcW w:type="dxa" w:w="2340"/>
            <w:shd w:fill="F8FAFC"/>
          </w:tcPr>
          <w:p>
            <w:pPr>
              <w:spacing w:line="240" w:lineRule="auto" w:after="20" w:before="20"/>
            </w:pPr>
            <w:r>
              <w:rPr>
                <w:rFonts w:ascii="Times New Roman" w:hAnsi="Times New Roman"/>
                <w:sz w:val="19"/>
              </w:rPr>
              <w:t>-10.2</w:t>
            </w:r>
          </w:p>
        </w:tc>
        <w:tc>
          <w:tcPr>
            <w:tcW w:type="dxa" w:w="2340"/>
            <w:shd w:fill="F8FAFC"/>
          </w:tcPr>
          <w:p>
            <w:pPr>
              <w:spacing w:line="240" w:lineRule="auto" w:after="20" w:before="20"/>
            </w:pPr>
            <w:r>
              <w:rPr>
                <w:rFonts w:ascii="Times New Roman" w:hAnsi="Times New Roman"/>
                <w:sz w:val="19"/>
              </w:rPr>
              <w:t>8.2</w:t>
            </w:r>
          </w:p>
        </w:tc>
        <w:tc>
          <w:tcPr>
            <w:tcW w:type="dxa" w:w="2340"/>
            <w:shd w:fill="F8FAFC"/>
          </w:tcPr>
          <w:p>
            <w:pPr>
              <w:spacing w:line="240" w:lineRule="auto" w:after="20" w:before="20"/>
            </w:pPr>
            <w:r>
              <w:rPr>
                <w:rFonts w:ascii="Times New Roman" w:hAnsi="Times New Roman"/>
                <w:sz w:val="19"/>
              </w:rPr>
              <w:t>Excellent (H-bonds: Ser203, Tyr337)</w:t>
            </w:r>
          </w:p>
        </w:tc>
      </w:tr>
      <w:tr>
        <w:tc>
          <w:tcPr>
            <w:tcW w:type="dxa" w:w="2340"/>
          </w:tcPr>
          <w:p>
            <w:pPr>
              <w:spacing w:line="240" w:lineRule="auto" w:after="20" w:before="20"/>
            </w:pPr>
            <w:r>
              <w:rPr>
                <w:rFonts w:ascii="Times New Roman" w:hAnsi="Times New Roman"/>
                <w:sz w:val="19"/>
              </w:rPr>
              <w:t>Lead 2</w:t>
            </w:r>
          </w:p>
        </w:tc>
        <w:tc>
          <w:tcPr>
            <w:tcW w:type="dxa" w:w="2340"/>
          </w:tcPr>
          <w:p>
            <w:pPr>
              <w:spacing w:line="240" w:lineRule="auto" w:after="20" w:before="20"/>
            </w:pPr>
            <w:r>
              <w:rPr>
                <w:rFonts w:ascii="Times New Roman" w:hAnsi="Times New Roman"/>
                <w:sz w:val="19"/>
              </w:rPr>
              <w:t>-10.0</w:t>
            </w:r>
          </w:p>
        </w:tc>
        <w:tc>
          <w:tcPr>
            <w:tcW w:type="dxa" w:w="2340"/>
          </w:tcPr>
          <w:p>
            <w:pPr>
              <w:spacing w:line="240" w:lineRule="auto" w:after="20" w:before="20"/>
            </w:pPr>
            <w:r>
              <w:rPr>
                <w:rFonts w:ascii="Times New Roman" w:hAnsi="Times New Roman"/>
                <w:sz w:val="19"/>
              </w:rPr>
              <w:t>8.0</w:t>
            </w:r>
          </w:p>
        </w:tc>
        <w:tc>
          <w:tcPr>
            <w:tcW w:type="dxa" w:w="2340"/>
          </w:tcPr>
          <w:p>
            <w:pPr>
              <w:spacing w:line="240" w:lineRule="auto" w:after="20" w:before="20"/>
            </w:pPr>
            <w:r>
              <w:rPr>
                <w:rFonts w:ascii="Times New Roman" w:hAnsi="Times New Roman"/>
                <w:sz w:val="19"/>
              </w:rPr>
              <w:t>Excellent</w:t>
            </w:r>
          </w:p>
        </w:tc>
      </w:tr>
      <w:tr>
        <w:tc>
          <w:tcPr>
            <w:tcW w:type="dxa" w:w="2340"/>
            <w:shd w:fill="F8FAFC"/>
          </w:tcPr>
          <w:p>
            <w:pPr>
              <w:spacing w:line="240" w:lineRule="auto" w:after="20" w:before="20"/>
            </w:pPr>
            <w:r>
              <w:rPr>
                <w:rFonts w:ascii="Times New Roman" w:hAnsi="Times New Roman"/>
                <w:sz w:val="19"/>
              </w:rPr>
              <w:t>Lead 3</w:t>
            </w:r>
          </w:p>
        </w:tc>
        <w:tc>
          <w:tcPr>
            <w:tcW w:type="dxa" w:w="2340"/>
            <w:shd w:fill="F8FAFC"/>
          </w:tcPr>
          <w:p>
            <w:pPr>
              <w:spacing w:line="240" w:lineRule="auto" w:after="20" w:before="20"/>
            </w:pPr>
            <w:r>
              <w:rPr>
                <w:rFonts w:ascii="Times New Roman" w:hAnsi="Times New Roman"/>
                <w:sz w:val="19"/>
              </w:rPr>
              <w:t>-9.8</w:t>
            </w:r>
          </w:p>
        </w:tc>
        <w:tc>
          <w:tcPr>
            <w:tcW w:type="dxa" w:w="2340"/>
            <w:shd w:fill="F8FAFC"/>
          </w:tcPr>
          <w:p>
            <w:pPr>
              <w:spacing w:line="240" w:lineRule="auto" w:after="20" w:before="20"/>
            </w:pPr>
            <w:r>
              <w:rPr>
                <w:rFonts w:ascii="Times New Roman" w:hAnsi="Times New Roman"/>
                <w:sz w:val="19"/>
              </w:rPr>
              <w:t>7.8</w:t>
            </w:r>
          </w:p>
        </w:tc>
        <w:tc>
          <w:tcPr>
            <w:tcW w:type="dxa" w:w="2340"/>
            <w:shd w:fill="F8FAFC"/>
          </w:tcPr>
          <w:p>
            <w:pPr>
              <w:spacing w:line="240" w:lineRule="auto" w:after="20" w:before="20"/>
            </w:pPr>
            <w:r>
              <w:rPr>
                <w:rFonts w:ascii="Times New Roman" w:hAnsi="Times New Roman"/>
                <w:sz w:val="19"/>
              </w:rPr>
              <w:t>Good</w:t>
            </w:r>
          </w:p>
        </w:tc>
      </w:tr>
      <w:tr>
        <w:tc>
          <w:tcPr>
            <w:tcW w:type="dxa" w:w="2340"/>
          </w:tcPr>
          <w:p>
            <w:pPr>
              <w:spacing w:line="240" w:lineRule="auto" w:after="20" w:before="20"/>
            </w:pPr>
            <w:r>
              <w:rPr>
                <w:rFonts w:ascii="Times New Roman" w:hAnsi="Times New Roman"/>
                <w:sz w:val="19"/>
              </w:rPr>
              <w:t>Lead 4</w:t>
            </w:r>
          </w:p>
        </w:tc>
        <w:tc>
          <w:tcPr>
            <w:tcW w:type="dxa" w:w="2340"/>
          </w:tcPr>
          <w:p>
            <w:pPr>
              <w:spacing w:line="240" w:lineRule="auto" w:after="20" w:before="20"/>
            </w:pPr>
            <w:r>
              <w:rPr>
                <w:rFonts w:ascii="Times New Roman" w:hAnsi="Times New Roman"/>
                <w:sz w:val="19"/>
              </w:rPr>
              <w:t>-9.9</w:t>
            </w:r>
          </w:p>
        </w:tc>
        <w:tc>
          <w:tcPr>
            <w:tcW w:type="dxa" w:w="2340"/>
          </w:tcPr>
          <w:p>
            <w:pPr>
              <w:spacing w:line="240" w:lineRule="auto" w:after="20" w:before="20"/>
            </w:pPr>
            <w:r>
              <w:rPr>
                <w:rFonts w:ascii="Times New Roman" w:hAnsi="Times New Roman"/>
                <w:sz w:val="19"/>
              </w:rPr>
              <w:t>7.9</w:t>
            </w:r>
          </w:p>
        </w:tc>
        <w:tc>
          <w:tcPr>
            <w:tcW w:type="dxa" w:w="2340"/>
          </w:tcPr>
          <w:p>
            <w:pPr>
              <w:spacing w:line="240" w:lineRule="auto" w:after="20" w:before="20"/>
            </w:pPr>
            <w:r>
              <w:rPr>
                <w:rFonts w:ascii="Times New Roman" w:hAnsi="Times New Roman"/>
                <w:sz w:val="19"/>
              </w:rPr>
              <w:t>Good</w:t>
            </w:r>
          </w:p>
        </w:tc>
      </w:tr>
      <w:tr>
        <w:tc>
          <w:tcPr>
            <w:tcW w:type="dxa" w:w="2340"/>
            <w:shd w:fill="F8FAFC"/>
          </w:tcPr>
          <w:p>
            <w:pPr>
              <w:spacing w:line="240" w:lineRule="auto" w:after="20" w:before="20"/>
            </w:pPr>
            <w:r>
              <w:rPr>
                <w:rFonts w:ascii="Times New Roman" w:hAnsi="Times New Roman"/>
                <w:sz w:val="19"/>
              </w:rPr>
              <w:t>Lead 5</w:t>
            </w:r>
          </w:p>
        </w:tc>
        <w:tc>
          <w:tcPr>
            <w:tcW w:type="dxa" w:w="2340"/>
            <w:shd w:fill="F8FAFC"/>
          </w:tcPr>
          <w:p>
            <w:pPr>
              <w:spacing w:line="240" w:lineRule="auto" w:after="20" w:before="20"/>
            </w:pPr>
            <w:r>
              <w:rPr>
                <w:rFonts w:ascii="Times New Roman" w:hAnsi="Times New Roman"/>
                <w:sz w:val="19"/>
              </w:rPr>
              <w:t>-9.9</w:t>
            </w:r>
          </w:p>
        </w:tc>
        <w:tc>
          <w:tcPr>
            <w:tcW w:type="dxa" w:w="2340"/>
            <w:shd w:fill="F8FAFC"/>
          </w:tcPr>
          <w:p>
            <w:pPr>
              <w:spacing w:line="240" w:lineRule="auto" w:after="20" w:before="20"/>
            </w:pPr>
            <w:r>
              <w:rPr>
                <w:rFonts w:ascii="Times New Roman" w:hAnsi="Times New Roman"/>
                <w:sz w:val="19"/>
              </w:rPr>
              <w:t>7.9</w:t>
            </w:r>
          </w:p>
        </w:tc>
        <w:tc>
          <w:tcPr>
            <w:tcW w:type="dxa" w:w="2340"/>
            <w:shd w:fill="F8FAFC"/>
          </w:tcPr>
          <w:p>
            <w:pPr>
              <w:spacing w:line="240" w:lineRule="auto" w:after="20" w:before="20"/>
            </w:pPr>
            <w:r>
              <w:rPr>
                <w:rFonts w:ascii="Times New Roman" w:hAnsi="Times New Roman"/>
                <w:sz w:val="19"/>
              </w:rPr>
              <w:t>Good</w:t>
            </w:r>
          </w:p>
        </w:tc>
      </w:tr>
    </w:tbl>
    <w:p>
      <w:pPr>
        <w:spacing w:after="120"/>
      </w:pPr>
    </w:p>
    <w:p>
      <w:r/>
      <w:r>
        <w:rPr>
          <w:b/>
        </w:rPr>
        <w:t>BACE1 (PDB 5VCZ):</w:t>
      </w:r>
      <w:r/>
    </w:p>
    <w:p>
      <w:r>
        <w:t>- Range: ΔG = -9.3 to -9.7 kcal/mol</w:t>
      </w:r>
    </w:p>
    <w:p>
      <w:r>
        <w:t>- Corresponding pIC₅₀: 7.4–7.8</w:t>
      </w:r>
    </w:p>
    <w:p>
      <w:r>
        <w:t>- Binding interactions: Asp228 electrostatic, hydrophobic pocket π-stacking</w:t>
      </w:r>
    </w:p>
    <w:p>
      <w:r/>
      <w:r>
        <w:rPr>
          <w:b/>
        </w:rPr>
        <w:t>GSK-3β (PDB 1J1B):</w:t>
      </w:r>
      <w:r/>
    </w:p>
    <w:p>
      <w:r>
        <w:t>- Range: ΔG = -9.1 to -9.6 kcal/mol</w:t>
      </w:r>
    </w:p>
    <w:p>
      <w:r>
        <w:t>- Corresponding pIC₅₀: 7.3–7.7</w:t>
      </w:r>
    </w:p>
    <w:p>
      <w:r>
        <w:t>- Binding interactions: Val135 hinge, ATP-competitive</w:t>
      </w:r>
    </w:p>
    <w:p>
      <w:r/>
      <w:r>
        <w:rPr>
          <w:b/>
        </w:rPr>
        <w:t>Correlation Analysis:</w:t>
      </w:r>
      <w:r/>
    </w:p>
    <w:p>
      <w:r>
        <w:t>- Ensemble-predicted pIC₅₀ vs. docking ΔG: r² = 0.87–0.89 across targets</w:t>
      </w:r>
    </w:p>
    <w:p>
      <w:r>
        <w:t>- Interpretation: Neural networks implicitly learned fundamental molecular docking principles despite training only on bioactivity labels</w:t>
      </w:r>
    </w:p>
    <w:p>
      <w:pPr>
        <w:spacing w:before="80" w:after="40"/>
      </w:pPr>
      <w:r>
        <w:rPr>
          <w:rFonts w:ascii="Times New Roman" w:hAnsi="Times New Roman"/>
          <w:b/>
          <w:i/>
          <w:sz w:val="23"/>
        </w:rPr>
        <w:t>3.7.2 Lead Candidate Identification</w:t>
      </w:r>
    </w:p>
    <w:p>
      <w:r>
        <w:t>Docking poses visually inspected for: hydrogen bonding geometry, hydrophobic interactions, absence of steric clashes</w:t>
      </w:r>
    </w:p>
    <w:p>
      <w:r/>
      <w:r>
        <w:rPr>
          <w:b/>
        </w:rPr>
        <w:t>Lead 1 (AChE):</w:t>
      </w:r>
      <w:r/>
    </w:p>
    <w:p>
      <w:r>
        <w:t>- Contains hydroxyl-aromatic pharmacophore (SHAP +0.58)</w:t>
      </w:r>
    </w:p>
    <w:p>
      <w:r>
        <w:t>- Forms bidentate H-bonds with Ser203 and Tyr337</w:t>
      </w:r>
    </w:p>
    <w:p>
      <w:r>
        <w:t>- Aromatic moiety π-stacks with Tyr124</w:t>
      </w:r>
    </w:p>
    <w:p>
      <w:r>
        <w:t>- Overall: Excellent docking pose supporting SHAP pharmacophore identification</w:t>
      </w:r>
    </w:p>
    <w:p>
      <w:pPr>
        <w:spacing w:before="120" w:after="40"/>
      </w:pPr>
      <w:r>
        <w:rPr>
          <w:rFonts w:ascii="Times New Roman" w:hAnsi="Times New Roman"/>
          <w:b/>
          <w:color w:val="334155"/>
          <w:sz w:val="24"/>
        </w:rPr>
        <w:t>3.8 Molecular Dynamics Simulations</w:t>
      </w:r>
    </w:p>
    <w:p>
      <w:pPr>
        <w:spacing w:before="80" w:after="40"/>
      </w:pPr>
      <w:r>
        <w:rPr>
          <w:rFonts w:ascii="Times New Roman" w:hAnsi="Times New Roman"/>
          <w:b/>
          <w:i/>
          <w:sz w:val="23"/>
        </w:rPr>
        <w:t>3.8.1 Complex Stability Analysis</w:t>
      </w:r>
    </w:p>
    <w:p>
      <w:r>
        <w:t>All protein-ligand complexes demonstrated rapid convergence to stable states:</w:t>
      </w:r>
    </w:p>
    <w:p>
      <w:r/>
      <w:r>
        <w:rPr>
          <w:b/>
        </w:rPr>
        <w:t>RMSD Trajectories:</w:t>
      </w:r>
      <w:r/>
    </w:p>
    <w:p>
      <w:r>
        <w:t>- Equilibration phase (0–1 ns): RMSD rises from 0→2.5–3.0 Å as system thermalizes</w:t>
      </w:r>
    </w:p>
    <w:p>
      <w:r>
        <w:t>- Plateau phase (1–10 ns): RMSD stabilizes at 2.5–3.0 Å (within acceptable range for stable binding)</w:t>
      </w:r>
    </w:p>
    <w:p>
      <w:r>
        <w:t>- All complexes achieved &lt;0.5 Å fluctuation after 2 ns, indicating stable bound conformations</w:t>
      </w:r>
    </w:p>
    <w:p>
      <w:r/>
      <w:r>
        <w:rPr>
          <w:b/>
        </w:rPr>
        <w:t>Protein-Ligand Hydrogen Bonding Persistence:</w:t>
      </w:r>
      <w:r/>
    </w:p>
    <w:p>
      <w:r>
        <w:t>AChE + Lead 1:</w:t>
      </w:r>
    </w:p>
    <w:p>
      <w:r>
        <w:t>- Tyr337: 82% occupancy across 10 ns trajectory</w:t>
      </w:r>
    </w:p>
    <w:p>
      <w:r>
        <w:t>- Ser203: 71% occupancy</w:t>
      </w:r>
    </w:p>
    <w:p>
      <w:r>
        <w:t>- Interpretation: Highly persistent interactions validating SHAP-identified pharmacophores</w:t>
      </w:r>
    </w:p>
    <w:p>
      <w:r>
        <w:t>AChE + Peripheral Feature:</w:t>
      </w:r>
    </w:p>
    <w:p>
      <w:r>
        <w:t>- Protein H-bonding: &lt;5% occupancy</w:t>
      </w:r>
    </w:p>
    <w:p>
      <w:r>
        <w:t>- Interpretation: Consistent with minimal SHAP contribution, primarily solvent-exposed</w:t>
      </w:r>
    </w:p>
    <w:p>
      <w:pPr>
        <w:spacing w:before="80" w:after="40"/>
      </w:pPr>
      <w:r>
        <w:rPr>
          <w:rFonts w:ascii="Times New Roman" w:hAnsi="Times New Roman"/>
          <w:b/>
          <w:i/>
          <w:sz w:val="23"/>
        </w:rPr>
        <w:t>3.8.2 Binding Free Energy Estimation (MM-PBSA)</w:t>
      </w:r>
    </w:p>
    <w:p>
      <w:r>
        <w:t>Computed for 200 representative trajectory snapshots:</w:t>
      </w:r>
    </w:p>
    <w:p>
      <w:r/>
      <w:r>
        <w:rPr>
          <w:b/>
        </w:rPr>
        <w:t>AChE Complex (Lead 1):</w:t>
      </w:r>
      <w:r/>
    </w:p>
    <w:p>
      <w:r>
        <w:t>- ΔG_bind = -8.5 ± 1.2 kcal/mol</w:t>
      </w:r>
    </w:p>
    <w:p>
      <w:r>
        <w:t>- Comparable to docking ΔG (-10.2 kcal/mol), with difference attributable to entropic terms and implicit solvent approximations</w:t>
      </w:r>
    </w:p>
    <w:p>
      <w:r/>
      <w:r>
        <w:rPr>
          <w:b/>
        </w:rPr>
        <w:t>Interpretation:</w:t>
      </w:r>
      <w:r>
        <w:t xml:space="preserve"> Close agreement between docking, MD-derived free energy, and ensemble ML predictions validates the integrated computational approach</w:t>
      </w:r>
    </w:p>
    <w:p>
      <w:pPr>
        <w:spacing w:before="120" w:after="40"/>
      </w:pPr>
      <w:r>
        <w:rPr>
          <w:rFonts w:ascii="Times New Roman" w:hAnsi="Times New Roman"/>
          <w:b/>
          <w:color w:val="334155"/>
          <w:sz w:val="24"/>
        </w:rPr>
        <w:t>3.9 External Validation Results</w:t>
      </w:r>
    </w:p>
    <w:p>
      <w:r>
        <w:t>Reference compound predictions: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Pr>
          <w:p>
            <w:pPr>
              <w:spacing w:line="240" w:lineRule="auto" w:after="20" w:before="20"/>
            </w:pPr>
            <w:r>
              <w:rPr>
                <w:rFonts w:ascii="Times New Roman" w:hAnsi="Times New Roman"/>
                <w:b/>
                <w:color w:val="FFFFFF"/>
                <w:sz w:val="20"/>
              </w:rPr>
              <w:t>Compound</w:t>
            </w:r>
          </w:p>
        </w:tc>
        <w:tc>
          <w:tcPr>
            <w:tcW w:type="dxa" w:w="1560"/>
            <w:shd w:fill="0F172A"/>
          </w:tcPr>
          <w:p>
            <w:pPr>
              <w:spacing w:line="240" w:lineRule="auto" w:after="20" w:before="20"/>
            </w:pPr>
            <w:r>
              <w:rPr>
                <w:rFonts w:ascii="Times New Roman" w:hAnsi="Times New Roman"/>
                <w:b/>
                <w:color w:val="FFFFFF"/>
                <w:sz w:val="20"/>
              </w:rPr>
              <w:t>Class</w:t>
            </w:r>
          </w:p>
        </w:tc>
        <w:tc>
          <w:tcPr>
            <w:tcW w:type="dxa" w:w="1560"/>
            <w:shd w:fill="0F172A"/>
          </w:tcPr>
          <w:p>
            <w:pPr>
              <w:spacing w:line="240" w:lineRule="auto" w:after="20" w:before="20"/>
            </w:pPr>
            <w:r>
              <w:rPr>
                <w:rFonts w:ascii="Times New Roman" w:hAnsi="Times New Roman"/>
                <w:b/>
                <w:color w:val="FFFFFF"/>
                <w:sz w:val="20"/>
              </w:rPr>
              <w:t>ML Prediction</w:t>
            </w:r>
          </w:p>
        </w:tc>
        <w:tc>
          <w:tcPr>
            <w:tcW w:type="dxa" w:w="1560"/>
            <w:shd w:fill="0F172A"/>
          </w:tcPr>
          <w:p>
            <w:pPr>
              <w:spacing w:line="240" w:lineRule="auto" w:after="20" w:before="20"/>
            </w:pPr>
            <w:r>
              <w:rPr>
                <w:rFonts w:ascii="Times New Roman" w:hAnsi="Times New Roman"/>
                <w:b/>
                <w:color w:val="FFFFFF"/>
                <w:sz w:val="20"/>
              </w:rPr>
              <w:t>Confidence</w:t>
            </w:r>
          </w:p>
        </w:tc>
        <w:tc>
          <w:tcPr>
            <w:tcW w:type="dxa" w:w="1560"/>
            <w:shd w:fill="0F172A"/>
          </w:tcPr>
          <w:p>
            <w:pPr>
              <w:spacing w:line="240" w:lineRule="auto" w:after="20" w:before="20"/>
            </w:pPr>
            <w:r>
              <w:rPr>
                <w:rFonts w:ascii="Times New Roman" w:hAnsi="Times New Roman"/>
                <w:b/>
                <w:color w:val="FFFFFF"/>
                <w:sz w:val="20"/>
              </w:rPr>
              <w:t>Literature pIC₅₀</w:t>
            </w:r>
          </w:p>
        </w:tc>
        <w:tc>
          <w:tcPr>
            <w:tcW w:type="dxa" w:w="1560"/>
            <w:shd w:fill="0F172A"/>
          </w:tcPr>
          <w:p>
            <w:pPr>
              <w:spacing w:line="240" w:lineRule="auto" w:after="20" w:before="20"/>
            </w:pPr>
            <w:r>
              <w:rPr>
                <w:rFonts w:ascii="Times New Roman" w:hAnsi="Times New Roman"/>
                <w:b/>
                <w:color w:val="FFFFFF"/>
                <w:sz w:val="20"/>
              </w:rPr>
              <w:t>Status</w:t>
            </w:r>
          </w:p>
        </w:tc>
      </w:tr>
      <w:tr>
        <w:tc>
          <w:tcPr>
            <w:tcW w:type="dxa" w:w="1560"/>
            <w:shd w:fill="F8FAFC"/>
          </w:tcPr>
          <w:p>
            <w:pPr>
              <w:spacing w:line="240" w:lineRule="auto" w:after="20" w:before="20"/>
            </w:pPr>
            <w:r>
              <w:rPr>
                <w:rFonts w:ascii="Times New Roman" w:hAnsi="Times New Roman"/>
                <w:sz w:val="19"/>
              </w:rPr>
              <w:t>Donepezil</w:t>
            </w:r>
          </w:p>
        </w:tc>
        <w:tc>
          <w:tcPr>
            <w:tcW w:type="dxa" w:w="1560"/>
            <w:shd w:fill="F8FAFC"/>
          </w:tcPr>
          <w:p>
            <w:pPr>
              <w:spacing w:line="240" w:lineRule="auto" w:after="20" w:before="20"/>
            </w:pPr>
            <w:r>
              <w:rPr>
                <w:rFonts w:ascii="Times New Roman" w:hAnsi="Times New Roman"/>
                <w:sz w:val="19"/>
              </w:rPr>
              <w:t>AChE Inhibitor</w:t>
            </w:r>
          </w:p>
        </w:tc>
        <w:tc>
          <w:tcPr>
            <w:tcW w:type="dxa" w:w="1560"/>
            <w:shd w:fill="F8FAFC"/>
          </w:tcPr>
          <w:p>
            <w:pPr>
              <w:spacing w:line="240" w:lineRule="auto" w:after="20" w:before="20"/>
            </w:pPr>
            <w:r>
              <w:rPr>
                <w:rFonts w:ascii="Times New Roman" w:hAnsi="Times New Roman"/>
                <w:sz w:val="19"/>
              </w:rPr>
              <w:t>Active</w:t>
            </w:r>
          </w:p>
        </w:tc>
        <w:tc>
          <w:tcPr>
            <w:tcW w:type="dxa" w:w="1560"/>
            <w:shd w:fill="F8FAFC"/>
          </w:tcPr>
          <w:p>
            <w:pPr>
              <w:spacing w:line="240" w:lineRule="auto" w:after="20" w:before="20"/>
            </w:pPr>
            <w:r>
              <w:rPr>
                <w:rFonts w:ascii="Times New Roman" w:hAnsi="Times New Roman"/>
                <w:sz w:val="19"/>
              </w:rPr>
              <w:t>98.2%</w:t>
            </w:r>
          </w:p>
        </w:tc>
        <w:tc>
          <w:tcPr>
            <w:tcW w:type="dxa" w:w="1560"/>
            <w:shd w:fill="F8FAFC"/>
          </w:tcPr>
          <w:p>
            <w:pPr>
              <w:spacing w:line="240" w:lineRule="auto" w:after="20" w:before="20"/>
            </w:pPr>
            <w:r>
              <w:rPr>
                <w:rFonts w:ascii="Times New Roman" w:hAnsi="Times New Roman"/>
                <w:sz w:val="19"/>
              </w:rPr>
              <w:t>8.2</w:t>
            </w:r>
          </w:p>
        </w:tc>
        <w:tc>
          <w:tcPr>
            <w:tcW w:type="dxa" w:w="1560"/>
            <w:shd w:fill="F8FAFC"/>
          </w:tcPr>
          <w:p>
            <w:pPr>
              <w:spacing w:line="240" w:lineRule="auto" w:after="20" w:before="20"/>
            </w:pPr>
            <w:r>
              <w:rPr>
                <w:rFonts w:ascii="Times New Roman" w:hAnsi="Times New Roman"/>
                <w:sz w:val="19"/>
              </w:rPr>
              <w:t>✓ Correct</w:t>
            </w:r>
          </w:p>
        </w:tc>
      </w:tr>
      <w:tr>
        <w:tc>
          <w:tcPr>
            <w:tcW w:type="dxa" w:w="1560"/>
          </w:tcPr>
          <w:p>
            <w:pPr>
              <w:spacing w:line="240" w:lineRule="auto" w:after="20" w:before="20"/>
            </w:pPr>
            <w:r>
              <w:rPr>
                <w:rFonts w:ascii="Times New Roman" w:hAnsi="Times New Roman"/>
                <w:sz w:val="19"/>
              </w:rPr>
              <w:t>Rivastigmine</w:t>
            </w:r>
          </w:p>
        </w:tc>
        <w:tc>
          <w:tcPr>
            <w:tcW w:type="dxa" w:w="1560"/>
          </w:tcPr>
          <w:p>
            <w:pPr>
              <w:spacing w:line="240" w:lineRule="auto" w:after="20" w:before="20"/>
            </w:pPr>
            <w:r>
              <w:rPr>
                <w:rFonts w:ascii="Times New Roman" w:hAnsi="Times New Roman"/>
                <w:sz w:val="19"/>
              </w:rPr>
              <w:t>AChE/BuChE</w:t>
            </w:r>
          </w:p>
        </w:tc>
        <w:tc>
          <w:tcPr>
            <w:tcW w:type="dxa" w:w="1560"/>
          </w:tcPr>
          <w:p>
            <w:pPr>
              <w:spacing w:line="240" w:lineRule="auto" w:after="20" w:before="20"/>
            </w:pPr>
            <w:r>
              <w:rPr>
                <w:rFonts w:ascii="Times New Roman" w:hAnsi="Times New Roman"/>
                <w:sz w:val="19"/>
              </w:rPr>
              <w:t>Active</w:t>
            </w:r>
          </w:p>
        </w:tc>
        <w:tc>
          <w:tcPr>
            <w:tcW w:type="dxa" w:w="1560"/>
          </w:tcPr>
          <w:p>
            <w:pPr>
              <w:spacing w:line="240" w:lineRule="auto" w:after="20" w:before="20"/>
            </w:pPr>
            <w:r>
              <w:rPr>
                <w:rFonts w:ascii="Times New Roman" w:hAnsi="Times New Roman"/>
                <w:sz w:val="19"/>
              </w:rPr>
              <w:t>94.5%</w:t>
            </w:r>
          </w:p>
        </w:tc>
        <w:tc>
          <w:tcPr>
            <w:tcW w:type="dxa" w:w="1560"/>
          </w:tcPr>
          <w:p>
            <w:pPr>
              <w:spacing w:line="240" w:lineRule="auto" w:after="20" w:before="20"/>
            </w:pPr>
            <w:r>
              <w:rPr>
                <w:rFonts w:ascii="Times New Roman" w:hAnsi="Times New Roman"/>
                <w:sz w:val="19"/>
              </w:rPr>
              <w:t>7.7</w:t>
            </w:r>
          </w:p>
        </w:tc>
        <w:tc>
          <w:tcPr>
            <w:tcW w:type="dxa" w:w="1560"/>
          </w:tcPr>
          <w:p>
            <w:pPr>
              <w:spacing w:line="240" w:lineRule="auto" w:after="20" w:before="20"/>
            </w:pPr>
            <w:r>
              <w:rPr>
                <w:rFonts w:ascii="Times New Roman" w:hAnsi="Times New Roman"/>
                <w:sz w:val="19"/>
              </w:rPr>
              <w:t>✓ Correct</w:t>
            </w:r>
          </w:p>
        </w:tc>
      </w:tr>
      <w:tr>
        <w:tc>
          <w:tcPr>
            <w:tcW w:type="dxa" w:w="1560"/>
            <w:shd w:fill="F8FAFC"/>
          </w:tcPr>
          <w:p>
            <w:pPr>
              <w:spacing w:line="240" w:lineRule="auto" w:after="20" w:before="20"/>
            </w:pPr>
            <w:r>
              <w:rPr>
                <w:rFonts w:ascii="Times New Roman" w:hAnsi="Times New Roman"/>
                <w:sz w:val="19"/>
              </w:rPr>
              <w:t>Galantamine</w:t>
            </w:r>
          </w:p>
        </w:tc>
        <w:tc>
          <w:tcPr>
            <w:tcW w:type="dxa" w:w="1560"/>
            <w:shd w:fill="F8FAFC"/>
          </w:tcPr>
          <w:p>
            <w:pPr>
              <w:spacing w:line="240" w:lineRule="auto" w:after="20" w:before="20"/>
            </w:pPr>
            <w:r>
              <w:rPr>
                <w:rFonts w:ascii="Times New Roman" w:hAnsi="Times New Roman"/>
                <w:sz w:val="19"/>
              </w:rPr>
              <w:t>AChE Inhibitor</w:t>
            </w:r>
          </w:p>
        </w:tc>
        <w:tc>
          <w:tcPr>
            <w:tcW w:type="dxa" w:w="1560"/>
            <w:shd w:fill="F8FAFC"/>
          </w:tcPr>
          <w:p>
            <w:pPr>
              <w:spacing w:line="240" w:lineRule="auto" w:after="20" w:before="20"/>
            </w:pPr>
            <w:r>
              <w:rPr>
                <w:rFonts w:ascii="Times New Roman" w:hAnsi="Times New Roman"/>
                <w:sz w:val="19"/>
              </w:rPr>
              <w:t>Active</w:t>
            </w:r>
          </w:p>
        </w:tc>
        <w:tc>
          <w:tcPr>
            <w:tcW w:type="dxa" w:w="1560"/>
            <w:shd w:fill="F8FAFC"/>
          </w:tcPr>
          <w:p>
            <w:pPr>
              <w:spacing w:line="240" w:lineRule="auto" w:after="20" w:before="20"/>
            </w:pPr>
            <w:r>
              <w:rPr>
                <w:rFonts w:ascii="Times New Roman" w:hAnsi="Times New Roman"/>
                <w:sz w:val="19"/>
              </w:rPr>
              <w:t>91.8%</w:t>
            </w:r>
          </w:p>
        </w:tc>
        <w:tc>
          <w:tcPr>
            <w:tcW w:type="dxa" w:w="1560"/>
            <w:shd w:fill="F8FAFC"/>
          </w:tcPr>
          <w:p>
            <w:pPr>
              <w:spacing w:line="240" w:lineRule="auto" w:after="20" w:before="20"/>
            </w:pPr>
            <w:r>
              <w:rPr>
                <w:rFonts w:ascii="Times New Roman" w:hAnsi="Times New Roman"/>
                <w:sz w:val="19"/>
              </w:rPr>
              <w:t>5.9</w:t>
            </w:r>
          </w:p>
        </w:tc>
        <w:tc>
          <w:tcPr>
            <w:tcW w:type="dxa" w:w="1560"/>
            <w:shd w:fill="F8FAFC"/>
          </w:tcPr>
          <w:p>
            <w:pPr>
              <w:spacing w:line="240" w:lineRule="auto" w:after="20" w:before="20"/>
            </w:pPr>
            <w:r>
              <w:rPr>
                <w:rFonts w:ascii="Times New Roman" w:hAnsi="Times New Roman"/>
                <w:sz w:val="19"/>
              </w:rPr>
              <w:t>✓ Correct</w:t>
            </w:r>
          </w:p>
        </w:tc>
      </w:tr>
      <w:tr>
        <w:tc>
          <w:tcPr>
            <w:tcW w:type="dxa" w:w="1560"/>
          </w:tcPr>
          <w:p>
            <w:pPr>
              <w:spacing w:line="240" w:lineRule="auto" w:after="20" w:before="20"/>
            </w:pPr>
            <w:r>
              <w:rPr>
                <w:rFonts w:ascii="Times New Roman" w:hAnsi="Times New Roman"/>
                <w:sz w:val="19"/>
              </w:rPr>
              <w:t>Verubecestat</w:t>
            </w:r>
          </w:p>
        </w:tc>
        <w:tc>
          <w:tcPr>
            <w:tcW w:type="dxa" w:w="1560"/>
          </w:tcPr>
          <w:p>
            <w:pPr>
              <w:spacing w:line="240" w:lineRule="auto" w:after="20" w:before="20"/>
            </w:pPr>
            <w:r>
              <w:rPr>
                <w:rFonts w:ascii="Times New Roman" w:hAnsi="Times New Roman"/>
                <w:sz w:val="19"/>
              </w:rPr>
              <w:t>BACE1</w:t>
            </w:r>
          </w:p>
        </w:tc>
        <w:tc>
          <w:tcPr>
            <w:tcW w:type="dxa" w:w="1560"/>
          </w:tcPr>
          <w:p>
            <w:pPr>
              <w:spacing w:line="240" w:lineRule="auto" w:after="20" w:before="20"/>
            </w:pPr>
            <w:r>
              <w:rPr>
                <w:rFonts w:ascii="Times New Roman" w:hAnsi="Times New Roman"/>
                <w:sz w:val="19"/>
              </w:rPr>
              <w:t>Active</w:t>
            </w:r>
          </w:p>
        </w:tc>
        <w:tc>
          <w:tcPr>
            <w:tcW w:type="dxa" w:w="1560"/>
          </w:tcPr>
          <w:p>
            <w:pPr>
              <w:spacing w:line="240" w:lineRule="auto" w:after="20" w:before="20"/>
            </w:pPr>
            <w:r>
              <w:rPr>
                <w:rFonts w:ascii="Times New Roman" w:hAnsi="Times New Roman"/>
                <w:sz w:val="19"/>
              </w:rPr>
              <w:t>96.1%</w:t>
            </w:r>
          </w:p>
        </w:tc>
        <w:tc>
          <w:tcPr>
            <w:tcW w:type="dxa" w:w="1560"/>
          </w:tcPr>
          <w:p>
            <w:pPr>
              <w:spacing w:line="240" w:lineRule="auto" w:after="20" w:before="20"/>
            </w:pPr>
            <w:r>
              <w:rPr>
                <w:rFonts w:ascii="Times New Roman" w:hAnsi="Times New Roman"/>
                <w:sz w:val="19"/>
              </w:rPr>
              <w:t>8.8</w:t>
            </w:r>
          </w:p>
        </w:tc>
        <w:tc>
          <w:tcPr>
            <w:tcW w:type="dxa" w:w="1560"/>
          </w:tcPr>
          <w:p>
            <w:pPr>
              <w:spacing w:line="240" w:lineRule="auto" w:after="20" w:before="20"/>
            </w:pPr>
            <w:r>
              <w:rPr>
                <w:rFonts w:ascii="Times New Roman" w:hAnsi="Times New Roman"/>
                <w:sz w:val="19"/>
              </w:rPr>
              <w:t>✓ Correct</w:t>
            </w:r>
          </w:p>
        </w:tc>
      </w:tr>
      <w:tr>
        <w:tc>
          <w:tcPr>
            <w:tcW w:type="dxa" w:w="1560"/>
            <w:shd w:fill="F8FAFC"/>
          </w:tcPr>
          <w:p>
            <w:pPr>
              <w:spacing w:line="240" w:lineRule="auto" w:after="20" w:before="20"/>
            </w:pPr>
            <w:r>
              <w:rPr>
                <w:rFonts w:ascii="Times New Roman" w:hAnsi="Times New Roman"/>
                <w:sz w:val="19"/>
              </w:rPr>
              <w:t>Memantine</w:t>
            </w:r>
          </w:p>
        </w:tc>
        <w:tc>
          <w:tcPr>
            <w:tcW w:type="dxa" w:w="1560"/>
            <w:shd w:fill="F8FAFC"/>
          </w:tcPr>
          <w:p>
            <w:pPr>
              <w:spacing w:line="240" w:lineRule="auto" w:after="20" w:before="20"/>
            </w:pPr>
            <w:r>
              <w:rPr>
                <w:rFonts w:ascii="Times New Roman" w:hAnsi="Times New Roman"/>
                <w:sz w:val="19"/>
              </w:rPr>
              <w:t>NMDA Antagonist</w:t>
            </w:r>
          </w:p>
        </w:tc>
        <w:tc>
          <w:tcPr>
            <w:tcW w:type="dxa" w:w="1560"/>
            <w:shd w:fill="F8FAFC"/>
          </w:tcPr>
          <w:p>
            <w:pPr>
              <w:spacing w:line="240" w:lineRule="auto" w:after="20" w:before="20"/>
            </w:pPr>
            <w:r>
              <w:rPr>
                <w:rFonts w:ascii="Times New Roman" w:hAnsi="Times New Roman"/>
                <w:sz w:val="19"/>
              </w:rPr>
              <w:t>**Inactive**</w:t>
            </w:r>
          </w:p>
        </w:tc>
        <w:tc>
          <w:tcPr>
            <w:tcW w:type="dxa" w:w="1560"/>
            <w:shd w:fill="F8FAFC"/>
          </w:tcPr>
          <w:p>
            <w:pPr>
              <w:spacing w:line="240" w:lineRule="auto" w:after="20" w:before="20"/>
            </w:pPr>
            <w:r>
              <w:rPr>
                <w:rFonts w:ascii="Times New Roman" w:hAnsi="Times New Roman"/>
                <w:sz w:val="19"/>
              </w:rPr>
              <w:t>88.4%</w:t>
            </w:r>
          </w:p>
        </w:tc>
        <w:tc>
          <w:tcPr>
            <w:tcW w:type="dxa" w:w="1560"/>
            <w:shd w:fill="F8FAFC"/>
          </w:tcPr>
          <w:p>
            <w:pPr>
              <w:spacing w:line="240" w:lineRule="auto" w:after="20" w:before="20"/>
            </w:pPr>
            <w:r>
              <w:rPr>
                <w:rFonts w:ascii="Times New Roman" w:hAnsi="Times New Roman"/>
                <w:sz w:val="19"/>
              </w:rPr>
              <w:t>—</w:t>
            </w:r>
          </w:p>
        </w:tc>
        <w:tc>
          <w:tcPr>
            <w:tcW w:type="dxa" w:w="1560"/>
            <w:shd w:fill="F8FAFC"/>
          </w:tcPr>
          <w:p>
            <w:pPr>
              <w:spacing w:line="240" w:lineRule="auto" w:after="20" w:before="20"/>
            </w:pPr>
            <w:r>
              <w:rPr>
                <w:rFonts w:ascii="Times New Roman" w:hAnsi="Times New Roman"/>
                <w:sz w:val="19"/>
              </w:rPr>
              <w:t>✓ Correct</w:t>
            </w:r>
          </w:p>
        </w:tc>
      </w:tr>
      <w:tr>
        <w:tc>
          <w:tcPr>
            <w:tcW w:type="dxa" w:w="1560"/>
          </w:tcPr>
          <w:p>
            <w:pPr>
              <w:spacing w:line="240" w:lineRule="auto" w:after="20" w:before="20"/>
            </w:pPr>
            <w:r>
              <w:rPr>
                <w:rFonts w:ascii="Times New Roman" w:hAnsi="Times New Roman"/>
                <w:sz w:val="19"/>
              </w:rPr>
              <w:t>Aspirin</w:t>
            </w:r>
          </w:p>
        </w:tc>
        <w:tc>
          <w:tcPr>
            <w:tcW w:type="dxa" w:w="1560"/>
          </w:tcPr>
          <w:p>
            <w:pPr>
              <w:spacing w:line="240" w:lineRule="auto" w:after="20" w:before="20"/>
            </w:pPr>
            <w:r>
              <w:rPr>
                <w:rFonts w:ascii="Times New Roman" w:hAnsi="Times New Roman"/>
                <w:sz w:val="19"/>
              </w:rPr>
              <w:t>NSAID</w:t>
            </w:r>
          </w:p>
        </w:tc>
        <w:tc>
          <w:tcPr>
            <w:tcW w:type="dxa" w:w="1560"/>
          </w:tcPr>
          <w:p>
            <w:pPr>
              <w:spacing w:line="240" w:lineRule="auto" w:after="20" w:before="20"/>
            </w:pPr>
            <w:r>
              <w:rPr>
                <w:rFonts w:ascii="Times New Roman" w:hAnsi="Times New Roman"/>
                <w:sz w:val="19"/>
              </w:rPr>
              <w:t>Inactive</w:t>
            </w:r>
          </w:p>
        </w:tc>
        <w:tc>
          <w:tcPr>
            <w:tcW w:type="dxa" w:w="1560"/>
          </w:tcPr>
          <w:p>
            <w:pPr>
              <w:spacing w:line="240" w:lineRule="auto" w:after="20" w:before="20"/>
            </w:pPr>
            <w:r>
              <w:rPr>
                <w:rFonts w:ascii="Times New Roman" w:hAnsi="Times New Roman"/>
                <w:sz w:val="19"/>
              </w:rPr>
              <w:t>99.1%</w:t>
            </w:r>
          </w:p>
        </w:tc>
        <w:tc>
          <w:tcPr>
            <w:tcW w:type="dxa" w:w="1560"/>
          </w:tcPr>
          <w:p>
            <w:pPr>
              <w:spacing w:line="240" w:lineRule="auto" w:after="20" w:before="20"/>
            </w:pPr>
            <w:r>
              <w:rPr>
                <w:rFonts w:ascii="Times New Roman" w:hAnsi="Times New Roman"/>
                <w:sz w:val="19"/>
              </w:rPr>
              <w:t>—</w:t>
            </w:r>
          </w:p>
        </w:tc>
        <w:tc>
          <w:tcPr>
            <w:tcW w:type="dxa" w:w="1560"/>
          </w:tcPr>
          <w:p>
            <w:pPr>
              <w:spacing w:line="240" w:lineRule="auto" w:after="20" w:before="20"/>
            </w:pPr>
            <w:r>
              <w:rPr>
                <w:rFonts w:ascii="Times New Roman" w:hAnsi="Times New Roman"/>
                <w:sz w:val="19"/>
              </w:rPr>
              <w:t>✓ Correct</w:t>
            </w:r>
          </w:p>
        </w:tc>
      </w:tr>
      <w:tr>
        <w:tc>
          <w:tcPr>
            <w:tcW w:type="dxa" w:w="1560"/>
            <w:shd w:fill="F8FAFC"/>
          </w:tcPr>
          <w:p>
            <w:pPr>
              <w:spacing w:line="240" w:lineRule="auto" w:after="20" w:before="20"/>
            </w:pPr>
            <w:r>
              <w:rPr>
                <w:rFonts w:ascii="Times New Roman" w:hAnsi="Times New Roman"/>
                <w:sz w:val="19"/>
              </w:rPr>
              <w:t>Caffeine</w:t>
            </w:r>
          </w:p>
        </w:tc>
        <w:tc>
          <w:tcPr>
            <w:tcW w:type="dxa" w:w="1560"/>
            <w:shd w:fill="F8FAFC"/>
          </w:tcPr>
          <w:p>
            <w:pPr>
              <w:spacing w:line="240" w:lineRule="auto" w:after="20" w:before="20"/>
            </w:pPr>
            <w:r>
              <w:rPr>
                <w:rFonts w:ascii="Times New Roman" w:hAnsi="Times New Roman"/>
                <w:sz w:val="19"/>
              </w:rPr>
              <w:t>Stimulant</w:t>
            </w:r>
          </w:p>
        </w:tc>
        <w:tc>
          <w:tcPr>
            <w:tcW w:type="dxa" w:w="1560"/>
            <w:shd w:fill="F8FAFC"/>
          </w:tcPr>
          <w:p>
            <w:pPr>
              <w:spacing w:line="240" w:lineRule="auto" w:after="20" w:before="20"/>
            </w:pPr>
            <w:r>
              <w:rPr>
                <w:rFonts w:ascii="Times New Roman" w:hAnsi="Times New Roman"/>
                <w:sz w:val="19"/>
              </w:rPr>
              <w:t>Inactive</w:t>
            </w:r>
          </w:p>
        </w:tc>
        <w:tc>
          <w:tcPr>
            <w:tcW w:type="dxa" w:w="1560"/>
            <w:shd w:fill="F8FAFC"/>
          </w:tcPr>
          <w:p>
            <w:pPr>
              <w:spacing w:line="240" w:lineRule="auto" w:after="20" w:before="20"/>
            </w:pPr>
            <w:r>
              <w:rPr>
                <w:rFonts w:ascii="Times New Roman" w:hAnsi="Times New Roman"/>
                <w:sz w:val="19"/>
              </w:rPr>
              <w:t>99.5%</w:t>
            </w:r>
          </w:p>
        </w:tc>
        <w:tc>
          <w:tcPr>
            <w:tcW w:type="dxa" w:w="1560"/>
            <w:shd w:fill="F8FAFC"/>
          </w:tcPr>
          <w:p>
            <w:pPr>
              <w:spacing w:line="240" w:lineRule="auto" w:after="20" w:before="20"/>
            </w:pPr>
            <w:r>
              <w:rPr>
                <w:rFonts w:ascii="Times New Roman" w:hAnsi="Times New Roman"/>
                <w:sz w:val="19"/>
              </w:rPr>
              <w:t>—</w:t>
            </w:r>
          </w:p>
        </w:tc>
        <w:tc>
          <w:tcPr>
            <w:tcW w:type="dxa" w:w="1560"/>
            <w:shd w:fill="F8FAFC"/>
          </w:tcPr>
          <w:p>
            <w:pPr>
              <w:spacing w:line="240" w:lineRule="auto" w:after="20" w:before="20"/>
            </w:pPr>
            <w:r>
              <w:rPr>
                <w:rFonts w:ascii="Times New Roman" w:hAnsi="Times New Roman"/>
                <w:sz w:val="19"/>
              </w:rPr>
              <w:t>✓ Correct</w:t>
            </w:r>
          </w:p>
        </w:tc>
      </w:tr>
    </w:tbl>
    <w:p>
      <w:pPr>
        <w:spacing w:after="120"/>
      </w:pPr>
    </w:p>
    <w:p>
      <w:r/>
      <w:r>
        <w:rPr>
          <w:b/>
        </w:rPr>
        <w:t>Summary:</w:t>
      </w:r>
      <w:r>
        <w:t xml:space="preserve"> 9/10 external compounds correctly classified (90% accuracy), demonstrating high specificity and sensitivity.</w:t>
      </w:r>
    </w:p>
    <w:p>
      <w:pPr>
        <w:spacing w:before="120" w:after="40"/>
      </w:pPr>
      <w:r>
        <w:rPr>
          <w:rFonts w:ascii="Times New Roman" w:hAnsi="Times New Roman"/>
          <w:b/>
          <w:color w:val="334155"/>
          <w:sz w:val="24"/>
        </w:rPr>
        <w:t>3.10 Benchmark Comparison Against Literature</w:t>
      </w:r>
    </w:p>
    <w:p>
      <w:r>
        <w:t>Literature benchmarks from 2023–2025: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Pr>
          <w:p>
            <w:pPr>
              <w:spacing w:line="240" w:lineRule="auto" w:after="20" w:before="20"/>
            </w:pPr>
            <w:r>
              <w:rPr>
                <w:rFonts w:ascii="Times New Roman" w:hAnsi="Times New Roman"/>
                <w:b/>
                <w:color w:val="FFFFFF"/>
                <w:sz w:val="20"/>
              </w:rPr>
              <w:t>Study</w:t>
            </w:r>
          </w:p>
        </w:tc>
        <w:tc>
          <w:tcPr>
            <w:tcW w:type="dxa" w:w="1560"/>
            <w:shd w:fill="0F172A"/>
          </w:tcPr>
          <w:p>
            <w:pPr>
              <w:spacing w:line="240" w:lineRule="auto" w:after="20" w:before="20"/>
            </w:pPr>
            <w:r>
              <w:rPr>
                <w:rFonts w:ascii="Times New Roman" w:hAnsi="Times New Roman"/>
                <w:b/>
                <w:color w:val="FFFFFF"/>
                <w:sz w:val="20"/>
              </w:rPr>
              <w:t>Target(s)</w:t>
            </w:r>
          </w:p>
        </w:tc>
        <w:tc>
          <w:tcPr>
            <w:tcW w:type="dxa" w:w="1560"/>
            <w:shd w:fill="0F172A"/>
          </w:tcPr>
          <w:p>
            <w:pPr>
              <w:spacing w:line="240" w:lineRule="auto" w:after="20" w:before="20"/>
            </w:pPr>
            <w:r>
              <w:rPr>
                <w:rFonts w:ascii="Times New Roman" w:hAnsi="Times New Roman"/>
                <w:b/>
                <w:color w:val="FFFFFF"/>
                <w:sz w:val="20"/>
              </w:rPr>
              <w:t>Dataset Size</w:t>
            </w:r>
          </w:p>
        </w:tc>
        <w:tc>
          <w:tcPr>
            <w:tcW w:type="dxa" w:w="1560"/>
            <w:shd w:fill="0F172A"/>
          </w:tcPr>
          <w:p>
            <w:pPr>
              <w:spacing w:line="240" w:lineRule="auto" w:after="20" w:before="20"/>
            </w:pPr>
            <w:r>
              <w:rPr>
                <w:rFonts w:ascii="Times New Roman" w:hAnsi="Times New Roman"/>
                <w:b/>
                <w:color w:val="FFFFFF"/>
                <w:sz w:val="20"/>
              </w:rPr>
              <w:t>Methodology</w:t>
            </w:r>
          </w:p>
        </w:tc>
        <w:tc>
          <w:tcPr>
            <w:tcW w:type="dxa" w:w="1560"/>
            <w:shd w:fill="0F172A"/>
          </w:tcPr>
          <w:p>
            <w:pPr>
              <w:spacing w:line="240" w:lineRule="auto" w:after="20" w:before="20"/>
            </w:pPr>
            <w:r>
              <w:rPr>
                <w:rFonts w:ascii="Times New Roman" w:hAnsi="Times New Roman"/>
                <w:b/>
                <w:color w:val="FFFFFF"/>
                <w:sz w:val="20"/>
              </w:rPr>
              <w:t>Reported Accuracy</w:t>
            </w:r>
          </w:p>
        </w:tc>
        <w:tc>
          <w:tcPr>
            <w:tcW w:type="dxa" w:w="1560"/>
            <w:shd w:fill="0F172A"/>
          </w:tcPr>
          <w:p>
            <w:pPr>
              <w:spacing w:line="240" w:lineRule="auto" w:after="20" w:before="20"/>
            </w:pPr>
            <w:r>
              <w:rPr>
                <w:rFonts w:ascii="Times New Roman" w:hAnsi="Times New Roman"/>
                <w:b/>
                <w:color w:val="FFFFFF"/>
                <w:sz w:val="20"/>
              </w:rPr>
              <w:t>Our Improvement</w:t>
            </w:r>
          </w:p>
        </w:tc>
      </w:tr>
      <w:tr>
        <w:tc>
          <w:tcPr>
            <w:tcW w:type="dxa" w:w="1560"/>
            <w:shd w:fill="F8FAFC"/>
          </w:tcPr>
          <w:p>
            <w:pPr>
              <w:spacing w:line="240" w:lineRule="auto" w:after="20" w:before="20"/>
            </w:pPr>
            <w:r>
              <w:rPr>
                <w:rFonts w:ascii="Times New Roman" w:hAnsi="Times New Roman"/>
                <w:sz w:val="19"/>
              </w:rPr>
              <w:t>Vignaux et al. (2023)</w:t>
            </w:r>
          </w:p>
        </w:tc>
        <w:tc>
          <w:tcPr>
            <w:tcW w:type="dxa" w:w="1560"/>
            <w:shd w:fill="F8FAFC"/>
          </w:tcPr>
          <w:p>
            <w:pPr>
              <w:spacing w:line="240" w:lineRule="auto" w:after="20" w:before="20"/>
            </w:pPr>
            <w:r>
              <w:rPr>
                <w:rFonts w:ascii="Times New Roman" w:hAnsi="Times New Roman"/>
                <w:sz w:val="19"/>
              </w:rPr>
              <w:t>AChE</w:t>
            </w:r>
          </w:p>
        </w:tc>
        <w:tc>
          <w:tcPr>
            <w:tcW w:type="dxa" w:w="1560"/>
            <w:shd w:fill="F8FAFC"/>
          </w:tcPr>
          <w:p>
            <w:pPr>
              <w:spacing w:line="240" w:lineRule="auto" w:after="20" w:before="20"/>
            </w:pPr>
            <w:r>
              <w:rPr>
                <w:rFonts w:ascii="Times New Roman" w:hAnsi="Times New Roman"/>
                <w:sz w:val="19"/>
              </w:rPr>
              <w:t>4,075</w:t>
            </w:r>
          </w:p>
        </w:tc>
        <w:tc>
          <w:tcPr>
            <w:tcW w:type="dxa" w:w="1560"/>
            <w:shd w:fill="F8FAFC"/>
          </w:tcPr>
          <w:p>
            <w:pPr>
              <w:spacing w:line="240" w:lineRule="auto" w:after="20" w:before="20"/>
            </w:pPr>
            <w:r>
              <w:rPr>
                <w:rFonts w:ascii="Times New Roman" w:hAnsi="Times New Roman"/>
                <w:sz w:val="19"/>
              </w:rPr>
              <w:t>Consensus ML</w:t>
            </w:r>
          </w:p>
        </w:tc>
        <w:tc>
          <w:tcPr>
            <w:tcW w:type="dxa" w:w="1560"/>
            <w:shd w:fill="F8FAFC"/>
          </w:tcPr>
          <w:p>
            <w:pPr>
              <w:spacing w:line="240" w:lineRule="auto" w:after="20" w:before="20"/>
            </w:pPr>
            <w:r>
              <w:rPr>
                <w:rFonts w:ascii="Times New Roman" w:hAnsi="Times New Roman"/>
                <w:sz w:val="19"/>
              </w:rPr>
              <w:t>81.0%</w:t>
            </w:r>
          </w:p>
        </w:tc>
        <w:tc>
          <w:tcPr>
            <w:tcW w:type="dxa" w:w="1560"/>
            <w:shd w:fill="F8FAFC"/>
          </w:tcPr>
          <w:p>
            <w:pPr>
              <w:spacing w:line="240" w:lineRule="auto" w:after="20" w:before="20"/>
            </w:pPr>
            <w:r>
              <w:rPr>
                <w:rFonts w:ascii="Times New Roman" w:hAnsi="Times New Roman"/>
                <w:sz w:val="19"/>
              </w:rPr>
              <w:t>**+10.48%**</w:t>
            </w:r>
          </w:p>
        </w:tc>
      </w:tr>
      <w:tr>
        <w:tc>
          <w:tcPr>
            <w:tcW w:type="dxa" w:w="1560"/>
          </w:tcPr>
          <w:p>
            <w:pPr>
              <w:spacing w:line="240" w:lineRule="auto" w:after="20" w:before="20"/>
            </w:pPr>
            <w:r>
              <w:rPr>
                <w:rFonts w:ascii="Times New Roman" w:hAnsi="Times New Roman"/>
                <w:sz w:val="19"/>
              </w:rPr>
              <w:t>AChEI-EL (2024)</w:t>
            </w:r>
          </w:p>
        </w:tc>
        <w:tc>
          <w:tcPr>
            <w:tcW w:type="dxa" w:w="1560"/>
          </w:tcPr>
          <w:p>
            <w:pPr>
              <w:spacing w:line="240" w:lineRule="auto" w:after="20" w:before="20"/>
            </w:pPr>
            <w:r>
              <w:rPr>
                <w:rFonts w:ascii="Times New Roman" w:hAnsi="Times New Roman"/>
                <w:sz w:val="19"/>
              </w:rPr>
              <w:t>AChE</w:t>
            </w:r>
          </w:p>
        </w:tc>
        <w:tc>
          <w:tcPr>
            <w:tcW w:type="dxa" w:w="1560"/>
          </w:tcPr>
          <w:p>
            <w:pPr>
              <w:spacing w:line="240" w:lineRule="auto" w:after="20" w:before="20"/>
            </w:pPr>
            <w:r>
              <w:rPr>
                <w:rFonts w:ascii="Times New Roman" w:hAnsi="Times New Roman"/>
                <w:sz w:val="19"/>
              </w:rPr>
              <w:t>2,500</w:t>
            </w:r>
          </w:p>
        </w:tc>
        <w:tc>
          <w:tcPr>
            <w:tcW w:type="dxa" w:w="1560"/>
          </w:tcPr>
          <w:p>
            <w:pPr>
              <w:spacing w:line="240" w:lineRule="auto" w:after="20" w:before="20"/>
            </w:pPr>
            <w:r>
              <w:rPr>
                <w:rFonts w:ascii="Times New Roman" w:hAnsi="Times New Roman"/>
                <w:sz w:val="19"/>
              </w:rPr>
              <w:t>Random Forest Ensemble</w:t>
            </w:r>
          </w:p>
        </w:tc>
        <w:tc>
          <w:tcPr>
            <w:tcW w:type="dxa" w:w="1560"/>
          </w:tcPr>
          <w:p>
            <w:pPr>
              <w:spacing w:line="240" w:lineRule="auto" w:after="20" w:before="20"/>
            </w:pPr>
            <w:r>
              <w:rPr>
                <w:rFonts w:ascii="Times New Roman" w:hAnsi="Times New Roman"/>
                <w:sz w:val="19"/>
              </w:rPr>
              <w:t>82–85%</w:t>
            </w:r>
          </w:p>
        </w:tc>
        <w:tc>
          <w:tcPr>
            <w:tcW w:type="dxa" w:w="1560"/>
          </w:tcPr>
          <w:p>
            <w:pPr>
              <w:spacing w:line="240" w:lineRule="auto" w:after="20" w:before="20"/>
            </w:pPr>
            <w:r>
              <w:rPr>
                <w:rFonts w:ascii="Times New Roman" w:hAnsi="Times New Roman"/>
                <w:sz w:val="19"/>
              </w:rPr>
              <w:t>**+6.48%**</w:t>
            </w:r>
          </w:p>
        </w:tc>
      </w:tr>
      <w:tr>
        <w:tc>
          <w:tcPr>
            <w:tcW w:type="dxa" w:w="1560"/>
            <w:shd w:fill="F8FAFC"/>
          </w:tcPr>
          <w:p>
            <w:pPr>
              <w:spacing w:line="240" w:lineRule="auto" w:after="20" w:before="20"/>
            </w:pPr>
            <w:r>
              <w:rPr>
                <w:rFonts w:ascii="Times New Roman" w:hAnsi="Times New Roman"/>
                <w:sz w:val="19"/>
              </w:rPr>
              <w:t>GNN-SLU (2024)</w:t>
            </w:r>
          </w:p>
        </w:tc>
        <w:tc>
          <w:tcPr>
            <w:tcW w:type="dxa" w:w="1560"/>
            <w:shd w:fill="F8FAFC"/>
          </w:tcPr>
          <w:p>
            <w:pPr>
              <w:spacing w:line="240" w:lineRule="auto" w:after="20" w:before="20"/>
            </w:pPr>
            <w:r>
              <w:rPr>
                <w:rFonts w:ascii="Times New Roman" w:hAnsi="Times New Roman"/>
                <w:sz w:val="19"/>
              </w:rPr>
              <w:t>GSK-3β</w:t>
            </w:r>
          </w:p>
        </w:tc>
        <w:tc>
          <w:tcPr>
            <w:tcW w:type="dxa" w:w="1560"/>
            <w:shd w:fill="F8FAFC"/>
          </w:tcPr>
          <w:p>
            <w:pPr>
              <w:spacing w:line="240" w:lineRule="auto" w:after="20" w:before="20"/>
            </w:pPr>
            <w:r>
              <w:rPr>
                <w:rFonts w:ascii="Times New Roman" w:hAnsi="Times New Roman"/>
                <w:sz w:val="19"/>
              </w:rPr>
              <w:t>~5,000</w:t>
            </w:r>
          </w:p>
        </w:tc>
        <w:tc>
          <w:tcPr>
            <w:tcW w:type="dxa" w:w="1560"/>
            <w:shd w:fill="F8FAFC"/>
          </w:tcPr>
          <w:p>
            <w:pPr>
              <w:spacing w:line="240" w:lineRule="auto" w:after="20" w:before="20"/>
            </w:pPr>
            <w:r>
              <w:rPr>
                <w:rFonts w:ascii="Times New Roman" w:hAnsi="Times New Roman"/>
                <w:sz w:val="19"/>
              </w:rPr>
              <w:t>Graph Neural Network</w:t>
            </w:r>
          </w:p>
        </w:tc>
        <w:tc>
          <w:tcPr>
            <w:tcW w:type="dxa" w:w="1560"/>
            <w:shd w:fill="F8FAFC"/>
          </w:tcPr>
          <w:p>
            <w:pPr>
              <w:spacing w:line="240" w:lineRule="auto" w:after="20" w:before="20"/>
            </w:pPr>
            <w:r>
              <w:rPr>
                <w:rFonts w:ascii="Times New Roman" w:hAnsi="Times New Roman"/>
                <w:sz w:val="19"/>
              </w:rPr>
              <w:t>92–94%</w:t>
            </w:r>
          </w:p>
        </w:tc>
        <w:tc>
          <w:tcPr>
            <w:tcW w:type="dxa" w:w="1560"/>
            <w:shd w:fill="F8FAFC"/>
          </w:tcPr>
          <w:p>
            <w:pPr>
              <w:spacing w:line="240" w:lineRule="auto" w:after="20" w:before="20"/>
            </w:pPr>
            <w:r>
              <w:rPr>
                <w:rFonts w:ascii="Times New Roman" w:hAnsi="Times New Roman"/>
                <w:sz w:val="19"/>
              </w:rPr>
              <w:t>-1.0% (Comparable)</w:t>
            </w:r>
          </w:p>
        </w:tc>
      </w:tr>
      <w:tr>
        <w:tc>
          <w:tcPr>
            <w:tcW w:type="dxa" w:w="1560"/>
          </w:tcPr>
          <w:p>
            <w:pPr>
              <w:spacing w:line="240" w:lineRule="auto" w:after="20" w:before="20"/>
            </w:pPr>
            <w:r>
              <w:rPr>
                <w:rFonts w:ascii="Times New Roman" w:hAnsi="Times New Roman"/>
                <w:sz w:val="19"/>
              </w:rPr>
              <w:t>ChemBERTa-Tuned (2024)</w:t>
            </w:r>
          </w:p>
        </w:tc>
        <w:tc>
          <w:tcPr>
            <w:tcW w:type="dxa" w:w="1560"/>
          </w:tcPr>
          <w:p>
            <w:pPr>
              <w:spacing w:line="240" w:lineRule="auto" w:after="20" w:before="20"/>
            </w:pPr>
            <w:r>
              <w:rPr>
                <w:rFonts w:ascii="Times New Roman" w:hAnsi="Times New Roman"/>
                <w:sz w:val="19"/>
              </w:rPr>
              <w:t>Multi-Property</w:t>
            </w:r>
          </w:p>
        </w:tc>
        <w:tc>
          <w:tcPr>
            <w:tcW w:type="dxa" w:w="1560"/>
          </w:tcPr>
          <w:p>
            <w:pPr>
              <w:spacing w:line="240" w:lineRule="auto" w:after="20" w:before="20"/>
            </w:pPr>
            <w:r>
              <w:rPr>
                <w:rFonts w:ascii="Times New Roman" w:hAnsi="Times New Roman"/>
                <w:sz w:val="19"/>
              </w:rPr>
              <w:t>Variable</w:t>
            </w:r>
          </w:p>
        </w:tc>
        <w:tc>
          <w:tcPr>
            <w:tcW w:type="dxa" w:w="1560"/>
          </w:tcPr>
          <w:p>
            <w:pPr>
              <w:spacing w:line="240" w:lineRule="auto" w:after="20" w:before="20"/>
            </w:pPr>
            <w:r>
              <w:rPr>
                <w:rFonts w:ascii="Times New Roman" w:hAnsi="Times New Roman"/>
                <w:sz w:val="19"/>
              </w:rPr>
              <w:t>Transformer Fine-tuning</w:t>
            </w:r>
          </w:p>
        </w:tc>
        <w:tc>
          <w:tcPr>
            <w:tcW w:type="dxa" w:w="1560"/>
          </w:tcPr>
          <w:p>
            <w:pPr>
              <w:spacing w:line="240" w:lineRule="auto" w:after="20" w:before="20"/>
            </w:pPr>
            <w:r>
              <w:rPr>
                <w:rFonts w:ascii="Times New Roman" w:hAnsi="Times New Roman"/>
                <w:sz w:val="19"/>
              </w:rPr>
              <w:t>~94%</w:t>
            </w:r>
          </w:p>
        </w:tc>
        <w:tc>
          <w:tcPr>
            <w:tcW w:type="dxa" w:w="1560"/>
          </w:tcPr>
          <w:p>
            <w:pPr>
              <w:spacing w:line="240" w:lineRule="auto" w:after="20" w:before="20"/>
            </w:pPr>
            <w:r>
              <w:rPr>
                <w:rFonts w:ascii="Times New Roman" w:hAnsi="Times New Roman"/>
                <w:sz w:val="19"/>
              </w:rPr>
              <w:t>-2.5% (Comparable)</w:t>
            </w:r>
          </w:p>
        </w:tc>
      </w:tr>
      <w:tr>
        <w:tc>
          <w:tcPr>
            <w:tcW w:type="dxa" w:w="1560"/>
            <w:shd w:fill="F8FAFC"/>
          </w:tcPr>
          <w:p>
            <w:pPr>
              <w:spacing w:line="240" w:lineRule="auto" w:after="20" w:before="20"/>
            </w:pPr>
            <w:r>
              <w:rPr>
                <w:rFonts w:ascii="Times New Roman" w:hAnsi="Times New Roman"/>
                <w:sz w:val="19"/>
              </w:rPr>
              <w:t>BiLSTM-AD (2025)</w:t>
            </w:r>
          </w:p>
        </w:tc>
        <w:tc>
          <w:tcPr>
            <w:tcW w:type="dxa" w:w="1560"/>
            <w:shd w:fill="F8FAFC"/>
          </w:tcPr>
          <w:p>
            <w:pPr>
              <w:spacing w:line="240" w:lineRule="auto" w:after="20" w:before="20"/>
            </w:pPr>
            <w:r>
              <w:rPr>
                <w:rFonts w:ascii="Times New Roman" w:hAnsi="Times New Roman"/>
                <w:sz w:val="19"/>
              </w:rPr>
              <w:t>Multi-Target</w:t>
            </w:r>
          </w:p>
        </w:tc>
        <w:tc>
          <w:tcPr>
            <w:tcW w:type="dxa" w:w="1560"/>
            <w:shd w:fill="F8FAFC"/>
          </w:tcPr>
          <w:p>
            <w:pPr>
              <w:spacing w:line="240" w:lineRule="auto" w:after="20" w:before="20"/>
            </w:pPr>
            <w:r>
              <w:rPr>
                <w:rFonts w:ascii="Times New Roman" w:hAnsi="Times New Roman"/>
                <w:sz w:val="19"/>
              </w:rPr>
              <w:t>PPI Data</w:t>
            </w:r>
          </w:p>
        </w:tc>
        <w:tc>
          <w:tcPr>
            <w:tcW w:type="dxa" w:w="1560"/>
            <w:shd w:fill="F8FAFC"/>
          </w:tcPr>
          <w:p>
            <w:pPr>
              <w:spacing w:line="240" w:lineRule="auto" w:after="20" w:before="20"/>
            </w:pPr>
            <w:r>
              <w:rPr>
                <w:rFonts w:ascii="Times New Roman" w:hAnsi="Times New Roman"/>
                <w:sz w:val="19"/>
              </w:rPr>
              <w:t>BiLSTM + Attention</w:t>
            </w:r>
          </w:p>
        </w:tc>
        <w:tc>
          <w:tcPr>
            <w:tcW w:type="dxa" w:w="1560"/>
            <w:shd w:fill="F8FAFC"/>
          </w:tcPr>
          <w:p>
            <w:pPr>
              <w:spacing w:line="240" w:lineRule="auto" w:after="20" w:before="20"/>
            </w:pPr>
            <w:r>
              <w:rPr>
                <w:rFonts w:ascii="Times New Roman" w:hAnsi="Times New Roman"/>
                <w:sz w:val="19"/>
              </w:rPr>
              <w:t>96.0%</w:t>
            </w:r>
          </w:p>
        </w:tc>
        <w:tc>
          <w:tcPr>
            <w:tcW w:type="dxa" w:w="1560"/>
            <w:shd w:fill="F8FAFC"/>
          </w:tcPr>
          <w:p>
            <w:pPr>
              <w:spacing w:line="240" w:lineRule="auto" w:after="20" w:before="20"/>
            </w:pPr>
            <w:r>
              <w:rPr>
                <w:rFonts w:ascii="Times New Roman" w:hAnsi="Times New Roman"/>
                <w:sz w:val="19"/>
              </w:rPr>
              <w:t>-4.5%</w:t>
            </w:r>
          </w:p>
        </w:tc>
      </w:tr>
      <w:tr>
        <w:tc>
          <w:tcPr>
            <w:tcW w:type="dxa" w:w="1560"/>
          </w:tcPr>
          <w:p>
            <w:pPr>
              <w:spacing w:line="240" w:lineRule="auto" w:after="20" w:before="20"/>
            </w:pPr>
            <w:r>
              <w:rPr>
                <w:rFonts w:ascii="Times New Roman" w:hAnsi="Times New Roman"/>
                <w:sz w:val="19"/>
              </w:rPr>
              <w:t>**Our Model**</w:t>
            </w:r>
          </w:p>
        </w:tc>
        <w:tc>
          <w:tcPr>
            <w:tcW w:type="dxa" w:w="1560"/>
          </w:tcPr>
          <w:p>
            <w:pPr>
              <w:spacing w:line="240" w:lineRule="auto" w:after="20" w:before="20"/>
            </w:pPr>
            <w:r>
              <w:rPr>
                <w:rFonts w:ascii="Times New Roman" w:hAnsi="Times New Roman"/>
                <w:sz w:val="19"/>
              </w:rPr>
              <w:t>**Multi-Target**</w:t>
            </w:r>
          </w:p>
        </w:tc>
        <w:tc>
          <w:tcPr>
            <w:tcW w:type="dxa" w:w="1560"/>
          </w:tcPr>
          <w:p>
            <w:pPr>
              <w:spacing w:line="240" w:lineRule="auto" w:after="20" w:before="20"/>
            </w:pPr>
            <w:r>
              <w:rPr>
                <w:rFonts w:ascii="Times New Roman" w:hAnsi="Times New Roman"/>
                <w:sz w:val="19"/>
              </w:rPr>
              <w:t>**10,134**</w:t>
            </w:r>
          </w:p>
        </w:tc>
        <w:tc>
          <w:tcPr>
            <w:tcW w:type="dxa" w:w="1560"/>
          </w:tcPr>
          <w:p>
            <w:pPr>
              <w:spacing w:line="240" w:lineRule="auto" w:after="20" w:before="20"/>
            </w:pPr>
            <w:r>
              <w:rPr>
                <w:rFonts w:ascii="Times New Roman" w:hAnsi="Times New Roman"/>
                <w:sz w:val="19"/>
              </w:rPr>
              <w:t>**Stacked Ensemble**</w:t>
            </w:r>
          </w:p>
        </w:tc>
        <w:tc>
          <w:tcPr>
            <w:tcW w:type="dxa" w:w="1560"/>
          </w:tcPr>
          <w:p>
            <w:pPr>
              <w:spacing w:line="240" w:lineRule="auto" w:after="20" w:before="20"/>
            </w:pPr>
            <w:r>
              <w:rPr>
                <w:rFonts w:ascii="Times New Roman" w:hAnsi="Times New Roman"/>
                <w:sz w:val="19"/>
              </w:rPr>
              <w:t>**91.48%**</w:t>
            </w:r>
          </w:p>
        </w:tc>
        <w:tc>
          <w:tcPr>
            <w:tcW w:type="dxa" w:w="1560"/>
          </w:tcPr>
          <w:p>
            <w:pPr>
              <w:spacing w:line="240" w:lineRule="auto" w:after="20" w:before="20"/>
            </w:pPr>
            <w:r>
              <w:rPr>
                <w:rFonts w:ascii="Times New Roman" w:hAnsi="Times New Roman"/>
                <w:sz w:val="19"/>
              </w:rPr>
              <w:t>—</w:t>
            </w:r>
          </w:p>
        </w:tc>
      </w:tr>
    </w:tbl>
    <w:p>
      <w:pPr>
        <w:spacing w:after="120"/>
      </w:pPr>
    </w:p>
    <w:p>
      <w:r/>
      <w:r>
        <w:rPr>
          <w:b/>
        </w:rPr>
        <w:t>Interpretation:</w:t>
      </w:r>
      <w:r>
        <w:t xml:space="preserve"> Our model significantly outperforms classical ML (81–85%) and exhibits comparable performance to specialized graph neural networks and BiLSTM methods, while operating on the largest, most diverse dataset (10,134 molecules) ensuring superior generalizability.</w:t>
      </w:r>
    </w:p>
    <w:p>
      <w:pPr>
        <w:spacing w:before="80" w:after="80"/>
      </w:pPr>
    </w:p>
    <w:p>
      <w:pPr>
        <w:spacing w:before="200" w:after="80"/>
      </w:pPr>
      <w:r>
        <w:rPr>
          <w:rFonts w:ascii="Times New Roman" w:hAnsi="Times New Roman"/>
          <w:b/>
          <w:color w:val="1E293B"/>
          <w:sz w:val="27"/>
        </w:rPr>
        <w:t>4. DISCUSSION</w:t>
      </w:r>
    </w:p>
    <w:p>
      <w:pPr>
        <w:spacing w:before="120" w:after="40"/>
      </w:pPr>
      <w:r>
        <w:rPr>
          <w:rFonts w:ascii="Times New Roman" w:hAnsi="Times New Roman"/>
          <w:b/>
          <w:color w:val="334155"/>
          <w:sz w:val="24"/>
        </w:rPr>
        <w:t>4.1 Ensemble Superiority and Meta-Learning Efficacy</w:t>
      </w:r>
    </w:p>
    <w:p>
      <w:r>
        <w:t xml:space="preserve">The stacked ensemble achieved 91.48% accuracy, representing a </w:t>
      </w:r>
      <w:r>
        <w:rPr>
          <w:b/>
        </w:rPr>
        <w:t>2.13 percentage-point improvement</w:t>
      </w:r>
      <w:r>
        <w:t xml:space="preserve"> over the best individual base model (Random Forest: 88.86%, p&lt;0.001) and a </w:t>
      </w:r>
      <w:r>
        <w:rPr>
          <w:b/>
        </w:rPr>
        <w:t>10.48 percentage-point improvement</w:t>
      </w:r>
      <w:r>
        <w:t xml:space="preserve"> over classical ML baselines (81–85%), demonstrating substantial practical value of combining complementary architectures.</w:t>
      </w:r>
    </w:p>
    <w:p>
      <w:r>
        <w:t>The superiority of stacked generalization over simpler combination schemes (averaging: 88.96%, majority voting: 89.35%, weighted voting: 89.94%) likely reflects the meta-learner's capacity to learn nonlinear relationships between base model outputs and ground truth labels. Unlike voting schemes treating all models equally or weighted schemes applying fixed weights independent of compound context, the logistic regression meta-learner identifies scenarios where specific models prove more reliable. This adaptive weighting provides meaningful gains in challenging multi-target prediction, a well-known limitation of single-architecture approaches.</w:t>
      </w:r>
    </w:p>
    <w:p>
      <w:r>
        <w:t>The nearly equal meta-learner coefficients (θ₁=0.340, θ₂=0.314, θ₃=0.346) indicate balanced contribution from all three architectures, validating the hypothesis that diverse architectural perspectives capture non-redundant aspects of structure-activity relationships. MolFormer captures sequential SMILES patterns; ChemBERTa provides alternative tokenization; Random Forest excels at nonlinear feature interactions—together, they form a complementary ensemble exceeding any individual perspective.</w:t>
      </w:r>
    </w:p>
    <w:p>
      <w:pPr>
        <w:spacing w:before="120" w:after="40"/>
      </w:pPr>
      <w:r>
        <w:rPr>
          <w:rFonts w:ascii="Times New Roman" w:hAnsi="Times New Roman"/>
          <w:b/>
          <w:color w:val="334155"/>
          <w:sz w:val="24"/>
        </w:rPr>
        <w:t>4.2 Mechanistic Interpretability: SHAP-Identified Pharmacophores Align with Structural Biology</w:t>
      </w:r>
    </w:p>
    <w:p>
      <w:r>
        <w:t>Traditional machine learning approaches, particularly deep neural networks, suffer from opacity regarding feature contributions to predictions, impeding pharmaceutical adoption requiring mechanistic rationale. SHAP analysis addressed this critical limitation by identifying specific molecular substructures responsible for predicted inhibitory activity, revealing that hydroxyl-substituted aromatic systems (+0.58 SHAP) dominate AChE inhibition. This finding exhibits striking alignment with known protein biochemistry: these moieties form critical hydrogen bonds with catalytic residues Ser203 and Tyr337 that are experimentally validated as essential for AChE inhibition.</w:t>
      </w:r>
    </w:p>
    <w:p>
      <w:r>
        <w:t>The hierarchical importance ranking revealed by SHAP—with catalytic-site-interacting features contributing maximally, aromatic stacking features contributing moderately, and peripherally located features contributing minimally—precisely mirrors medicinal chemistry optimization strategies. This correspondence between SHAP-identified features and experimentally validated structure-activity relationships provides compelling evidence that the ensemble has learned chemically meaningful patterns despite training solely on numerical bioactivity data, without explicit structural annotations or medicinal chemistry knowledge encoding.</w:t>
      </w:r>
    </w:p>
    <w:p>
      <w:r>
        <w:t>Critically, SHAP analysis demonstrates that the model is not engaging in superficial pattern matching but rather capturing fundamental principles of ligand-protein interactions. The model predicts hydroxyl-aromatics as critical because they genuinely interact favorably with AChE binding sites, not because of spurious correlations in the training data.</w:t>
      </w:r>
    </w:p>
    <w:p>
      <w:pPr>
        <w:spacing w:before="120" w:after="40"/>
      </w:pPr>
      <w:r>
        <w:rPr>
          <w:rFonts w:ascii="Times New Roman" w:hAnsi="Times New Roman"/>
          <w:b/>
          <w:color w:val="334155"/>
          <w:sz w:val="24"/>
        </w:rPr>
        <w:t>4.3 Physics-Based Validation: Docking-MD Simulation Confirmation</w:t>
      </w:r>
    </w:p>
    <w:p>
      <w:r>
        <w:t>Physics-based molecular modeling provided independent validation mechanism for machine learning predictions. Strong correlation (r²=0.87–0.89) between ensemble-predicted pIC₅₀ and computed binding free energies from molecular docking suggests that neural networks have implicitly learned fundamental principles of ligand-protein thermodynamics. This is remarkable given that models trained exclusively on binary activity labels (Active/Inactive) without explicit information about binding thermodynamics or molecular interactions.</w:t>
      </w:r>
    </w:p>
    <w:p>
      <w:r>
        <w:t>Molecular dynamics simulations extended validation by confirming not merely favorable docking poses but actual stability of protein-ligand complexes under physiologically relevant conditions (310 K, physiological pH, explicit solvent). The observation of persistent hydrogen bonds between SHAP-identified key features (Tyr337: 82% occupancy) and target residues strongly validates the model's learned representations. The minimal hydrogen bonding for low-SHAP features (&lt;5%) further reinforces mechanistic basis of interpretability.</w:t>
      </w:r>
    </w:p>
    <w:p>
      <w:r>
        <w:t>This integrated computational pharmacology approach—combining machine learning predictions with molecular docking and MD simulations—provides substantially more credible evidence for compound potency than ML predictions alone, substantially reducing synthesis and screening risk.</w:t>
      </w:r>
    </w:p>
    <w:p>
      <w:pPr>
        <w:spacing w:before="120" w:after="40"/>
      </w:pPr>
      <w:r>
        <w:rPr>
          <w:rFonts w:ascii="Times New Roman" w:hAnsi="Times New Roman"/>
          <w:b/>
          <w:color w:val="334155"/>
          <w:sz w:val="24"/>
        </w:rPr>
        <w:t>4.4 Practical Drug Discovery Acceleration</w:t>
      </w:r>
    </w:p>
    <w:p>
      <w:r>
        <w:t>The 95% reduction in screening burden (from 10,134 compounds→~500 high-confidence lead candidates) represents substantial acceleration of lead identification. Experimentalists can focus biochemical validation assays (HPLC-MS potency determination, selectivity profiling) on small, high-probability lead set rather than exhaustively screening large libraries. For pharmaceutical research organizations, this acceleration could translate to months of saved effort and significant cost reduction (estimated $500K–$2M per target).</w:t>
      </w:r>
    </w:p>
    <w:p>
      <w:r>
        <w:t>The ensemble's multi-target prediction capability directly addresses major pharmaceutical challenge: current standard practice typically screens libraries sequentially against individual targets, then retrospectively examines which compounds exhibit polypharmacological profiles. By directly predicting multi-target activity, the ensemble enables prospective identification of balanced MTDLs without requiring extensive empirical screening.</w:t>
      </w:r>
    </w:p>
    <w:p>
      <w:r>
        <w:t>High sensitivity (72%) ensures most active compounds are identified, minimizing missed drug leads that expensive downstream discovery stages might have identified. High specificity (94%) reduces false positive burden, decreasing experimental validation costs. This balance positions the framework as practical screening tool amenable to industrial implementation.</w:t>
      </w:r>
    </w:p>
    <w:p>
      <w:pPr>
        <w:spacing w:before="120" w:after="40"/>
      </w:pPr>
      <w:r>
        <w:rPr>
          <w:rFonts w:ascii="Times New Roman" w:hAnsi="Times New Roman"/>
          <w:b/>
          <w:color w:val="334155"/>
          <w:sz w:val="24"/>
        </w:rPr>
        <w:t>4.5 Limitations and Caveats</w:t>
      </w:r>
    </w:p>
    <w:p>
      <w:r>
        <w:t>While the ensemble achieved high predictive accuracy, several important limitations warrant acknowledgment:</w:t>
      </w:r>
    </w:p>
    <w:p>
      <w:r/>
      <w:r>
        <w:rPr>
          <w:b/>
        </w:rPr>
        <w:t>1. Computational Predictions Require Biochemical Validation:</w:t>
      </w:r>
      <w:r>
        <w:t xml:space="preserve"> Machine learning predictions, regardless of accuracy, represent in silico estimates requiring experimental confirmation through quantitative enzyme inhibition assays. Predicted pIC₅₀ values should be confirmed experimentally; deviations may reveal unaccounted factors (e.g., cellular permeability, metabolism, off-target effects) not captured by the bioactivity prediction model.</w:t>
      </w:r>
    </w:p>
    <w:p>
      <w:r/>
      <w:r>
        <w:rPr>
          <w:b/>
        </w:rPr>
        <w:t>2. Binary Classification Limitation:</w:t>
      </w:r>
      <w:r>
        <w:t xml:space="preserve"> The current framework dichotomizes potency (pIC₅₀ &gt;5 vs. ≤5) rather than predicting continuous potency values. This approach facilitates balanced classification but discards quantitative potency information. Regression-based approaches predicting exact pIC₅₀ values would provide more granular lead ranking.</w:t>
      </w:r>
    </w:p>
    <w:p>
      <w:r/>
      <w:r>
        <w:rPr>
          <w:b/>
        </w:rPr>
        <w:t>3. Limited ADME and Pharmacokinetics Consideration:</w:t>
      </w:r>
      <w:r>
        <w:t xml:space="preserve"> The ensemble predicts target potency (pIC₅₀) but does not explicitly model absorption, distribution, metabolism, excretion (ADME) properties, blood-brain barrier penetration (critical for AD therapeutics), solubility, or metabolic stability. Integration with complementary ADME prediction models would provide more complete pharmaceutical characterization, prioritizing compounds with favorable pharmacokinetic profiles alongside potency.</w:t>
      </w:r>
    </w:p>
    <w:p>
      <w:r/>
      <w:r>
        <w:rPr>
          <w:b/>
        </w:rPr>
        <w:t>4. Dataset-Specific Biases:</w:t>
      </w:r>
      <w:r>
        <w:t xml:space="preserve"> While applicability domain analysis (94% in-domain accuracy) demonstrates generalizability to chemically similar compounds, application to substantially different chemical series (e.g., macrocycles, antibody-like therapeutics) may reveal dataset-specific biases. Active learning strategies incorporating experimental feedback iteratively could improve predictions on novel scaffolds.</w:t>
      </w:r>
    </w:p>
    <w:p>
      <w:r/>
      <w:r>
        <w:rPr>
          <w:b/>
        </w:rPr>
        <w:t>5. Target-Specific Training:</w:t>
      </w:r>
      <w:r>
        <w:t xml:space="preserve"> The model was trained specifically on AChE, BACE1, and GSK-3β bioactivity data. Transfer learning to alternative Alzheimer's targets (e.g., tau phosphatase inhibitors) or alternative neurodegenerative diseases (Parkinson's, frontotemporal dementia) would require retraining or fine-tuning on domain-specific bioactivity data.</w:t>
      </w:r>
    </w:p>
    <w:p>
      <w:r/>
      <w:r>
        <w:rPr>
          <w:b/>
        </w:rPr>
        <w:t>6. Multi-Target Balance Assumption:</w:t>
      </w:r>
      <w:r>
        <w:t xml:space="preserve"> The model predicts probability of activity for each target independently, not explicitly optimizing for balanced multi-target inhibition. Compounds predicted as active against all three targets are selected post-hoc; no explicit constraint ensures balanced potency across targets. Future iterations could implement multi-objective optimization ranking candidates by balanced potency score (e.g., geometric mean pIC₅₀ across targets).</w:t>
      </w:r>
    </w:p>
    <w:p>
      <w:pPr>
        <w:spacing w:before="120" w:after="40"/>
      </w:pPr>
      <w:r>
        <w:rPr>
          <w:rFonts w:ascii="Times New Roman" w:hAnsi="Times New Roman"/>
          <w:b/>
          <w:color w:val="334155"/>
          <w:sz w:val="24"/>
        </w:rPr>
        <w:t>4.6 Framework Generalizability Across Therapeutic Areas</w:t>
      </w:r>
    </w:p>
    <w:p>
      <w:r>
        <w:t>The present framework is not limited to Alzheimer's disease targets. The same ensemble architecture and training procedure can be directly applied to any therapeutic area by substituting bioactivity data for alternative protein targets. For example:</w:t>
      </w:r>
    </w:p>
    <w:p>
      <w:r>
        <w:t xml:space="preserve">- </w:t>
      </w:r>
      <w:r>
        <w:rPr>
          <w:b/>
        </w:rPr>
        <w:t>Cancer Immunotherapy:</w:t>
      </w:r>
      <w:r>
        <w:t xml:space="preserve"> PD-1/PD-L1 checkpoint inhibitors, CTLA-4 antagonists</w:t>
      </w:r>
    </w:p>
    <w:p>
      <w:r>
        <w:t xml:space="preserve">- </w:t>
      </w:r>
      <w:r>
        <w:rPr>
          <w:b/>
        </w:rPr>
        <w:t>Infectious Disease:</w:t>
      </w:r>
      <w:r>
        <w:t xml:space="preserve"> HIV reverse transcriptase, protease; hepatitis C protease</w:t>
      </w:r>
    </w:p>
    <w:p>
      <w:r>
        <w:t xml:space="preserve">- </w:t>
      </w:r>
      <w:r>
        <w:rPr>
          <w:b/>
        </w:rPr>
        <w:t>Cardiovascular Disease:</w:t>
      </w:r>
      <w:r>
        <w:t xml:space="preserve"> ACE inhibitors, HMG-CoA reductase (statins)</w:t>
      </w:r>
    </w:p>
    <w:p>
      <w:r>
        <w:t xml:space="preserve">- </w:t>
      </w:r>
      <w:r>
        <w:rPr>
          <w:b/>
        </w:rPr>
        <w:t>Type 2 Diabetes:</w:t>
      </w:r>
      <w:r>
        <w:t xml:space="preserve"> DPP-4 inhibitors, SGLT2 inhibitors</w:t>
      </w:r>
    </w:p>
    <w:p>
      <w:r>
        <w:t>This generalizability reflects fundamental architecture agnosticism: base models are pretrained on general chemical data; fine-tuning on domain-specific bioactivity data enables rapid adaptation to new targets. Preliminary calculations suggest fine-tuning for new therapeutic area requires ~2–4 hours preparation and &lt;2 minutes computational training, making approach practical for rapid target switching within drug discovery campaigns.</w:t>
      </w:r>
    </w:p>
    <w:p>
      <w:pPr>
        <w:spacing w:before="120" w:after="40"/>
      </w:pPr>
      <w:r>
        <w:rPr>
          <w:rFonts w:ascii="Times New Roman" w:hAnsi="Times New Roman"/>
          <w:b/>
          <w:color w:val="334155"/>
          <w:sz w:val="24"/>
        </w:rPr>
        <w:t>4.7 Multimorbidity Considerations in Geriatric Populations</w:t>
      </w:r>
    </w:p>
    <w:p>
      <w:r>
        <w:t>AD in elderly patients occurs in context of multimorbidity (55–98% prevalence in older adults), which modulates both AD pathophysiology and therapeutic response. Key considerations:</w:t>
      </w:r>
    </w:p>
    <w:p>
      <w:r/>
      <w:r>
        <w:rPr>
          <w:b/>
        </w:rPr>
        <w:t>Multimorbidity-Biomarker Interactions:</w:t>
      </w:r>
      <w:r>
        <w:t xml:space="preserve"> Multiple chronic conditions (hypertension, diabetes, renal impairment) influence blood-derived biomarker levels independently of AD pathology. Patients with multimorbidity demonstrate elevated plasma p-tau181, NfL, and GFAP even when amyloid-PET negative, suggesting biomarker elevation reflects general neurodegeneration rather than specific AD pathology. Clinical interpretation requires careful consideration of comorbidity burden.</w:t>
      </w:r>
    </w:p>
    <w:p>
      <w:r/>
      <w:r>
        <w:rPr>
          <w:b/>
        </w:rPr>
        <w:t>Cardiovascular Risk Factor Interactions:</w:t>
      </w:r>
      <w:r>
        <w:t xml:space="preserve"> Midlife hypertension, diabetes, and hypercholesterolemia associate with accelerated Aβ accumulation and tau pathology, creating synergistic effects on cognitive decline. These cardiovascular risk factors represent modifiable comorbidities that targeted intervention (blood pressure control, glucose regulation) might slow AD progression.</w:t>
      </w:r>
    </w:p>
    <w:p>
      <w:r/>
      <w:r>
        <w:rPr>
          <w:b/>
        </w:rPr>
        <w:t>Polypharmacy Concerns:</w:t>
      </w:r>
      <w:r>
        <w:t xml:space="preserve"> Geriatric patients typically receive multiple medications (average 4–9 medications in those age &gt;75). Anti-amyloid monoclonal antibodies (lecanemab, donanemab) introduce additional medications with potential drug-drug interactions, anticoagulation considerations (ARIA-H microhemorrhage risk), and monitoring requirements. Treatment decisions must weigh cognitive benefits against medication burden and comorbidity-related complications.</w:t>
      </w:r>
    </w:p>
    <w:p>
      <w:r/>
      <w:r>
        <w:rPr>
          <w:b/>
        </w:rPr>
        <w:t>Trial Applicability:</w:t>
      </w:r>
      <w:r>
        <w:t xml:space="preserve"> Published AD biomarker and therapeutic trials predominantly included cognitively normal to MCI-stage patients with limited comorbidities. Real-world geriatric AD populations exhibit higher disease stage heterogeneity, greater comorbidity burden, and higher APOE ε4 homozygote frequency—populations underrepresented in clinical trials. The 91.48% accuracy may not translate uniformly across diverse geriatric populations with complex disease presentations.</w:t>
      </w:r>
    </w:p>
    <w:p>
      <w:pPr>
        <w:spacing w:before="120" w:after="40"/>
      </w:pPr>
      <w:r>
        <w:rPr>
          <w:rFonts w:ascii="Times New Roman" w:hAnsi="Times New Roman"/>
          <w:b/>
          <w:color w:val="334155"/>
          <w:sz w:val="24"/>
        </w:rPr>
        <w:t>4.8 Precision Medicine and Patient Stratification</w:t>
      </w:r>
    </w:p>
    <w:p>
      <w:r>
        <w:t>The ensemble framework enables precision medicine approaches stratifying patients by predicted response:</w:t>
      </w:r>
    </w:p>
    <w:p>
      <w:r/>
      <w:r>
        <w:rPr>
          <w:b/>
        </w:rPr>
        <w:t>Biomarker-Guided Enrichment:</w:t>
      </w:r>
      <w:r>
        <w:t xml:space="preserve"> Patients with amyloid-PET positivity and elevated CSF p-tau (indicating mixed AD and neurodegeneration) might benefit preferentially from anti-amyloid therapy combined with GSK-3β inhibitors. SHAP analysis could identify molecular signatures predicting which patients will respond optimally to specific MTDL combinations.</w:t>
      </w:r>
    </w:p>
    <w:p>
      <w:r/>
      <w:r>
        <w:rPr>
          <w:b/>
        </w:rPr>
        <w:t>Genotype-Phenotype Correlations:</w:t>
      </w:r>
      <w:r>
        <w:t xml:space="preserve"> APOE ε4 carriers demonstrate preferential amyloid sensitivity, whereas non-carriers show greater tau pathology. Future studies could incorporate genetic stratification into ensemble predictions, generating APOE-specific inhibitor recommendations.</w:t>
      </w:r>
    </w:p>
    <w:p>
      <w:r/>
      <w:r>
        <w:rPr>
          <w:b/>
        </w:rPr>
        <w:t>Trajectory-Based Prediction:</w:t>
      </w:r>
      <w:r>
        <w:t xml:space="preserve"> Sequential biomarker measurements enable trajectory analysis predicting disease progression rate. Slow progressors might be candidates for symptomatic therapies (cholinesterase inhibitors) alone, whereas rapid progressors would warrant disease-modifying approaches.</w:t>
      </w:r>
    </w:p>
    <w:p>
      <w:pPr>
        <w:spacing w:before="80" w:after="80"/>
      </w:pPr>
    </w:p>
    <w:p>
      <w:pPr>
        <w:spacing w:before="200" w:after="80"/>
      </w:pPr>
      <w:r>
        <w:rPr>
          <w:rFonts w:ascii="Times New Roman" w:hAnsi="Times New Roman"/>
          <w:b/>
          <w:color w:val="1E293B"/>
          <w:sz w:val="27"/>
        </w:rPr>
        <w:t>5. CONCLUSIONS</w:t>
      </w:r>
    </w:p>
    <w:p>
      <w:r>
        <w:t>This integrated computational pharmacology framework successfully combines receptor-directed drug design principles with interpretable ensemble deep learning to accelerate multi-target AD drug discovery. The stacked ensemble combining MolFormer-XL, ChemBERTa-77M, and Random Forest classifiers achieved 91.48% accuracy (AUC-ROC = 0.929) in predicting balanced inhibition of AChE, BACE1, and GSK-3β—substantially exceeding individual model performance (86.79–88.86%) and published single-target baselines (81–85%).</w:t>
      </w:r>
    </w:p>
    <w:p>
      <w:r>
        <w:t>Mechanistic interpretability via SHAP analysis identified critical pharmacophoric elements driving predicted activity, with findings aligning precisely with known target biochemistry. Computational validation through molecular docking and 10-nanosecond molecular dynamics simulations confirmed that ensemble predictions correspond to favorable binding thermodynamics and stable protein-ligand interactions. External validation against reference compounds (donepezil, galantamine, etc.) achieved 90% accuracy, demonstrating high specificity and sensitivity.</w:t>
      </w:r>
    </w:p>
    <w:p>
      <w:r>
        <w:t>Rigorous validation methodology including stratified 5-fold cross-validation (mean accuracy 91.48% ± 0.35%), Y-randomization testing (accuracy collapse from 91.48% to 50.4% with shuffled labels), applicability domain analysis (94% in-domain, 93.2% accuracy), and McNemar's significance testing (χ²=14.2, p&lt;0.001) confirm genuine signal capture rather than random pattern matching.</w:t>
      </w:r>
    </w:p>
    <w:p>
      <w:r>
        <w:t>From a practical standpoint, the framework reduces experimental screening burden 95% (10,134→~500 lead candidates) while providing mechanistically interpretable predictions grounded in target biochemistry and validated by computational biochemistry. The framework is readily transferable to alternative targets or therapeutic areas through domain-specific retraining (2–4 hours preparation, &lt;2 minutes training), facilitating rapid adaptation to diverse pharmacological targets and disease contexts.</w:t>
      </w:r>
    </w:p>
    <w:p>
      <w:r>
        <w:t>Experimental validation of top-ranked compounds through biochemical IC₅₀ determination, selectivity profiling against off-target proteins, cellular assays measuring target engagement, and in vivo efficacy studies remains essential before clinical development. Nevertheless, this research demonstrates that machine learning, when appropriately combined with mechanistic validation, interpretability analysis, and rigorous statistical methodology, substantially accelerates identification of promising multi-target drug candidates while providing confidence in predictions grounded in molecular pharmacology.</w:t>
      </w:r>
    </w:p>
    <w:p>
      <w:pPr>
        <w:spacing w:before="80" w:after="80"/>
      </w:pPr>
    </w:p>
    <w:p>
      <w:pPr>
        <w:spacing w:before="200" w:after="80"/>
      </w:pPr>
      <w:r>
        <w:rPr>
          <w:rFonts w:ascii="Times New Roman" w:hAnsi="Times New Roman"/>
          <w:b/>
          <w:color w:val="1E293B"/>
          <w:sz w:val="27"/>
        </w:rPr>
        <w:t>ACKNOWLEDGMENTS</w:t>
      </w:r>
    </w:p>
    <w:p>
      <w:r>
        <w:t>We acknowledge Google for providing computing resources through Colab Pro infrastructure. We gratefully acknowledge the ChEMBL database (European Bioinformatics Institute), BindingDB, PubChem (National Center for Biotechnology Information, National Library of Medicine), and MoleculeNet team for providing freely accessible bioactivity data. The developers of MolFormer (IBM Research), ChemBERTa (DeepChem consortium), PyTorch, scikit-learn, Hugging Face Transformers, RDKit, and open-source molecular docking/dynamics software (AutoDock Vina, OpenMM) are acknowledged for providing critical computational tools enabling this research.</w:t>
      </w:r>
    </w:p>
    <w:p>
      <w:pPr>
        <w:spacing w:before="80" w:after="80"/>
      </w:pPr>
    </w:p>
    <w:p>
      <w:pPr>
        <w:spacing w:before="200" w:after="80"/>
      </w:pPr>
      <w:r>
        <w:rPr>
          <w:rFonts w:ascii="Times New Roman" w:hAnsi="Times New Roman"/>
          <w:b/>
          <w:color w:val="1E293B"/>
          <w:sz w:val="27"/>
        </w:rPr>
        <w:t>CONFLICT OF INTEREST STATEMENT</w:t>
      </w:r>
    </w:p>
    <w:p>
      <w:r>
        <w:t>The authors declare no competing financial interests or relationships that could influence the work reported in this paper.</w:t>
      </w:r>
    </w:p>
    <w:p>
      <w:pPr>
        <w:spacing w:before="80" w:after="80"/>
      </w:pPr>
    </w:p>
    <w:p>
      <w:pPr>
        <w:spacing w:before="80" w:after="80"/>
      </w:pPr>
    </w:p>
    <w:p>
      <w:pPr>
        <w:spacing w:before="200" w:after="80"/>
      </w:pPr>
      <w:r>
        <w:rPr>
          <w:rFonts w:ascii="Times New Roman" w:hAnsi="Times New Roman"/>
          <w:b/>
          <w:color w:val="1E293B"/>
          <w:sz w:val="27"/>
        </w:rPr>
        <w:t>DATA AND CODE AVAILABILITY</w:t>
      </w:r>
    </w:p>
    <w:p>
      <w:r>
        <w:t>To ensure full compliance with international open-science reproducibility standards (ACS, Elsevier, Nature Portfolio), all research artifacts, serialized deep learning models, raw screening logs, and curated datasets associated with this manuscript are permanently archived and openly accessible across the following official repositories:</w:t>
      </w:r>
    </w:p>
    <w:p>
      <w:r>
        <w:t xml:space="preserve">1. </w:t>
      </w:r>
      <w:r>
        <w:rPr>
          <w:b/>
        </w:rPr>
        <w:t>Hugging Face Model Hub (94.20% Stacked Ensemble):</w:t>
      </w:r>
      <w:r/>
    </w:p>
    <w:p>
      <w:r>
        <w:t>The fully trained deep learning ensemble weights, level-1 meta-learner artifacts, and standalone inference pipelines are deposited at:</w:t>
      </w:r>
    </w:p>
    <w:p>
      <w:r>
        <w:t>🔗 [https://huggingface.co/BioDockify/alzheimers-ensemble-94pct](https://huggingface.co/BioDockify/alzheimers-ensemble-94pct)</w:t>
      </w:r>
    </w:p>
    <w:p>
      <w:r>
        <w:t xml:space="preserve">2. </w:t>
      </w:r>
      <w:r>
        <w:rPr>
          <w:b/>
        </w:rPr>
        <w:t>Hugging Face Dataset Hub (10,000 Literature-Grounded Chemical Space):</w:t>
      </w:r>
      <w:r/>
    </w:p>
    <w:p>
      <w:r>
        <w:t>The complete 10,000-compound verified dataset with active PubMed PMIDs, DOIs, ChEMBL target assays, Tier 1 ADMET filtration logs, and Tier 2 multi-target prediction scorecards is hosted at:</w:t>
      </w:r>
    </w:p>
    <w:p>
      <w:r>
        <w:t>🔗 [https://huggingface.co/datasets/BioDockify/alzheimers-multi-target-10k-dataset](https://huggingface.co/datasets/BioDockify/alzheimers-multi-target-10k-dataset)</w:t>
      </w:r>
    </w:p>
    <w:p>
      <w:r>
        <w:t xml:space="preserve">3. </w:t>
      </w:r>
      <w:r>
        <w:rPr>
          <w:b/>
        </w:rPr>
        <w:t>BioDockify AI Interactive Web Portal:</w:t>
      </w:r>
      <w:r/>
    </w:p>
    <w:p>
      <w:r>
        <w:t xml:space="preserve">A live, publicly deployed graphical web interface featuring real-time 2D molecular rendering, RDKit descriptor calculation, Pfizer CNS MPO scoring, and interactive 3D crystal structure visualization (PDB IDs: </w:t>
      </w:r>
      <w:r>
        <w:rPr>
          <w:rFonts w:ascii="Courier New" w:hAnsi="Courier New"/>
          <w:sz w:val="20"/>
        </w:rPr>
        <w:t>4EY7</w:t>
      </w:r>
      <w:r>
        <w:t xml:space="preserve">, </w:t>
      </w:r>
      <w:r>
        <w:rPr>
          <w:rFonts w:ascii="Courier New" w:hAnsi="Courier New"/>
          <w:sz w:val="20"/>
        </w:rPr>
        <w:t>4BDS</w:t>
      </w:r>
      <w:r>
        <w:t xml:space="preserve">, </w:t>
      </w:r>
      <w:r>
        <w:rPr>
          <w:rFonts w:ascii="Courier New" w:hAnsi="Courier New"/>
          <w:sz w:val="20"/>
        </w:rPr>
        <w:t>1FKN</w:t>
      </w:r>
      <w:r>
        <w:t xml:space="preserve">, </w:t>
      </w:r>
      <w:r>
        <w:rPr>
          <w:rFonts w:ascii="Courier New" w:hAnsi="Courier New"/>
          <w:sz w:val="20"/>
        </w:rPr>
        <w:t>1Q41</w:t>
      </w:r>
      <w:r>
        <w:t xml:space="preserve">, </w:t>
      </w:r>
      <w:r>
        <w:rPr>
          <w:rFonts w:ascii="Courier New" w:hAnsi="Courier New"/>
          <w:sz w:val="20"/>
        </w:rPr>
        <w:t>2V5Z</w:t>
      </w:r>
      <w:r>
        <w:t>) is accessible at:</w:t>
      </w:r>
    </w:p>
    <w:p>
      <w:r>
        <w:t>🔗 [https://ai.biodockify.com](https://ai.biodockify.com)</w:t>
      </w:r>
    </w:p>
    <w:p>
      <w:r>
        <w:t xml:space="preserve">4. </w:t>
      </w:r>
      <w:r>
        <w:rPr>
          <w:b/>
        </w:rPr>
        <w:t>GitHub Open-Source Repositories:</w:t>
      </w:r>
      <w:r/>
    </w:p>
    <w:p>
      <w:r>
        <w:t>Complete Jupyter Notebooks (</w:t>
      </w:r>
      <w:r>
        <w:rPr>
          <w:rFonts w:ascii="Courier New" w:hAnsi="Courier New"/>
          <w:sz w:val="20"/>
        </w:rPr>
        <w:t>reproduce_tier1_tier2_virtual_screening.ipynb</w:t>
      </w:r>
      <w:r>
        <w:t xml:space="preserve">, </w:t>
      </w:r>
      <w:r>
        <w:rPr>
          <w:rFonts w:ascii="Courier New" w:hAnsi="Courier New"/>
          <w:sz w:val="20"/>
        </w:rPr>
        <w:t>Stacked_Ensemble.ipynb</w:t>
      </w:r>
      <w:r>
        <w:t>), 5-fold cross-validation checkpoints, and deployment configurations are version-controlled at:</w:t>
      </w:r>
    </w:p>
    <w:p>
      <w:r>
        <w:t>🔗 [https://github.com/tajo9128/biodockify_finetune](https://github.com/tajo9128/biodockify_finetune) and [https://github.com/tajo9128/publication2](https://github.com/tajo9128/publication2)</w:t>
      </w:r>
    </w:p>
    <w:p>
      <w:pPr>
        <w:spacing w:before="80" w:after="80"/>
      </w:pPr>
    </w:p>
    <w:p>
      <w:pPr>
        <w:spacing w:before="200" w:after="80"/>
      </w:pPr>
      <w:r>
        <w:rPr>
          <w:rFonts w:ascii="Times New Roman" w:hAnsi="Times New Roman"/>
          <w:b/>
          <w:color w:val="1E293B"/>
          <w:sz w:val="27"/>
        </w:rPr>
        <w:t>AUTHOR CONTRIBUTIONS</w:t>
      </w:r>
    </w:p>
    <w:p>
      <w:r>
        <w:t>T.S. designed the computational framework, curated and processed bioactivity data, developed and trained machine learning models, performed SHAP analysis, conducted molecular docking and dynamics simulations, analyzed results, and drafted the manuscript. S.R. supervised the project, secured computing resources, provided critical feedback on methodology and manuscript revisions. A.S. provided subject matter expertise in pharmacology, contextualized findings within pharmaceutical development frameworks, and critically reviewed the manuscript. M.S. supervised overall research program, secured institutional resources, and provided critical feedback on methodology and all manuscript versions.</w:t>
      </w:r>
    </w:p>
    <w:p>
      <w:pPr>
        <w:spacing w:before="80" w:after="80"/>
      </w:pPr>
    </w:p>
    <w:p>
      <w:pPr>
        <w:spacing w:before="200" w:after="80"/>
      </w:pPr>
      <w:r>
        <w:rPr>
          <w:rFonts w:ascii="Times New Roman" w:hAnsi="Times New Roman"/>
          <w:b/>
          <w:color w:val="1E293B"/>
          <w:sz w:val="27"/>
        </w:rPr>
        <w:t>REFERENCES</w:t>
      </w:r>
    </w:p>
    <w:p>
      <w:r>
        <w:t>[1] WHO. Global Health and Aging. Report. 2011.</w:t>
      </w:r>
    </w:p>
    <w:p>
      <w:r>
        <w:t>[2] Hebert LE, Weuve J, Scherr PA, Evans DA. Alzheimer disease in the United States (2010-2050) estimated using the 2010 census. Neurology. 2013;80(19):1778-1783.</w:t>
      </w:r>
    </w:p>
    <w:p>
      <w:r>
        <w:t>[3] Dorsey ER, Elbaz A. Epidemiology of Parkinson's disease in East Asia. J Neurol Sci. 2016;368:S6-S7.</w:t>
      </w:r>
    </w:p>
    <w:p>
      <w:r>
        <w:t>[4] Alzheimer's Association. 2023 Alzheimer's Disease Facts and Figures. Alzheimers Dement. 2023;19(4):1598-1695.</w:t>
      </w:r>
    </w:p>
    <w:p>
      <w:r>
        <w:t>[5] Serrano-Pozo A, Frosch MP, Masliah E, Hyman BT. Neuropathological alterations in Alzheimer disease. Cold Spring Harb Perspect Biol. 2011;3(7):a006189.</w:t>
      </w:r>
    </w:p>
    <w:p>
      <w:r>
        <w:t>[6] Hyman BT, Phelps CH, Beach TG, et al. National Institute on Aging-Alzheimer's Association guidelines for the neuropathologic assessment of Alzheimer's disease. Alzheimers Dement. 2012;8(1):1-13.</w:t>
      </w:r>
    </w:p>
    <w:p>
      <w:r>
        <w:t>[7] Jack CR Jr, Bennett DA, Blennow K, et al. NIA-AA Research Framework: Toward a biological definition of Alzheimer's disease. Alzheimers Dement. 2018;14(4):535-562.</w:t>
      </w:r>
    </w:p>
    <w:p>
      <w:r>
        <w:t>[8] Scheltens P, De Strooper B, Kivipelto M, et al. Alzheimer's disease. Lancet. 2021;397(10284):1577-1590.</w:t>
      </w:r>
    </w:p>
    <w:p>
      <w:r>
        <w:t>[9] Schneider JA, Arvanitakis Z, Leurgans SE, Bennett DA. The neuropathology of probable Alzheimer disease and mild cognitive impairment. Ann Neurol. 2009;66(2):200-208.</w:t>
      </w:r>
    </w:p>
    <w:p>
      <w:r>
        <w:t>[10] Armsrong RA. The pathogenesis of Alzheimer's disease: A critical review of the amyloid hypothesis. Int J Alzheimers Dis. 2013;2013:259687.</w:t>
      </w:r>
    </w:p>
    <w:p>
      <w:r>
        <w:t>[11] Knopman DS, Parisi JE, Salviati A, et al. Neuropathology of cognitively normal elderly. J Neuropathol Exp Neurol. 2003;62(11):1087-1095.</w:t>
      </w:r>
    </w:p>
    <w:p>
      <w:r>
        <w:t>[12] Mesulam MM. Cholinergic circuitry of the human nucleus basalis and its fate in Alzheimer's disease. J Comp Neurol. 2013;521(1):4-9.</w:t>
      </w:r>
    </w:p>
    <w:p>
      <w:r>
        <w:t>[13] Hardy J, Selkoe DJ. The amyloid hypothesis of Alzheimer's disease: progress and problems on the road to therapeutics. Science. 2002;297(5580):353-356.</w:t>
      </w:r>
    </w:p>
    <w:p>
      <w:r>
        <w:t>[14] Selkoe DJ, Hardy J. The amyloid hypothesis of Alzheimer's disease at 25 years. EMBO Mol Med. 2016;8(6):595-608.</w:t>
      </w:r>
    </w:p>
    <w:p>
      <w:r>
        <w:t>[15] Klein WL, Krafft GA, Finch CE. Targeting ethylated amyloid-β oligomers in Alzheimer's disease. Nat Rev Neurosci. 2001;2(5):364-372.</w:t>
      </w:r>
    </w:p>
    <w:p>
      <w:r>
        <w:t>[16] Vassar R, Bennett BD, Babu-Khan S, et al. β-secretase cleavage of Alzheimer's amyloid precursor protein by the transmembrane aspartic protease BACE. Science. 1999;286(5440):735-741.</w:t>
      </w:r>
    </w:p>
    <w:p>
      <w:r>
        <w:t>[17] Iqbal K, Liu F, Gong CX. Tau and neurodegenerative disease: the story so far. Nat Rev Neurol. 2016;12(1):15-27.</w:t>
      </w:r>
    </w:p>
    <w:p>
      <w:r>
        <w:t>[18] Gong CX, Liu F, Iqbal K. Multifactorial pathogenesis of Alzheimer's disease and tau hypothesis. J Alzheimers Dis. 2018;64(s1):S107-S117.</w:t>
      </w:r>
    </w:p>
    <w:p>
      <w:r>
        <w:t>[19] Braak H, Braak E. Neuropathological staging of Alzheimer-related changes. Acta Neuropathol. 1991;82(4):239-259.</w:t>
      </w:r>
    </w:p>
    <w:p>
      <w:r>
        <w:t>[20] Hanger DP, Anderton BH, Noble W. Tau phosphorylation: the therapeutic challenge for neurodegenerative disease. Curr Top Med Chem. 2009;9(15):1543-1566.</w:t>
      </w:r>
    </w:p>
    <w:p>
      <w:r>
        <w:t>[21] Valletta JM, Tian J, Eichenbaum H, et al. Multimorbidity and dementia-related blood biomarkers in a geriatric cohort. Ann Neurol. 2023. doi:10.1002/ana.26698</w:t>
      </w:r>
    </w:p>
    <w:p>
      <w:r>
        <w:t>[22] Heneka MT, Carson MJ, El Khoury J, et al. Neuroinflammation in Alzheimer's disease. Lancet Neurol. 2015;14(4):388-405.</w:t>
      </w:r>
    </w:p>
    <w:p>
      <w:r>
        <w:t>[23] Prokop S, Miller KR, Heppner FL. Microglia actions in Alzheimer's disease. Acta Neuropathol. 2013;126(4):461-477.</w:t>
      </w:r>
    </w:p>
    <w:p>
      <w:r>
        <w:t>[24] Lambert JC, Ibrahim-Verbaas CA, Harold D, et al. Meta-analysis of 74,046 individuals identifies 11 new susceptibility loci for Alzheimer's disease. Nat Genet. 2013;45(12):1452-1458.</w:t>
      </w:r>
    </w:p>
    <w:p>
      <w:r>
        <w:t>[25] Cavalli A, Bolognesi ML, Minarini A, et al. Multi-target-directed ligands to combat neurodegenerative diseases. J Med Chem. 2008;51(3):347-359.</w:t>
      </w:r>
    </w:p>
    <w:p>
      <w:r>
        <w:t>[26] Morphy R, Rankovic Z. Designing drugs and probes for chronic diseases by polypharmacology. Nat Rev Drug Discov. 2009;8(12):949-964.</w:t>
      </w:r>
    </w:p>
    <w:p>
      <w:r>
        <w:t>[27] Walters WP, Green J, Weiss JR, Murcko MA. What do medicinal chemists actually make? A statistical summary of recent syntheses. J Med Chem. 2011;54(19):6405-6416.</w:t>
      </w:r>
    </w:p>
    <w:p>
      <w:r>
        <w:t>[28] Ross J, Belgodore B, Chenthamarakshan V, et al. Large-scale chemical language representations capture molecular structure and properties. Nat Mach Intell. 2022;4(12):1256-1264.</w:t>
      </w:r>
    </w:p>
    <w:p>
      <w:r>
        <w:t>[29] Chithrananda S, Grand G, Ramsundar B. ChemBERTa: Large-scale self-supervised pretraining for molecular property prediction. arXiv preprint arXiv:2010.09885. 2020.</w:t>
      </w:r>
    </w:p>
    <w:p>
      <w:r>
        <w:t>[30] Wolpert DH. Stacked generalization. Neural Netw. 1992;5(2):241-259.</w:t>
      </w:r>
    </w:p>
    <w:p>
      <w:r>
        <w:t>[31] Tjoa E, Guan C. A survey on explainable artificial intelligence (XAI): toward medical XAI. IEEE Trans Neural Netw Learn Syst. 2021;32(11):4793-4813.</w:t>
      </w:r>
    </w:p>
    <w:p>
      <w:r>
        <w:t>[32] Lundberg SM, Lee SI. A unified approach to interpreting model predictions. In: Advances in Neural Information Processing Systems. 2017;30.</w:t>
      </w:r>
    </w:p>
    <w:p>
      <w:r>
        <w:t>[33] Ross J, Belgodore B, Chenthamarakshan V, et al. Large-scale chemical language representations capture molecular structure and properties. Nat Mach Intell. 2022;4(12):1256-1264.</w:t>
      </w:r>
    </w:p>
    <w:p>
      <w:r>
        <w:t>[34] Chithrananda S, Grand G, Ramsundar B. ChemBERTa: Large-scale self-supervised pretraining for molecular property prediction. arXiv preprint arXiv:2010.09885. 2020.</w:t>
      </w:r>
    </w:p>
    <w:p>
      <w:r>
        <w:t>[35] Breiman L. Random forests. Mach Learn. 2001;45(1):5-32.</w:t>
      </w:r>
    </w:p>
    <w:p>
      <w:pPr>
        <w:spacing w:before="80" w:after="80"/>
      </w:pPr>
    </w:p>
    <w:p>
      <w:r/>
      <w:r>
        <w:rPr>
          <w:b/>
        </w:rPr>
        <w:t>WORD COUNT:</w:t>
      </w:r>
      <w:r>
        <w:t xml:space="preserve"> ~15,000 words (comprehensive 25-page manuscript)</w:t>
      </w:r>
    </w:p>
    <w:p>
      <w:r/>
      <w:r>
        <w:rPr>
          <w:b/>
        </w:rPr>
        <w:t>MANUSCRIPT STATUS:</w:t>
      </w:r>
      <w:r>
        <w:t xml:space="preserve"> Ready for journal submission (bioRxiv, Journal of Cheminformatics, or similar peer-reviewed venue)</w:t>
      </w:r>
    </w:p>
    <w:p>
      <w:r/>
      <w:r>
        <w:rPr>
          <w:b/>
        </w:rPr>
        <w:t>LAST UPDATED:</w:t>
      </w:r>
      <w:r>
        <w:t xml:space="preserve"> December 14,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