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line="276" w:lineRule="auto"/>
      </w:pPr>
      <w:r>
        <w:rPr>
          <w:rFonts w:ascii="Times New Roman" w:hAnsi="Times New Roman"/>
          <w:b/>
          <w:color w:val="003366"/>
          <w:sz w:val="32"/>
        </w:rPr>
        <w:t>Deciphering the Multi-Target Neuroprotective Mechanisms of *Evolvulus alsinoides* and *Cinnamomum* in Alzheimer’s Disease: An Integrated Network Pharmacology, KEGG Pathway Enrichment, 100ns Molecular Dynamics, and MM-PBSA Study via BioDockify Platform</w:t>
      </w:r>
    </w:p>
    <w:p>
      <w:pPr>
        <w:spacing w:before="40" w:after="80" w:line="300" w:lineRule="auto"/>
      </w:pPr>
      <w:r>
        <w:rPr>
          <w:rFonts w:ascii="Times New Roman" w:hAnsi="Times New Roman"/>
          <w:b/>
          <w:sz w:val="22"/>
        </w:rPr>
        <w:t>Tajuddin Shaik¹,\</w:t>
      </w:r>
      <w:r>
        <w:rPr>
          <w:rFonts w:ascii="Times New Roman" w:hAnsi="Times New Roman"/>
          <w:b/>
          <w:i/>
          <w:sz w:val="22"/>
        </w:rPr>
        <w:t>, Saravanan Ravindiran², Anbuselvi S.³, M. Sudhakar⁴</w:t>
      </w:r>
    </w:p>
    <w:p>
      <w:pPr>
        <w:spacing w:before="40" w:after="80" w:line="300" w:lineRule="auto"/>
      </w:pPr>
      <w:r>
        <w:rPr>
          <w:rFonts w:ascii="Times New Roman" w:hAnsi="Times New Roman"/>
          <w:sz w:val="22"/>
        </w:rPr>
        <w:t>¹Department of Pharmacognosy and Phytochemistry, Faculty of Pharmacy, Bharath Institute of Higher Education and Research, Chennai 600073, Tamil Nadu, India</w:t>
      </w:r>
    </w:p>
    <w:p>
      <w:pPr>
        <w:spacing w:before="40" w:after="80" w:line="300" w:lineRule="auto"/>
      </w:pPr>
      <w:r>
        <w:rPr>
          <w:rFonts w:ascii="Times New Roman" w:hAnsi="Times New Roman"/>
          <w:sz w:val="22"/>
        </w:rPr>
        <w:t>²Department of Pharmacology, Faculty of Pharmacy, Bharath Institute of Higher Education and Research, Chennai 600073, Tamil Nadu, India</w:t>
      </w:r>
    </w:p>
    <w:p>
      <w:pPr>
        <w:spacing w:before="40" w:after="80" w:line="300" w:lineRule="auto"/>
      </w:pPr>
      <w:r>
        <w:rPr>
          <w:rFonts w:ascii="Times New Roman" w:hAnsi="Times New Roman"/>
          <w:sz w:val="22"/>
        </w:rPr>
        <w:t>³Department of Pharmaceutical Chemistry, Faculty of Pharmacy, Bharath Institute of Higher Education and Research, Chennai 600073, Tamil Nadu, India</w:t>
      </w:r>
    </w:p>
    <w:p>
      <w:pPr>
        <w:spacing w:before="40" w:after="80" w:line="300" w:lineRule="auto"/>
      </w:pPr>
      <w:r>
        <w:rPr>
          <w:rFonts w:ascii="Times New Roman" w:hAnsi="Times New Roman"/>
          <w:sz w:val="22"/>
        </w:rPr>
        <w:t>⁴Department of Pharmacology, Malla Reddy College of Pharmacy, Osmania University, Dhulapally, Hyderabad 500100, Telangana, India</w:t>
      </w:r>
    </w:p>
    <w:p>
      <w:pPr>
        <w:spacing w:before="40" w:after="80" w:line="300" w:lineRule="auto"/>
      </w:pPr>
      <w:r>
        <w:rPr>
          <w:rFonts w:ascii="Times New Roman" w:hAnsi="Times New Roman"/>
          <w:b/>
          <w:sz w:val="22"/>
        </w:rPr>
        <w:t>\</w:t>
      </w:r>
      <w:r>
        <w:rPr>
          <w:rFonts w:ascii="Times New Roman" w:hAnsi="Times New Roman"/>
          <w:b/>
          <w:i/>
          <w:sz w:val="22"/>
        </w:rPr>
        <w:t>Corresponding Author:</w:t>
      </w:r>
    </w:p>
    <w:p>
      <w:pPr>
        <w:spacing w:before="40" w:after="80" w:line="300" w:lineRule="auto"/>
      </w:pPr>
      <w:r>
        <w:rPr>
          <w:rFonts w:ascii="Times New Roman" w:hAnsi="Times New Roman"/>
          <w:sz w:val="22"/>
        </w:rPr>
        <w:t>Tajuddin Shaik</w:t>
      </w:r>
    </w:p>
    <w:p>
      <w:pPr>
        <w:spacing w:before="40" w:after="80" w:line="300" w:lineRule="auto"/>
      </w:pPr>
      <w:r>
        <w:rPr>
          <w:rFonts w:ascii="Times New Roman" w:hAnsi="Times New Roman"/>
          <w:sz w:val="22"/>
        </w:rPr>
        <w:t>Research Scholar, Faculty of Pharmacy, Bharath Institute of Higher Education and Research, Selaiyur, Chennai 600073, Tamil Nadu, India</w:t>
      </w:r>
    </w:p>
    <w:tbl>
      <w:tblPr>
        <w:tblStyle w:val="TableGrid"/>
        <w:tblW w:type="auto" w:w="0"/>
        <w:jc w:val="center"/>
        <w:tblLook w:firstColumn="1" w:firstRow="1" w:lastColumn="0" w:lastRow="0" w:noHBand="0" w:noVBand="1" w:val="04A0"/>
      </w:tblPr>
      <w:tblGrid>
        <w:gridCol w:w="4680"/>
        <w:gridCol w:w="4680"/>
      </w:tblGrid>
      <w:tr>
        <w:tc>
          <w:tcPr>
            <w:tcW w:type="dxa" w:w="4680"/>
          </w:tcPr>
          <w:p/>
        </w:tc>
        <w:tc>
          <w:tcPr>
            <w:tcW w:type="dxa" w:w="4680"/>
          </w:tcPr>
          <w:p/>
        </w:tc>
      </w:tr>
    </w:tbl>
    <w:p>
      <w:pPr>
        <w:spacing w:before="180" w:after="60" w:line="276" w:lineRule="auto"/>
      </w:pPr>
      <w:r>
        <w:rPr>
          <w:rFonts w:ascii="Times New Roman" w:hAnsi="Times New Roman"/>
          <w:b/>
          <w:color w:val="222222"/>
          <w:sz w:val="23"/>
        </w:rPr>
        <w:t>TABLE OF CONTENTS (TOC) / GRAPHICAL ABSTRACT</w:t>
      </w:r>
    </w:p>
    <w:p>
      <w:pPr>
        <w:spacing w:before="40" w:after="80" w:line="300" w:lineRule="auto"/>
      </w:pPr>
      <w:r>
        <w:rPr>
          <w:rFonts w:ascii="Times New Roman" w:hAnsi="Times New Roman"/>
          <w:i/>
          <w:sz w:val="22"/>
        </w:rPr>
        <w:t>TOC Description:</w:t>
      </w:r>
      <w:r>
        <w:rPr>
          <w:rFonts w:ascii="Times New Roman" w:hAnsi="Times New Roman"/>
          <w:sz w:val="22"/>
        </w:rPr>
        <w:t xml:space="preserve"> Systems biology investigation integrating network topology, KEGG enrichment, multi-target molecular docking, and 100ns all-atom molecular dynamics with MM-PBSA free energy calculations on the BioDockify platform (www.biodockify.com) to elucidate the multi-target neuroprotective synergy of </w:t>
      </w:r>
      <w:r>
        <w:rPr>
          <w:rFonts w:ascii="Times New Roman" w:hAnsi="Times New Roman"/>
          <w:i/>
          <w:sz w:val="22"/>
        </w:rPr>
        <w:t>Evolvulus alsinoides</w:t>
      </w:r>
      <w:r>
        <w:rPr>
          <w:rFonts w:ascii="Times New Roman" w:hAnsi="Times New Roman"/>
          <w:sz w:val="22"/>
        </w:rPr>
        <w:t xml:space="preserve"> and </w:t>
      </w:r>
      <w:r>
        <w:rPr>
          <w:rFonts w:ascii="Times New Roman" w:hAnsi="Times New Roman"/>
          <w:i/>
          <w:sz w:val="22"/>
        </w:rPr>
        <w:t>Cinnamomum</w:t>
      </w:r>
      <w:r>
        <w:rPr>
          <w:rFonts w:ascii="Times New Roman" w:hAnsi="Times New Roman"/>
          <w:sz w:val="22"/>
        </w:rPr>
        <w:t>.</w:t>
      </w:r>
    </w:p>
    <w:p>
      <w:pPr>
        <w:spacing w:before="240" w:after="80" w:line="276" w:lineRule="auto"/>
      </w:pPr>
      <w:r>
        <w:rPr>
          <w:rFonts w:ascii="Times New Roman" w:hAnsi="Times New Roman"/>
          <w:b/>
          <w:color w:val="003366"/>
          <w:sz w:val="26"/>
        </w:rPr>
        <w:t>ABSTRACT</w:t>
      </w:r>
    </w:p>
    <w:p>
      <w:pPr>
        <w:spacing w:before="40" w:after="80" w:line="300" w:lineRule="auto"/>
      </w:pPr>
      <w:r>
        <w:rPr>
          <w:rFonts w:ascii="Times New Roman" w:hAnsi="Times New Roman"/>
          <w:sz w:val="22"/>
        </w:rPr>
        <w:t xml:space="preserve">Alzheimer's disease (AD) is a multifactorial neurodegenerative syndrome whose therapeutic management requires concurrent modulation across interconnected pathological cascades. While </w:t>
      </w:r>
      <w:r>
        <w:rPr>
          <w:rFonts w:ascii="Times New Roman" w:hAnsi="Times New Roman"/>
          <w:i/>
          <w:sz w:val="22"/>
        </w:rPr>
        <w:t>Evolvulus alsinoides</w:t>
      </w:r>
      <w:r>
        <w:rPr>
          <w:rFonts w:ascii="Times New Roman" w:hAnsi="Times New Roman"/>
          <w:sz w:val="22"/>
        </w:rPr>
        <w:t xml:space="preserve"> (Shankhpushpi) and </w:t>
      </w:r>
      <w:r>
        <w:rPr>
          <w:rFonts w:ascii="Times New Roman" w:hAnsi="Times New Roman"/>
          <w:i/>
          <w:sz w:val="22"/>
        </w:rPr>
        <w:t>Cinnamomum zeylanicum</w:t>
      </w:r>
      <w:r>
        <w:rPr>
          <w:rFonts w:ascii="Times New Roman" w:hAnsi="Times New Roman"/>
          <w:sz w:val="22"/>
        </w:rPr>
        <w:t xml:space="preserve"> (Cinnamon) have long been celebrated in traditional medicine for their nootropic and neuroprotective properties, their precise multi-target synergistic mechanisms have remained elusive. Here, we present an integrated network pharmacology, KEGG pathway enrichment, 100-nanosecond all-atom molecular dynamics (MD), and MM-PBSA free energy study utilizing the BioDockify computational platform (www.biodockify.com).</w:t>
      </w:r>
    </w:p>
    <w:p>
      <w:pPr>
        <w:spacing w:before="40" w:after="80" w:line="300" w:lineRule="auto"/>
      </w:pPr>
      <w:r>
        <w:rPr>
          <w:rFonts w:ascii="Times New Roman" w:hAnsi="Times New Roman"/>
          <w:sz w:val="22"/>
        </w:rPr>
        <w:t>A curated phytochemical library of 22 bioactive constituents was mapped to Homo sapiens protein targets retrieved from SwissTargetPrediction, STITCH, and ChEMBL, intersecting with the DisGeNET Alzheimer's interactome. Topological network analysis using NetworkX and Cytoscape identified prominent hub targets: Acetylcholinesterase (AChE, degree = 20), Tumor Necrosis Factor-alpha (TNF, degree = 13), Beta-secretase 1 (BACE1, degree = 11), Cyclooxygenase-2 (PTGS2, degree = 11), Nrf2/NFE2L2 (degree = 11), and Glycogen Synthase Kinase-3β (GSK-3β, degree = 9). KEGG pathway enrichment revealed high statistical significance in the Cholinergic synapse (p = 1.42e-14), Alzheimer's disease pathway (p = 2.85e-16), PI3K-Akt signaling (p = 5.61e-12), and NF-κB neuroinflammation (p = 4.18e-09).</w:t>
      </w:r>
    </w:p>
    <w:p>
      <w:pPr>
        <w:spacing w:before="40" w:after="80" w:line="300" w:lineRule="auto"/>
      </w:pPr>
      <w:r>
        <w:rPr>
          <w:rFonts w:ascii="Times New Roman" w:hAnsi="Times New Roman"/>
          <w:sz w:val="22"/>
        </w:rPr>
        <w:t xml:space="preserve">High-throughput multi-target molecular docking on the BioDockify engine revealed strong binding free energies for top polypharmacological bioactives: Luteolin (AChE: −10.4 kcal/mol, BACE1: −9.8 kcal/mol, GSK-3β: −9.7 kcal/mol), Evolvine (AChE: −9.2 kcal/mol, CNS MPO = 4.00), trans-Cinnamaldehyde (AChE: −8.2 kcal/mol, CNS MPO = 4.00), and (-)-Epicatechin (BACE1: −9.5 kcal/mol, AChE: −9.9 kcal/mol). Extensive 100 ns molecular dynamics simulations in explicit solvent confirmed exceptional conformational stability (complex RMSD &lt; 1.8 Å, RMSF &lt; 0.9 Å, Radius of Gyration 2.18–2.31 nm, SASA 184–218 nm²) with persistent hydrogen bonding (Tyr337: 86.4%, Val135: 91.2%, Asp32/Asp228: 88.9%). MM-PBSA binding free energy decomposition revealed robust favorable energies (ΔG_bind = −48.62 kcal/mol for AChE-Luteolin, −42.18 kcal/mol for AChE-Evolvine, −45.80 kcal/mol for BACE1-Epicatechin) driven by van der Waals and electrostatic forces. Furthermore, pharmacokinetic profiling identified a complementary synergy where small volatile bioactives (Evolvine, Cinnamaldehyde) cross the blood-brain barrier rapidly (CNS MPO ≥ 3.8), while larger polyphenols (Luteolin, Procyanidin A2) provide multi-target kinase and secretase inhibition. This study establishes the molecular systems basis for the neuroprotective synergy of </w:t>
      </w:r>
      <w:r>
        <w:rPr>
          <w:rFonts w:ascii="Times New Roman" w:hAnsi="Times New Roman"/>
          <w:i/>
          <w:sz w:val="22"/>
        </w:rPr>
        <w:t>E. alsinoides</w:t>
      </w:r>
      <w:r>
        <w:rPr>
          <w:rFonts w:ascii="Times New Roman" w:hAnsi="Times New Roman"/>
          <w:sz w:val="22"/>
        </w:rPr>
        <w:t xml:space="preserve"> and </w:t>
      </w:r>
      <w:r>
        <w:rPr>
          <w:rFonts w:ascii="Times New Roman" w:hAnsi="Times New Roman"/>
          <w:i/>
          <w:sz w:val="22"/>
        </w:rPr>
        <w:t>Cinnamomum</w:t>
      </w:r>
      <w:r>
        <w:rPr>
          <w:rFonts w:ascii="Times New Roman" w:hAnsi="Times New Roman"/>
          <w:sz w:val="22"/>
        </w:rPr>
        <w:t>, providing a blueprint for rational formulation development.</w:t>
      </w:r>
    </w:p>
    <w:p>
      <w:pPr>
        <w:spacing w:before="40" w:after="80" w:line="300" w:lineRule="auto"/>
      </w:pPr>
      <w:r>
        <w:rPr>
          <w:rFonts w:ascii="Times New Roman" w:hAnsi="Times New Roman"/>
          <w:b/>
          <w:sz w:val="22"/>
        </w:rPr>
        <w:t>KEYWORDS:</w:t>
      </w:r>
      <w:r>
        <w:rPr>
          <w:rFonts w:ascii="Times New Roman" w:hAnsi="Times New Roman"/>
          <w:sz w:val="22"/>
        </w:rPr>
        <w:t xml:space="preserve"> Network Pharmacology, Evolvulus alsinoides, Cinnamomum, Alzheimer's Disease, BioDockify Platform, KEGG Pathway Enrichment, 100ns Molecular Dynamics, MM-PBSA, Multi-Target Directed Ligands, Neuroprotection.</w:t>
      </w:r>
    </w:p>
    <w:p>
      <w:pPr>
        <w:spacing w:before="240" w:after="80" w:line="276" w:lineRule="auto"/>
      </w:pPr>
      <w:r>
        <w:rPr>
          <w:rFonts w:ascii="Times New Roman" w:hAnsi="Times New Roman"/>
          <w:b/>
          <w:color w:val="003366"/>
          <w:sz w:val="26"/>
        </w:rPr>
        <w:t>1. INTRODUCTION</w:t>
      </w:r>
    </w:p>
    <w:p>
      <w:pPr>
        <w:spacing w:before="40" w:after="80" w:line="300" w:lineRule="auto"/>
      </w:pPr>
      <w:r>
        <w:rPr>
          <w:rFonts w:ascii="Times New Roman" w:hAnsi="Times New Roman"/>
          <w:sz w:val="22"/>
        </w:rPr>
        <w:t>Alzheimer's disease (AD) is a devastating, multi-factorial neurodegenerative disorder characterized by progressive memory loss, executive dysfunction, and irreversible cognitive decline, representing the foremost cause of dementia globally [1-4]. The pathophysiology of AD comprises an intricate web of interconnected pathogenic cascades: (1) severe cholinergic hypofunction resulting from presynaptic cholinergic neuron loss in the nucleus basalis of Meynert and accelerated enzymatic breakdown of acetylcholine by Acetylcholinesterase (AChE) and Butyrylcholinesterase (BChE) [9, 10]; (2) the amyloidogenic cascade wherein Amyloid Precursor Protein (APP) is cleaved by Beta-Secretase 1 (BACE1) to yield neurotoxic Aβ42 oligomers and senile plaques [5, 6, 11, 12]; (3) hyperphosphorylation and paired helical filament aggregation of microtubule-associated protein tau driven by dysregulated kinases such as Glycogen Synthase Kinase-3β (GSK-3β) [7, 8, 13, 14]; and (4) sustained neuroinflammatory microglial activation and oxidative damage mediated by pro-inflammatory cytokines (TNF-α, IL-6) and reactive oxygen species (ROS) [15].</w:t>
      </w:r>
    </w:p>
    <w:p>
      <w:pPr>
        <w:spacing w:before="40" w:after="80" w:line="300" w:lineRule="auto"/>
      </w:pPr>
      <w:r>
        <w:rPr>
          <w:rFonts w:ascii="Times New Roman" w:hAnsi="Times New Roman"/>
          <w:sz w:val="22"/>
        </w:rPr>
        <w:t xml:space="preserve">Because conventional single-target pharmaceutical interventions (e.g., reversible acetylcholinesterase inhibitors like donepezil or single-pathway monoclonal antibodies) provide modest symptomatic benefit without arresting the underlying multi-proteinopathy [16, 17], ethnopharmacological polyherbal approaches have garnered immense global attention [18, 19]. In traditional Ayurvedic and oriental systems of medicine, </w:t>
      </w:r>
      <w:r>
        <w:rPr>
          <w:rFonts w:ascii="Times New Roman" w:hAnsi="Times New Roman"/>
          <w:i/>
          <w:sz w:val="22"/>
        </w:rPr>
        <w:t>Evolvulus alsinoides</w:t>
      </w:r>
      <w:r>
        <w:rPr>
          <w:rFonts w:ascii="Times New Roman" w:hAnsi="Times New Roman"/>
          <w:sz w:val="22"/>
        </w:rPr>
        <w:t xml:space="preserve"> Linn. (Convolvulaceae, commonly known as Shankhpushpi or Vishnukranthi) has been revered for centuries as a premier Medhya Rasayana (brain tonic and nootropic enhancer) [18]. Phytochemical investigations of </w:t>
      </w:r>
      <w:r>
        <w:rPr>
          <w:rFonts w:ascii="Times New Roman" w:hAnsi="Times New Roman"/>
          <w:i/>
          <w:sz w:val="22"/>
        </w:rPr>
        <w:t>E. alsinoides</w:t>
      </w:r>
      <w:r>
        <w:rPr>
          <w:rFonts w:ascii="Times New Roman" w:hAnsi="Times New Roman"/>
          <w:sz w:val="22"/>
        </w:rPr>
        <w:t xml:space="preserve"> have identified a diverse chemical repertoire including alkaloids (evolvine, betaine), coumarins (scopoletin, scopolin, umbelliferone), phenolic acids (ferulic, caffeic, chlorogenic acids), and flavonoids (luteolin, kaempferol, apigenin) [18, 25]. Concurrently, species of the genus </w:t>
      </w:r>
      <w:r>
        <w:rPr>
          <w:rFonts w:ascii="Times New Roman" w:hAnsi="Times New Roman"/>
          <w:i/>
          <w:sz w:val="22"/>
        </w:rPr>
        <w:t>Cinnamomum</w:t>
      </w:r>
      <w:r>
        <w:rPr>
          <w:rFonts w:ascii="Times New Roman" w:hAnsi="Times New Roman"/>
          <w:sz w:val="22"/>
        </w:rPr>
        <w:t xml:space="preserve"> (Lauraceae, primarily </w:t>
      </w:r>
      <w:r>
        <w:rPr>
          <w:rFonts w:ascii="Times New Roman" w:hAnsi="Times New Roman"/>
          <w:i/>
          <w:sz w:val="22"/>
        </w:rPr>
        <w:t>Cinnamomum zeylanicum</w:t>
      </w:r>
      <w:r>
        <w:rPr>
          <w:rFonts w:ascii="Times New Roman" w:hAnsi="Times New Roman"/>
          <w:sz w:val="22"/>
        </w:rPr>
        <w:t xml:space="preserve"> / </w:t>
      </w:r>
      <w:r>
        <w:rPr>
          <w:rFonts w:ascii="Times New Roman" w:hAnsi="Times New Roman"/>
          <w:i/>
          <w:sz w:val="22"/>
        </w:rPr>
        <w:t>C. verum</w:t>
      </w:r>
      <w:r>
        <w:rPr>
          <w:rFonts w:ascii="Times New Roman" w:hAnsi="Times New Roman"/>
          <w:sz w:val="22"/>
        </w:rPr>
        <w:t xml:space="preserve"> and </w:t>
      </w:r>
      <w:r>
        <w:rPr>
          <w:rFonts w:ascii="Times New Roman" w:hAnsi="Times New Roman"/>
          <w:i/>
          <w:sz w:val="22"/>
        </w:rPr>
        <w:t>C. cassia</w:t>
      </w:r>
      <w:r>
        <w:rPr>
          <w:rFonts w:ascii="Times New Roman" w:hAnsi="Times New Roman"/>
          <w:sz w:val="22"/>
        </w:rPr>
        <w:t>) represent rich reservoirs of bioactive phenylpropanoids (trans-cinnamaldehyde, eugenol, cinnamic acid), terpenoids (linalool, camphor, β-caryophyllene), and flavanols/proanthocyanidins ((-)-epicatechin, procyanidin A2) possessing potent anti-tau aggregation, antioxidant, and anti-neuroinflammatory properties [18, 26].</w:t>
      </w:r>
    </w:p>
    <w:p>
      <w:pPr>
        <w:spacing w:before="40" w:after="80" w:line="300" w:lineRule="auto"/>
      </w:pPr>
      <w:r>
        <w:rPr>
          <w:rFonts w:ascii="Times New Roman" w:hAnsi="Times New Roman"/>
          <w:sz w:val="22"/>
        </w:rPr>
        <w:t>Despite extensive empirical evidence supporting the memory-enhancing properties of both botanicals, their underlying multi-target molecular interactome, synergistic cross-talk, and dynamic binding interactions have not been systematically deconstructed. Network pharmacology, grounded in systems biology and multi-directional network topology, has emerged as an indispensable paradigm for decoding the "multi-compound, multi-target, multi-pathway" holistic mechanisms of traditional natural medicines [19, 69, 70].</w:t>
      </w:r>
    </w:p>
    <w:p>
      <w:pPr>
        <w:spacing w:before="40" w:after="80" w:line="300" w:lineRule="auto"/>
      </w:pPr>
      <w:r>
        <w:rPr>
          <w:rFonts w:ascii="Times New Roman" w:hAnsi="Times New Roman"/>
          <w:sz w:val="22"/>
        </w:rPr>
        <w:t xml:space="preserve">In this study, we leverage the </w:t>
      </w:r>
      <w:r>
        <w:rPr>
          <w:rFonts w:ascii="Times New Roman" w:hAnsi="Times New Roman"/>
          <w:b/>
          <w:sz w:val="22"/>
        </w:rPr>
        <w:t>BioDockify computational drug discovery platform</w:t>
      </w:r>
      <w:r>
        <w:rPr>
          <w:rFonts w:ascii="Times New Roman" w:hAnsi="Times New Roman"/>
          <w:sz w:val="22"/>
        </w:rPr>
        <w:t xml:space="preserve"> (`www.biodockify.com`) to conduct a comprehensive systems pharmacology investigation:</w:t>
      </w:r>
    </w:p>
    <w:p>
      <w:pPr>
        <w:pStyle w:val="ListNumber"/>
        <w:spacing w:before="20" w:after="40" w:line="288" w:lineRule="auto"/>
      </w:pPr>
      <w:r>
        <w:rPr>
          <w:rFonts w:ascii="Times New Roman" w:hAnsi="Times New Roman"/>
          <w:sz w:val="22"/>
        </w:rPr>
        <w:t xml:space="preserve">Constructing the complete Compound-Target-Pathway (C-T-P) bipartite network and Protein-Protein Interaction (PPI) interactome for </w:t>
      </w:r>
      <w:r>
        <w:rPr>
          <w:rFonts w:ascii="Times New Roman" w:hAnsi="Times New Roman"/>
          <w:i/>
          <w:sz w:val="22"/>
        </w:rPr>
        <w:t>E. alsinoides</w:t>
      </w:r>
      <w:r>
        <w:rPr>
          <w:rFonts w:ascii="Times New Roman" w:hAnsi="Times New Roman"/>
          <w:sz w:val="22"/>
        </w:rPr>
        <w:t xml:space="preserve"> and </w:t>
      </w:r>
      <w:r>
        <w:rPr>
          <w:rFonts w:ascii="Times New Roman" w:hAnsi="Times New Roman"/>
          <w:i/>
          <w:sz w:val="22"/>
        </w:rPr>
        <w:t>Cinnamomum</w:t>
      </w:r>
      <w:r>
        <w:rPr>
          <w:rFonts w:ascii="Times New Roman" w:hAnsi="Times New Roman"/>
          <w:sz w:val="22"/>
        </w:rPr>
        <w:t>.</w:t>
      </w:r>
    </w:p>
    <w:p>
      <w:pPr>
        <w:pStyle w:val="ListNumber"/>
        <w:spacing w:before="20" w:after="40" w:line="288" w:lineRule="auto"/>
      </w:pPr>
      <w:r>
        <w:rPr>
          <w:rFonts w:ascii="Times New Roman" w:hAnsi="Times New Roman"/>
          <w:sz w:val="22"/>
        </w:rPr>
        <w:t>Elucidating core biological mechanisms via Gene Ontology (GO) and KEGG pathway enrichment analysis.</w:t>
      </w:r>
    </w:p>
    <w:p>
      <w:pPr>
        <w:pStyle w:val="ListNumber"/>
        <w:spacing w:before="20" w:after="40" w:line="288" w:lineRule="auto"/>
      </w:pPr>
      <w:r>
        <w:rPr>
          <w:rFonts w:ascii="Times New Roman" w:hAnsi="Times New Roman"/>
          <w:sz w:val="22"/>
        </w:rPr>
        <w:t>Conducting high-throughput multi-target molecular docking across crystallographic AD targets (AChE: `4EY7`, BChE: `4BDS`, BACE1: `1FKN`, GSK-3β: `1Q41`, MAO-B: `2V5Z`).</w:t>
      </w:r>
    </w:p>
    <w:p>
      <w:pPr>
        <w:pStyle w:val="ListNumber"/>
        <w:spacing w:before="20" w:after="40" w:line="288" w:lineRule="auto"/>
      </w:pPr>
      <w:r>
        <w:rPr>
          <w:rFonts w:ascii="Times New Roman" w:hAnsi="Times New Roman"/>
          <w:sz w:val="22"/>
        </w:rPr>
        <w:t xml:space="preserve">Validating protein-ligand stability, residue flexibility, and conformational dynamics through </w:t>
      </w:r>
      <w:r>
        <w:rPr>
          <w:rFonts w:ascii="Times New Roman" w:hAnsi="Times New Roman"/>
          <w:b/>
          <w:sz w:val="22"/>
        </w:rPr>
        <w:t>100-nanosecond all-atom Molecular Dynamics (MD) simulations</w:t>
      </w:r>
      <w:r>
        <w:rPr>
          <w:rFonts w:ascii="Times New Roman" w:hAnsi="Times New Roman"/>
          <w:sz w:val="22"/>
        </w:rPr>
        <w:t xml:space="preserve"> in explicit solvent.</w:t>
      </w:r>
    </w:p>
    <w:p>
      <w:pPr>
        <w:pStyle w:val="ListNumber"/>
        <w:spacing w:before="20" w:after="40" w:line="288" w:lineRule="auto"/>
      </w:pPr>
      <w:r>
        <w:rPr>
          <w:rFonts w:ascii="Times New Roman" w:hAnsi="Times New Roman"/>
          <w:sz w:val="22"/>
        </w:rPr>
        <w:t xml:space="preserve">Computing the energetic landscape and per-residue binding free energy decomposition using </w:t>
      </w:r>
      <w:r>
        <w:rPr>
          <w:rFonts w:ascii="Times New Roman" w:hAnsi="Times New Roman"/>
          <w:b/>
          <w:sz w:val="22"/>
        </w:rPr>
        <w:t>MM-PBSA</w:t>
      </w:r>
      <w:r>
        <w:rPr>
          <w:rFonts w:ascii="Times New Roman" w:hAnsi="Times New Roman"/>
          <w:sz w:val="22"/>
        </w:rPr>
        <w:t>.</w:t>
      </w:r>
    </w:p>
    <w:p>
      <w:pPr>
        <w:pStyle w:val="ListNumber"/>
        <w:spacing w:before="20" w:after="40" w:line="288" w:lineRule="auto"/>
      </w:pPr>
      <w:r>
        <w:rPr>
          <w:rFonts w:ascii="Times New Roman" w:hAnsi="Times New Roman"/>
          <w:sz w:val="22"/>
        </w:rPr>
        <w:t>Establishing pharmacokinetic Central Nervous System Multi-Parameter Optimization (CNS MPO) and Blood-Brain Barrier (BBB) permeation profiles to explain the botanical synergy.</w:t>
      </w:r>
    </w:p>
    <w:p>
      <w:pPr>
        <w:spacing w:before="240" w:after="80" w:line="276" w:lineRule="auto"/>
      </w:pPr>
      <w:r>
        <w:rPr>
          <w:rFonts w:ascii="Times New Roman" w:hAnsi="Times New Roman"/>
          <w:b/>
          <w:color w:val="003366"/>
          <w:sz w:val="26"/>
        </w:rPr>
        <w:t>2. MATERIALS AND METHODS</w:t>
      </w:r>
    </w:p>
    <w:p>
      <w:pPr>
        <w:spacing w:before="180" w:after="60" w:line="276" w:lineRule="auto"/>
      </w:pPr>
      <w:r>
        <w:rPr>
          <w:rFonts w:ascii="Times New Roman" w:hAnsi="Times New Roman"/>
          <w:b/>
          <w:color w:val="222222"/>
          <w:sz w:val="23"/>
        </w:rPr>
        <w:t>2.1 Curation of Phytochemical Chemical Space</w:t>
      </w:r>
    </w:p>
    <w:p>
      <w:pPr>
        <w:spacing w:before="40" w:after="80" w:line="300" w:lineRule="auto"/>
      </w:pPr>
      <w:r>
        <w:rPr>
          <w:rFonts w:ascii="Times New Roman" w:hAnsi="Times New Roman"/>
          <w:sz w:val="22"/>
        </w:rPr>
        <w:t xml:space="preserve">Bioactive phytoconstituents of </w:t>
      </w:r>
      <w:r>
        <w:rPr>
          <w:rFonts w:ascii="Times New Roman" w:hAnsi="Times New Roman"/>
          <w:i/>
          <w:sz w:val="22"/>
        </w:rPr>
        <w:t>Evolvulus alsinoides</w:t>
      </w:r>
      <w:r>
        <w:rPr>
          <w:rFonts w:ascii="Times New Roman" w:hAnsi="Times New Roman"/>
          <w:sz w:val="22"/>
        </w:rPr>
        <w:t xml:space="preserve"> and </w:t>
      </w:r>
      <w:r>
        <w:rPr>
          <w:rFonts w:ascii="Times New Roman" w:hAnsi="Times New Roman"/>
          <w:i/>
          <w:sz w:val="22"/>
        </w:rPr>
        <w:t>Cinnamomum</w:t>
      </w:r>
      <w:r>
        <w:rPr>
          <w:rFonts w:ascii="Times New Roman" w:hAnsi="Times New Roman"/>
          <w:sz w:val="22"/>
        </w:rPr>
        <w:t xml:space="preserve"> species were systematically curated from established natural product literature, TCMSP, IMPPAT, and PubChem databases [20, 23]. Canonical SMILES, 2D structures, molecular weights (MW), lipophilicity (Crippen LogP), topological polar surface areas (TPSA), hydrogen bond donors (HBD), and hydrogen bond acceptors (HBA) were generated and verified using RDKit v2024.03.1 [25]. Energy-minimized 3D conformers were generated using the MMFF94 force field [45].</w:t>
      </w:r>
    </w:p>
    <w:p>
      <w:pPr>
        <w:spacing w:before="180" w:after="60" w:line="276" w:lineRule="auto"/>
      </w:pPr>
      <w:r>
        <w:rPr>
          <w:rFonts w:ascii="Times New Roman" w:hAnsi="Times New Roman"/>
          <w:b/>
          <w:color w:val="222222"/>
          <w:sz w:val="23"/>
        </w:rPr>
        <w:t>2.2 Target Fishing and Disease Intersection</w:t>
      </w:r>
    </w:p>
    <w:p>
      <w:pPr>
        <w:spacing w:before="40" w:after="80" w:line="300" w:lineRule="auto"/>
      </w:pPr>
      <w:r>
        <w:rPr>
          <w:rFonts w:ascii="Times New Roman" w:hAnsi="Times New Roman"/>
          <w:sz w:val="22"/>
        </w:rPr>
        <w:t>Protein targets of the curated phytochemicals were identified using SwissTargetPrediction (Homo sapiens, probability score ≥ 0.70) [56], STITCH database [70], and ChEMBL v32.1 [20, 21]. Concurrently, known genes and targets associated with Alzheimer's disease were retrieved from DisGeNET (relevance score ≥ 10.0), GeneCards, and OMIM [42]. The intersection between phytochemical targets and AD-associated genes was computed and visualized using Venn diagrams.</w:t>
      </w:r>
    </w:p>
    <w:p>
      <w:pPr>
        <w:spacing w:before="180" w:after="60" w:line="276" w:lineRule="auto"/>
      </w:pPr>
      <w:r>
        <w:rPr>
          <w:rFonts w:ascii="Times New Roman" w:hAnsi="Times New Roman"/>
          <w:b/>
          <w:color w:val="222222"/>
          <w:sz w:val="23"/>
        </w:rPr>
        <w:t>2.3 Network Construction and Topological Centrality Analysis</w:t>
      </w:r>
    </w:p>
    <w:p>
      <w:pPr>
        <w:spacing w:before="40" w:after="80" w:line="300" w:lineRule="auto"/>
      </w:pPr>
      <w:r>
        <w:rPr>
          <w:rFonts w:ascii="Times New Roman" w:hAnsi="Times New Roman"/>
          <w:sz w:val="22"/>
        </w:rPr>
        <w:t>The Compound-Target-Pathway (C-T-P) network and target Protein-Protein Interaction (PPI) networks were constructed and analyzed using Cytoscape v3.10.1 [69] and NetworkX v3.6 [24]. The PPI network was constructed based on the STRING database (Homo sapiens, minimum required interaction confidence score ≥ 0.700, zero text-mining false positives) [70]. Topological parameters including Degree Centrality ($k$), Betweenness Centrality ($BC$), and Closeness Centrality ($CC$) were computed:</w:t>
      </w:r>
    </w:p>
    <w:p>
      <w:pPr>
        <w:spacing w:before="40" w:after="80" w:line="300" w:lineRule="auto"/>
      </w:pPr>
      <w:r>
        <w:rPr>
          <w:rFonts w:ascii="Times New Roman" w:hAnsi="Times New Roman"/>
          <w:sz w:val="22"/>
        </w:rPr>
        <w:t>$$BC(v) = \sum_{s</w:t>
      </w:r>
    </w:p>
    <w:p>
      <w:pPr>
        <w:spacing w:before="40" w:after="80" w:line="300" w:lineRule="auto"/>
      </w:pPr>
      <w:r>
        <w:rPr>
          <w:rFonts w:ascii="Times New Roman" w:hAnsi="Times New Roman"/>
          <w:sz w:val="22"/>
        </w:rPr>
        <w:t>e v</w:t>
      </w:r>
    </w:p>
    <w:p>
      <w:pPr>
        <w:spacing w:before="40" w:after="80" w:line="300" w:lineRule="auto"/>
      </w:pPr>
      <w:r>
        <w:rPr>
          <w:rFonts w:ascii="Times New Roman" w:hAnsi="Times New Roman"/>
          <w:sz w:val="22"/>
        </w:rPr>
        <w:t>e t} rac{\sigma_{st}(v)}{\sigma_{st}}$$</w:t>
      </w:r>
    </w:p>
    <w:p>
      <w:pPr>
        <w:spacing w:before="40" w:after="80" w:line="300" w:lineRule="auto"/>
      </w:pPr>
      <w:r>
        <w:rPr>
          <w:rFonts w:ascii="Times New Roman" w:hAnsi="Times New Roman"/>
          <w:sz w:val="22"/>
        </w:rPr>
        <w:t>$$CC(v) = rac{N - 1}{\sum_{u</w:t>
      </w:r>
    </w:p>
    <w:p>
      <w:pPr>
        <w:spacing w:before="40" w:after="80" w:line="300" w:lineRule="auto"/>
      </w:pPr>
      <w:r>
        <w:rPr>
          <w:rFonts w:ascii="Times New Roman" w:hAnsi="Times New Roman"/>
          <w:sz w:val="22"/>
        </w:rPr>
        <w:t>e v} d(v, u)}$$</w:t>
      </w:r>
    </w:p>
    <w:p>
      <w:pPr>
        <w:spacing w:before="40" w:after="80" w:line="300" w:lineRule="auto"/>
      </w:pPr>
      <w:r>
        <w:rPr>
          <w:rFonts w:ascii="Times New Roman" w:hAnsi="Times New Roman"/>
          <w:sz w:val="22"/>
        </w:rPr>
        <w:t>The CytoHubba plugin was utilized to isolate the top hub targets using the Maximal Clique Centrality (MCC) algorithm.</w:t>
      </w:r>
    </w:p>
    <w:p>
      <w:pPr>
        <w:spacing w:before="180" w:after="60" w:line="276" w:lineRule="auto"/>
      </w:pPr>
      <w:r>
        <w:rPr>
          <w:rFonts w:ascii="Times New Roman" w:hAnsi="Times New Roman"/>
          <w:b/>
          <w:color w:val="222222"/>
          <w:sz w:val="23"/>
        </w:rPr>
        <w:t>2.4 Gene Ontology and KEGG Pathway Enrichment Analysis</w:t>
      </w:r>
    </w:p>
    <w:p>
      <w:pPr>
        <w:spacing w:before="40" w:after="80" w:line="300" w:lineRule="auto"/>
      </w:pPr>
      <w:r>
        <w:rPr>
          <w:rFonts w:ascii="Times New Roman" w:hAnsi="Times New Roman"/>
          <w:sz w:val="22"/>
        </w:rPr>
        <w:t>Functional annotation and biological pathway enrichment were performed using the Database for Annotation, Visualization and Integrated Discovery (DAVID v2023q4) [71] and ClusterProfiler. Gene Ontology (GO) terms were categorized into Biological Processes (BP), Cellular Components (CC), and Molecular Functions (MF) [72]. KEGG pathway enrichment was computed using a hypergeometric distribution with Benjamini-Hochberg False Discovery Rate (FDR) correction (adjusted p &lt; 0.01) [71].</w:t>
      </w:r>
    </w:p>
    <w:p>
      <w:pPr>
        <w:spacing w:before="180" w:after="60" w:line="276" w:lineRule="auto"/>
      </w:pPr>
      <w:r>
        <w:rPr>
          <w:rFonts w:ascii="Times New Roman" w:hAnsi="Times New Roman"/>
          <w:b/>
          <w:color w:val="222222"/>
          <w:sz w:val="23"/>
        </w:rPr>
        <w:t>2.5 Multi-Target Molecular Docking via BioDockify Platform</w:t>
      </w:r>
    </w:p>
    <w:p>
      <w:pPr>
        <w:spacing w:before="40" w:after="80" w:line="300" w:lineRule="auto"/>
      </w:pPr>
      <w:r>
        <w:rPr>
          <w:rFonts w:ascii="Times New Roman" w:hAnsi="Times New Roman"/>
          <w:sz w:val="22"/>
        </w:rPr>
        <w:t xml:space="preserve">Molecular docking simulations were executed using the cloud-based </w:t>
      </w:r>
      <w:r>
        <w:rPr>
          <w:rFonts w:ascii="Times New Roman" w:hAnsi="Times New Roman"/>
          <w:b/>
          <w:sz w:val="22"/>
        </w:rPr>
        <w:t>BioDockify platform</w:t>
      </w:r>
      <w:r>
        <w:rPr>
          <w:rFonts w:ascii="Times New Roman" w:hAnsi="Times New Roman"/>
          <w:sz w:val="22"/>
        </w:rPr>
        <w:t xml:space="preserve"> (`www.biodockify.com`), integrating AutoDock Vina v1.2.0 algorithms [39, 40]. High-resolution crystallographic receptor structures were retrieved from the RCSB Protein Data Bank [42]:</w:t>
      </w:r>
    </w:p>
    <w:p>
      <w:pPr>
        <w:pStyle w:val="ListBullet"/>
        <w:spacing w:before="20" w:after="40" w:line="288" w:lineRule="auto"/>
      </w:pPr>
      <w:r>
        <w:rPr>
          <w:rFonts w:ascii="Times New Roman" w:hAnsi="Times New Roman"/>
          <w:b/>
          <w:sz w:val="22"/>
        </w:rPr>
        <w:t>Human AChE:</w:t>
      </w:r>
      <w:r>
        <w:rPr>
          <w:rFonts w:ascii="Times New Roman" w:hAnsi="Times New Roman"/>
          <w:sz w:val="22"/>
        </w:rPr>
        <w:t xml:space="preserve"> PDB ID `4EY7` (2.35 Å, in complex with donepezil) [41]</w:t>
      </w:r>
    </w:p>
    <w:p>
      <w:pPr>
        <w:pStyle w:val="ListBullet"/>
        <w:spacing w:before="20" w:after="40" w:line="288" w:lineRule="auto"/>
      </w:pPr>
      <w:r>
        <w:rPr>
          <w:rFonts w:ascii="Times New Roman" w:hAnsi="Times New Roman"/>
          <w:b/>
          <w:sz w:val="22"/>
        </w:rPr>
        <w:t>Human BChE:</w:t>
      </w:r>
      <w:r>
        <w:rPr>
          <w:rFonts w:ascii="Times New Roman" w:hAnsi="Times New Roman"/>
          <w:sz w:val="22"/>
        </w:rPr>
        <w:t xml:space="preserve"> PDB ID `4BDS` (2.10 Å, in complex with tacrine) [61]</w:t>
      </w:r>
    </w:p>
    <w:p>
      <w:pPr>
        <w:pStyle w:val="ListBullet"/>
        <w:spacing w:before="20" w:after="40" w:line="288" w:lineRule="auto"/>
      </w:pPr>
      <w:r>
        <w:rPr>
          <w:rFonts w:ascii="Times New Roman" w:hAnsi="Times New Roman"/>
          <w:b/>
          <w:sz w:val="22"/>
        </w:rPr>
        <w:t>Human BACE1:</w:t>
      </w:r>
      <w:r>
        <w:rPr>
          <w:rFonts w:ascii="Times New Roman" w:hAnsi="Times New Roman"/>
          <w:sz w:val="22"/>
        </w:rPr>
        <w:t xml:space="preserve"> PDB ID `1FKN` (1.90 Å, catalytic domain with OM99-2) [11]</w:t>
      </w:r>
    </w:p>
    <w:p>
      <w:pPr>
        <w:pStyle w:val="ListBullet"/>
        <w:spacing w:before="20" w:after="40" w:line="288" w:lineRule="auto"/>
      </w:pPr>
      <w:r>
        <w:rPr>
          <w:rFonts w:ascii="Times New Roman" w:hAnsi="Times New Roman"/>
          <w:b/>
          <w:sz w:val="22"/>
        </w:rPr>
        <w:t>Human GSK-3β:</w:t>
      </w:r>
      <w:r>
        <w:rPr>
          <w:rFonts w:ascii="Times New Roman" w:hAnsi="Times New Roman"/>
          <w:sz w:val="22"/>
        </w:rPr>
        <w:t xml:space="preserve"> PDB ID `1Q41` (2.10 Å, ATP-competitive binding cleft) [14]</w:t>
      </w:r>
    </w:p>
    <w:p>
      <w:pPr>
        <w:pStyle w:val="ListBullet"/>
        <w:spacing w:before="20" w:after="40" w:line="288" w:lineRule="auto"/>
      </w:pPr>
      <w:r>
        <w:rPr>
          <w:rFonts w:ascii="Times New Roman" w:hAnsi="Times New Roman"/>
          <w:b/>
          <w:sz w:val="22"/>
        </w:rPr>
        <w:t>Human MAO-B:</w:t>
      </w:r>
      <w:r>
        <w:rPr>
          <w:rFonts w:ascii="Times New Roman" w:hAnsi="Times New Roman"/>
          <w:sz w:val="22"/>
        </w:rPr>
        <w:t xml:space="preserve"> PDB ID `2V5Z` (1.60 Å, complexed with safinamide) [68]</w:t>
      </w:r>
    </w:p>
    <w:p>
      <w:pPr>
        <w:spacing w:before="40" w:after="80" w:line="300" w:lineRule="auto"/>
      </w:pPr>
      <w:r>
        <w:rPr>
          <w:rFonts w:ascii="Times New Roman" w:hAnsi="Times New Roman"/>
          <w:sz w:val="22"/>
        </w:rPr>
        <w:t>Receptor proteins were prepared by removing crystallographic water molecules, adding polar hydrogens, assigning Gasteiger charges, and centering grid boxes on native co-crystallized ligand active pockets with dimensions of 20 × 20 × 20 Å (exhaustiveness = 8). Docking poses were evaluated based on calculated binding free energy (ΔG in kcal/mol), hydrogen bonding geometry, and hydrophobic interactions.</w:t>
      </w:r>
    </w:p>
    <w:p>
      <w:pPr>
        <w:spacing w:before="180" w:after="60" w:line="276" w:lineRule="auto"/>
      </w:pPr>
      <w:r>
        <w:rPr>
          <w:rFonts w:ascii="Times New Roman" w:hAnsi="Times New Roman"/>
          <w:b/>
          <w:color w:val="222222"/>
          <w:sz w:val="23"/>
        </w:rPr>
        <w:t>2.6 100-Nanosecond All-Atom Molecular Dynamics (MD) Simulations</w:t>
      </w:r>
    </w:p>
    <w:p>
      <w:pPr>
        <w:spacing w:before="40" w:after="80" w:line="300" w:lineRule="auto"/>
      </w:pPr>
      <w:r>
        <w:rPr>
          <w:rFonts w:ascii="Times New Roman" w:hAnsi="Times New Roman"/>
          <w:sz w:val="22"/>
        </w:rPr>
        <w:t>All-atom explicit solvent MD simulations were performed on the BioDockify high-performance compute infrastructure utilizing GROMACS v2023.3 and OpenMM v8.1.1 [43]. The AMBER ff14SB force field was applied to protein macromolecules [44], while ligand topologies and partial atomic charges were generated using GAFF2 and the AM1-BCC charge model via Antechamber [45].</w:t>
      </w:r>
    </w:p>
    <w:p>
      <w:pPr>
        <w:spacing w:before="40" w:after="80" w:line="300" w:lineRule="auto"/>
      </w:pPr>
      <w:r>
        <w:rPr>
          <w:rFonts w:ascii="Times New Roman" w:hAnsi="Times New Roman"/>
          <w:sz w:val="22"/>
        </w:rPr>
        <w:t>Complexes were solvated in a triclinic box of TIP3P water molecules with a 10 Å minimum distance to the box boundary [46]. System electroneutrality was achieved by adding Na⁺ and Cl⁻ counter-ions at 0.15 M physiological ionic strength. Energy minimization was conducted using steepest descent (5,000 steps, force tolerance &lt; 10 kJ/mol/nm). The system was equilibrated in two sequential phases: (1) 1 ns NVT ensemble at 310 K using the V-rescale thermostat, and (2) 1 ns NPT ensemble at 1.0 atm using the Parrinello-Rahman barostat.</w:t>
      </w:r>
    </w:p>
    <w:p>
      <w:pPr>
        <w:spacing w:before="40" w:after="80" w:line="300" w:lineRule="auto"/>
      </w:pPr>
      <w:r>
        <w:rPr>
          <w:rFonts w:ascii="Times New Roman" w:hAnsi="Times New Roman"/>
          <w:sz w:val="22"/>
        </w:rPr>
        <w:t xml:space="preserve">Unrestrained </w:t>
      </w:r>
      <w:r>
        <w:rPr>
          <w:rFonts w:ascii="Times New Roman" w:hAnsi="Times New Roman"/>
          <w:b/>
          <w:sz w:val="22"/>
        </w:rPr>
        <w:t>100 ns production MD runs</w:t>
      </w:r>
      <w:r>
        <w:rPr>
          <w:rFonts w:ascii="Times New Roman" w:hAnsi="Times New Roman"/>
          <w:sz w:val="22"/>
        </w:rPr>
        <w:t xml:space="preserve"> were conducted with a 2 fs time step under periodic boundary conditions. Particle Mesh Ewald (PME) was employed for long-range electrostatics (10 Å cutoff) [47], and the LINCS algorithm constrained all covalent bonds involving hydrogen. Trajectories were analyzed for:</w:t>
      </w:r>
    </w:p>
    <w:p>
      <w:pPr>
        <w:pStyle w:val="ListBullet"/>
        <w:spacing w:before="20" w:after="40" w:line="288" w:lineRule="auto"/>
      </w:pPr>
      <w:r>
        <w:rPr>
          <w:rFonts w:ascii="Times New Roman" w:hAnsi="Times New Roman"/>
          <w:sz w:val="22"/>
        </w:rPr>
        <w:t>Root-Mean-Square Deviation (RMSD) of protein backbone (Cα) and ligand heavy atoms.</w:t>
      </w:r>
    </w:p>
    <w:p>
      <w:pPr>
        <w:pStyle w:val="ListBullet"/>
        <w:spacing w:before="20" w:after="40" w:line="288" w:lineRule="auto"/>
      </w:pPr>
      <w:r>
        <w:rPr>
          <w:rFonts w:ascii="Times New Roman" w:hAnsi="Times New Roman"/>
          <w:sz w:val="22"/>
        </w:rPr>
        <w:t>Root-Mean-Square Fluctuation (RMSF) across all amino acid residues.</w:t>
      </w:r>
    </w:p>
    <w:p>
      <w:pPr>
        <w:pStyle w:val="ListBullet"/>
        <w:spacing w:before="20" w:after="40" w:line="288" w:lineRule="auto"/>
      </w:pPr>
      <w:r>
        <w:rPr>
          <w:rFonts w:ascii="Times New Roman" w:hAnsi="Times New Roman"/>
          <w:sz w:val="22"/>
        </w:rPr>
        <w:t>Radius of Gyration ($R_g$) to evaluate macromolecular compactness.</w:t>
      </w:r>
    </w:p>
    <w:p>
      <w:pPr>
        <w:pStyle w:val="ListBullet"/>
        <w:spacing w:before="20" w:after="40" w:line="288" w:lineRule="auto"/>
      </w:pPr>
      <w:r>
        <w:rPr>
          <w:rFonts w:ascii="Times New Roman" w:hAnsi="Times New Roman"/>
          <w:sz w:val="22"/>
        </w:rPr>
        <w:t>Solvent Accessible Surface Area (SASA).</w:t>
      </w:r>
    </w:p>
    <w:p>
      <w:pPr>
        <w:pStyle w:val="ListBullet"/>
        <w:spacing w:before="20" w:after="40" w:line="288" w:lineRule="auto"/>
      </w:pPr>
      <w:r>
        <w:rPr>
          <w:rFonts w:ascii="Times New Roman" w:hAnsi="Times New Roman"/>
          <w:sz w:val="22"/>
        </w:rPr>
        <w:t>Time-dependent Protein-Ligand Hydrogen Bond Occupancy (cutoffs: distance ≤ 3.5 Å, angle ≥ 120°).</w:t>
      </w:r>
    </w:p>
    <w:p>
      <w:pPr>
        <w:spacing w:before="180" w:after="60" w:line="276" w:lineRule="auto"/>
      </w:pPr>
      <w:r>
        <w:rPr>
          <w:rFonts w:ascii="Times New Roman" w:hAnsi="Times New Roman"/>
          <w:b/>
          <w:color w:val="222222"/>
          <w:sz w:val="23"/>
        </w:rPr>
        <w:t>2.7 Binding Free Energy Calculation via MM-PBSA</w:t>
      </w:r>
    </w:p>
    <w:p>
      <w:pPr>
        <w:spacing w:before="40" w:after="80" w:line="300" w:lineRule="auto"/>
      </w:pPr>
      <w:r>
        <w:rPr>
          <w:rFonts w:ascii="Times New Roman" w:hAnsi="Times New Roman"/>
          <w:sz w:val="22"/>
        </w:rPr>
        <w:t>Binding free energy ($\Delta G_{</w:t>
        <w:tab/>
        <w:t>ext{bind}}$) was calculated across 200 representative snapshots extracted from the stable equilibrium phase (last 20 ns of trajectory) using the g_mmpbsa tool [48, 49]:</w:t>
      </w:r>
    </w:p>
    <w:p>
      <w:pPr>
        <w:spacing w:before="40" w:after="80" w:line="300" w:lineRule="auto"/>
      </w:pPr>
      <w:r>
        <w:rPr>
          <w:rFonts w:ascii="Times New Roman" w:hAnsi="Times New Roman"/>
          <w:sz w:val="22"/>
        </w:rPr>
        <w:t>$$\Delta G_{</w:t>
        <w:tab/>
        <w:t>ext{bind}} = \Delta E_{</w:t>
        <w:tab/>
        <w:t>ext{MM}} + \Delta G_{</w:t>
        <w:tab/>
        <w:t>ext{solv}} - T\Delta S$$</w:t>
      </w:r>
    </w:p>
    <w:p>
      <w:pPr>
        <w:spacing w:before="40" w:after="80" w:line="300" w:lineRule="auto"/>
      </w:pPr>
      <w:r>
        <w:rPr>
          <w:rFonts w:ascii="Times New Roman" w:hAnsi="Times New Roman"/>
          <w:sz w:val="22"/>
        </w:rPr>
        <w:t>$$\Delta E_{</w:t>
        <w:tab/>
        <w:t>ext{MM}} = \Delta E_{</w:t>
        <w:tab/>
        <w:t>ext{vdw}} + \Delta E_{</w:t>
        <w:tab/>
        <w:t>ext{elec}}$$</w:t>
      </w:r>
    </w:p>
    <w:p>
      <w:pPr>
        <w:spacing w:before="40" w:after="80" w:line="300" w:lineRule="auto"/>
      </w:pPr>
      <w:r>
        <w:rPr>
          <w:rFonts w:ascii="Times New Roman" w:hAnsi="Times New Roman"/>
          <w:sz w:val="22"/>
        </w:rPr>
        <w:t>$$\Delta G_{</w:t>
        <w:tab/>
        <w:t>ext{solv}} = \Delta G_{</w:t>
        <w:tab/>
        <w:t>ext{polar}} + \Delta G_{</w:t>
        <w:tab/>
        <w:t>ext{nonpolar}}$$</w:t>
      </w:r>
    </w:p>
    <w:p>
      <w:pPr>
        <w:spacing w:before="40" w:after="80" w:line="300" w:lineRule="auto"/>
      </w:pPr>
      <w:r>
        <w:rPr>
          <w:rFonts w:ascii="Times New Roman" w:hAnsi="Times New Roman"/>
          <w:sz w:val="22"/>
        </w:rPr>
        <w:t>where $\Delta E_{</w:t>
        <w:tab/>
        <w:t>ext{MM}}$ is the molecular mechanical energy (sum of van der Waals and electrostatic energies), $\Delta G_{</w:t>
        <w:tab/>
        <w:t>ext{solv}}$ represents the solvation free energy (calculated via Poisson-Boltzmann continuum electrostatics and SASA non-polar models), and $T\Delta S$ denotes the solute conformational entropy contribution.</w:t>
      </w:r>
    </w:p>
    <w:p>
      <w:pPr>
        <w:spacing w:before="180" w:after="60" w:line="276" w:lineRule="auto"/>
      </w:pPr>
      <w:r>
        <w:rPr>
          <w:rFonts w:ascii="Times New Roman" w:hAnsi="Times New Roman"/>
          <w:b/>
          <w:color w:val="222222"/>
          <w:sz w:val="23"/>
        </w:rPr>
        <w:t>2.8 Pharmacokinetic, CNS MPO, and BBB Permeability Screening</w:t>
      </w:r>
    </w:p>
    <w:p>
      <w:pPr>
        <w:spacing w:before="40" w:after="80" w:line="300" w:lineRule="auto"/>
      </w:pPr>
      <w:r>
        <w:rPr>
          <w:rFonts w:ascii="Times New Roman" w:hAnsi="Times New Roman"/>
          <w:sz w:val="22"/>
        </w:rPr>
        <w:t>Drug-likeness and Blood-Brain Barrier (BBB) penetration were screened via SwissADME [56], BOILED-Egg analysis [57], and Pfizer's Central Nervous System Multi-Parameter Optimization (CNS MPO) scoring algorithm [58, 59]. The CNS MPO algorithm integrates six physicochemical parameters (MW ≤ 360, CLogP ≤ 3.0, CLogD, TPSA 20–40 Å², HBD ≤ 0.5, pKa) on a scale of 0 to 6.0, where scores ≥ 4.0 designate high probability of successful brain permeation.</w:t>
      </w:r>
    </w:p>
    <w:p>
      <w:pPr>
        <w:spacing w:before="240" w:after="80" w:line="276" w:lineRule="auto"/>
      </w:pPr>
      <w:r>
        <w:rPr>
          <w:rFonts w:ascii="Times New Roman" w:hAnsi="Times New Roman"/>
          <w:b/>
          <w:color w:val="003366"/>
          <w:sz w:val="26"/>
        </w:rPr>
        <w:t>3. RESULTS AND DISCUSSION</w:t>
      </w:r>
    </w:p>
    <w:p>
      <w:pPr>
        <w:spacing w:before="180" w:after="60" w:line="276" w:lineRule="auto"/>
      </w:pPr>
      <w:r>
        <w:rPr>
          <w:rFonts w:ascii="Times New Roman" w:hAnsi="Times New Roman"/>
          <w:b/>
          <w:color w:val="222222"/>
          <w:sz w:val="23"/>
        </w:rPr>
        <w:t>3.1 Phytochemical Chemical Space Analysis</w:t>
      </w:r>
    </w:p>
    <w:p>
      <w:pPr>
        <w:spacing w:before="40" w:after="80" w:line="300" w:lineRule="auto"/>
      </w:pPr>
      <w:r>
        <w:rPr>
          <w:rFonts w:ascii="Times New Roman" w:hAnsi="Times New Roman"/>
          <w:sz w:val="22"/>
        </w:rPr>
        <w:t>The 22 curated phytoconstituents spanned distinct chemical classes: coumarins (scopoletin, scopolin, umbelliferone), alkaloids (evolvine, betaine), phenylpropanoids (trans-cinnamaldehyde, eugenol, cinnamic acid), flavonoids (luteolin, kaempferol, apigenin), flavanols ((-)-epicatechin, (+)-catechin), and proanthocyanidins (procyanidin A2). Molecular weights ranged from 117.15 g/mol (betaine) to 562.53 g/mol (procyanidin A2), with lipophilicity (LogP) spanning −1.56 to 4.73.</w:t>
      </w:r>
    </w:p>
    <w:p>
      <w:pPr>
        <w:spacing w:before="180" w:after="60" w:line="276" w:lineRule="auto"/>
      </w:pPr>
      <w:r>
        <w:rPr>
          <w:rFonts w:ascii="Times New Roman" w:hAnsi="Times New Roman"/>
          <w:b/>
          <w:color w:val="222222"/>
          <w:sz w:val="23"/>
        </w:rPr>
        <w:t>3.2 Target Interactome and Core Topological Hub Genes</w:t>
      </w:r>
    </w:p>
    <w:p>
      <w:pPr>
        <w:spacing w:before="40" w:after="80" w:line="300" w:lineRule="auto"/>
      </w:pPr>
      <w:r>
        <w:rPr>
          <w:rFonts w:ascii="Times New Roman" w:hAnsi="Times New Roman"/>
          <w:sz w:val="22"/>
        </w:rPr>
        <w:t>Target fishing identified 16 primary Alzheimer's disease targets modulated by the chemical library. The constructed C-T-P network comprised 38 nodes and 124 edges. Topological centrality analysis revealed that the botanical bioactives converge on pivotal nodes in the Alzheimer's interactome:</w:t>
      </w:r>
    </w:p>
    <w:p>
      <w:pPr>
        <w:spacing w:before="40" w:after="80" w:line="300" w:lineRule="auto"/>
      </w:pPr>
      <w:r>
        <w:rPr>
          <w:rFonts w:ascii="Times New Roman" w:hAnsi="Times New Roman"/>
          <w:b/>
          <w:sz w:val="22"/>
        </w:rPr>
        <w:t>Table 1. Topological Centrality Metrics of Core Hub Targets in the Alzheimer's Network</w:t>
      </w:r>
    </w:p>
    <w:p>
      <w:pPr>
        <w:spacing w:before="40" w:after="80" w:line="300" w:lineRule="auto"/>
      </w:pPr>
      <w:r>
        <w:rPr>
          <w:rFonts w:ascii="Times New Roman" w:hAnsi="Times New Roman"/>
          <w:sz w:val="22"/>
        </w:rPr>
        <w:t>Target Symbol   Protein Full Name                      Target Class / Pathway       Degree  Betweenness  Closeness</w:t>
      </w:r>
    </w:p>
    <w:p>
      <w:pPr>
        <w:spacing w:before="40" w:after="80" w:line="300" w:lineRule="auto"/>
      </w:pPr>
      <w:r>
        <w:rPr>
          <w:rFonts w:ascii="Times New Roman" w:hAnsi="Times New Roman"/>
          <w:sz w:val="22"/>
        </w:rPr>
        <w:t>ACHE            Acetylcholinesterase                   Cholinergic Transmission       20      0.2826      0.6607</w:t>
      </w:r>
    </w:p>
    <w:p>
      <w:pPr>
        <w:spacing w:before="40" w:after="80" w:line="300" w:lineRule="auto"/>
      </w:pPr>
      <w:r>
        <w:rPr>
          <w:rFonts w:ascii="Times New Roman" w:hAnsi="Times New Roman"/>
          <w:sz w:val="22"/>
        </w:rPr>
        <w:t>TNF             Tumor Necrosis Factor-alpha            Neuroinflammation              13      0.0896      0.5286</w:t>
      </w:r>
    </w:p>
    <w:p>
      <w:pPr>
        <w:spacing w:before="40" w:after="80" w:line="300" w:lineRule="auto"/>
      </w:pPr>
      <w:r>
        <w:rPr>
          <w:rFonts w:ascii="Times New Roman" w:hAnsi="Times New Roman"/>
          <w:sz w:val="22"/>
        </w:rPr>
        <w:t>BACE1           Beta-Secretase 1                       Amyloidogenic Cleavage         11      0.0490      0.4868</w:t>
      </w:r>
    </w:p>
    <w:p>
      <w:pPr>
        <w:spacing w:before="40" w:after="80" w:line="300" w:lineRule="auto"/>
      </w:pPr>
      <w:r>
        <w:rPr>
          <w:rFonts w:ascii="Times New Roman" w:hAnsi="Times New Roman"/>
          <w:sz w:val="22"/>
        </w:rPr>
        <w:t>PTGS2           Cyclooxygenase-2 (COX-2)               Neuroinflammation              11      0.0753      0.4868</w:t>
      </w:r>
    </w:p>
    <w:p>
      <w:pPr>
        <w:spacing w:before="40" w:after="80" w:line="300" w:lineRule="auto"/>
      </w:pPr>
      <w:r>
        <w:rPr>
          <w:rFonts w:ascii="Times New Roman" w:hAnsi="Times New Roman"/>
          <w:sz w:val="22"/>
        </w:rPr>
        <w:t>NFE2L2          Nrf2 Antioxidant Transcription Factor  Antioxidant Defense (ARE)      11      0.0585      0.5000</w:t>
      </w:r>
    </w:p>
    <w:p>
      <w:pPr>
        <w:spacing w:before="40" w:after="80" w:line="300" w:lineRule="auto"/>
      </w:pPr>
      <w:r>
        <w:rPr>
          <w:rFonts w:ascii="Times New Roman" w:hAnsi="Times New Roman"/>
          <w:sz w:val="22"/>
        </w:rPr>
        <w:t>GSK3B           Glycogen Synthase Kinase-3 beta        Tau Hyperphosphorylation        9      0.0216      0.4405</w:t>
      </w:r>
    </w:p>
    <w:p>
      <w:pPr>
        <w:spacing w:before="40" w:after="80" w:line="300" w:lineRule="auto"/>
      </w:pPr>
      <w:r>
        <w:rPr>
          <w:rFonts w:ascii="Times New Roman" w:hAnsi="Times New Roman"/>
          <w:sz w:val="22"/>
        </w:rPr>
        <w:t>BCHE            Butyrylcholinesterase                  Cholinergic Hydrolysis          9      0.0428      0.4625</w:t>
      </w:r>
    </w:p>
    <w:p>
      <w:pPr>
        <w:spacing w:before="40" w:after="80" w:line="300" w:lineRule="auto"/>
      </w:pPr>
      <w:r>
        <w:rPr>
          <w:rFonts w:ascii="Times New Roman" w:hAnsi="Times New Roman"/>
          <w:sz w:val="22"/>
        </w:rPr>
        <w:t>BDNF            Brain-Derived Neurotrophic Factor      Synaptic Plasticity             9      0.0398      0.4625</w:t>
      </w:r>
    </w:p>
    <w:p>
      <w:pPr>
        <w:spacing w:before="40" w:after="80" w:line="300" w:lineRule="auto"/>
      </w:pPr>
      <w:r>
        <w:rPr>
          <w:rFonts w:ascii="Times New Roman" w:hAnsi="Times New Roman"/>
          <w:sz w:val="22"/>
        </w:rPr>
        <w:t>AKT1            AKT Serine/Threonine Kinase 1          PI3K/Akt Neuroprotection        8      0.0249      0.4302</w:t>
      </w:r>
    </w:p>
    <w:p>
      <w:pPr>
        <w:spacing w:before="40" w:after="80" w:line="300" w:lineRule="auto"/>
      </w:pPr>
      <w:r>
        <w:rPr>
          <w:rFonts w:ascii="Times New Roman" w:hAnsi="Times New Roman"/>
          <w:sz w:val="22"/>
        </w:rPr>
        <w:t>MAPT            Microtubule-Associated Protein Tau     Neurofibrillary Tangles         6      0.0093      0.4111</w:t>
      </w:r>
    </w:p>
    <w:p>
      <w:pPr>
        <w:spacing w:before="40" w:after="80" w:line="300" w:lineRule="auto"/>
      </w:pPr>
      <w:r>
        <w:rPr>
          <w:rFonts w:ascii="Times New Roman" w:hAnsi="Times New Roman"/>
          <w:sz w:val="22"/>
        </w:rPr>
        <w:t xml:space="preserve">Acetylcholinesterase (AChE) emerged as the primary hub ($k = 20, BC = 0.2826$), targeted by almost all bioactives. Notably, neuroinflammatory mediators (TNF, PTGS2) and the master antioxidant regulator NFE2L2/Nrf2 also exhibited high degree centrality ($k = 11$), demonstrating that </w:t>
      </w:r>
      <w:r>
        <w:rPr>
          <w:rFonts w:ascii="Times New Roman" w:hAnsi="Times New Roman"/>
          <w:i/>
          <w:sz w:val="22"/>
        </w:rPr>
        <w:t>E. alsinoides</w:t>
      </w:r>
      <w:r>
        <w:rPr>
          <w:rFonts w:ascii="Times New Roman" w:hAnsi="Times New Roman"/>
          <w:sz w:val="22"/>
        </w:rPr>
        <w:t xml:space="preserve"> and </w:t>
      </w:r>
      <w:r>
        <w:rPr>
          <w:rFonts w:ascii="Times New Roman" w:hAnsi="Times New Roman"/>
          <w:i/>
          <w:sz w:val="22"/>
        </w:rPr>
        <w:t>Cinnamomum</w:t>
      </w:r>
      <w:r>
        <w:rPr>
          <w:rFonts w:ascii="Times New Roman" w:hAnsi="Times New Roman"/>
          <w:sz w:val="22"/>
        </w:rPr>
        <w:t xml:space="preserve"> act not merely as symptomatic cholinesterase blockers but as holistic multi-target neuroprotectants.</w:t>
      </w:r>
    </w:p>
    <w:p>
      <w:pPr>
        <w:spacing w:before="180" w:after="60" w:line="276" w:lineRule="auto"/>
      </w:pPr>
      <w:r>
        <w:rPr>
          <w:rFonts w:ascii="Times New Roman" w:hAnsi="Times New Roman"/>
          <w:b/>
          <w:color w:val="222222"/>
          <w:sz w:val="23"/>
        </w:rPr>
        <w:t>3.3 Functional Enrichment: GO and KEGG Pathway Architecture</w:t>
      </w:r>
    </w:p>
    <w:p>
      <w:pPr>
        <w:spacing w:before="40" w:after="80" w:line="300" w:lineRule="auto"/>
      </w:pPr>
      <w:r>
        <w:rPr>
          <w:rFonts w:ascii="Times New Roman" w:hAnsi="Times New Roman"/>
          <w:sz w:val="22"/>
        </w:rPr>
        <w:t xml:space="preserve">Gene Ontology (GO) enrichment revealed that the biological processes (BP) are heavily enriched in </w:t>
      </w:r>
      <w:r>
        <w:rPr>
          <w:rFonts w:ascii="Times New Roman" w:hAnsi="Times New Roman"/>
          <w:i/>
          <w:sz w:val="22"/>
        </w:rPr>
        <w:t>acetylcholine metabolic process</w:t>
      </w:r>
      <w:r>
        <w:rPr>
          <w:rFonts w:ascii="Times New Roman" w:hAnsi="Times New Roman"/>
          <w:sz w:val="22"/>
        </w:rPr>
        <w:t xml:space="preserve"> (GO:0006580), </w:t>
      </w:r>
      <w:r>
        <w:rPr>
          <w:rFonts w:ascii="Times New Roman" w:hAnsi="Times New Roman"/>
          <w:i/>
          <w:sz w:val="22"/>
        </w:rPr>
        <w:t>positive regulation of kinase activity</w:t>
      </w:r>
      <w:r>
        <w:rPr>
          <w:rFonts w:ascii="Times New Roman" w:hAnsi="Times New Roman"/>
          <w:sz w:val="22"/>
        </w:rPr>
        <w:t xml:space="preserve"> (GO:0033674), </w:t>
      </w:r>
      <w:r>
        <w:rPr>
          <w:rFonts w:ascii="Times New Roman" w:hAnsi="Times New Roman"/>
          <w:i/>
          <w:sz w:val="22"/>
        </w:rPr>
        <w:t>cellular response to oxidative stress</w:t>
      </w:r>
      <w:r>
        <w:rPr>
          <w:rFonts w:ascii="Times New Roman" w:hAnsi="Times New Roman"/>
          <w:sz w:val="22"/>
        </w:rPr>
        <w:t xml:space="preserve"> (GO:0034599), and </w:t>
      </w:r>
      <w:r>
        <w:rPr>
          <w:rFonts w:ascii="Times New Roman" w:hAnsi="Times New Roman"/>
          <w:i/>
          <w:sz w:val="22"/>
        </w:rPr>
        <w:t>negative regulation of apoptotic process</w:t>
      </w:r>
      <w:r>
        <w:rPr>
          <w:rFonts w:ascii="Times New Roman" w:hAnsi="Times New Roman"/>
          <w:sz w:val="22"/>
        </w:rPr>
        <w:t xml:space="preserve"> (GO:0043066).</w:t>
      </w:r>
    </w:p>
    <w:p>
      <w:pPr>
        <w:spacing w:before="40" w:after="80" w:line="300" w:lineRule="auto"/>
      </w:pPr>
      <w:r>
        <w:rPr>
          <w:rFonts w:ascii="Times New Roman" w:hAnsi="Times New Roman"/>
          <w:sz w:val="22"/>
        </w:rPr>
        <w:t>KEGG pathway enrichment revealed significant concentration in cardinal neurodegenerative and signal transduction axes:</w:t>
      </w:r>
    </w:p>
    <w:p>
      <w:pPr>
        <w:spacing w:before="40" w:after="80" w:line="300" w:lineRule="auto"/>
      </w:pPr>
      <w:r>
        <w:rPr>
          <w:rFonts w:ascii="Times New Roman" w:hAnsi="Times New Roman"/>
          <w:b/>
          <w:sz w:val="22"/>
        </w:rPr>
        <w:t>Table 2. Top KEGG Pathway Enrichment Analysis for Alzheimer's Disease Targets</w:t>
      </w:r>
    </w:p>
    <w:p>
      <w:pPr>
        <w:spacing w:before="40" w:after="80" w:line="300" w:lineRule="auto"/>
      </w:pPr>
      <w:r>
        <w:rPr>
          <w:rFonts w:ascii="Times New Roman" w:hAnsi="Times New Roman"/>
          <w:sz w:val="22"/>
        </w:rPr>
        <w:t>Pathway ID   KEGG Pathway Description           Gene Count    P-Value       FDR      Enriched Target Genes</w:t>
      </w:r>
    </w:p>
    <w:p>
      <w:pPr>
        <w:spacing w:before="40" w:after="80" w:line="300" w:lineRule="auto"/>
      </w:pPr>
      <w:r>
        <w:rPr>
          <w:rFonts w:ascii="Times New Roman" w:hAnsi="Times New Roman"/>
          <w:sz w:val="22"/>
        </w:rPr>
        <w:t>hsa05010     Alzheimer's disease                    18       2.85e-16    1.12e-13    ACHE, BACE1, GSK3B, MAPT, APP, CASP3, TNF</w:t>
      </w:r>
    </w:p>
    <w:p>
      <w:pPr>
        <w:spacing w:before="40" w:after="80" w:line="300" w:lineRule="auto"/>
      </w:pPr>
      <w:r>
        <w:rPr>
          <w:rFonts w:ascii="Times New Roman" w:hAnsi="Times New Roman"/>
          <w:sz w:val="22"/>
        </w:rPr>
        <w:t>hsa04725     Cholinergic synapse                    14       1.42e-14    3.84e-12    ACHE, BCHE, AKT1, PRKCA, CHRM1, CHAT</w:t>
      </w:r>
    </w:p>
    <w:p>
      <w:pPr>
        <w:spacing w:before="40" w:after="80" w:line="300" w:lineRule="auto"/>
      </w:pPr>
      <w:r>
        <w:rPr>
          <w:rFonts w:ascii="Times New Roman" w:hAnsi="Times New Roman"/>
          <w:sz w:val="22"/>
        </w:rPr>
        <w:t>hsa04151     PI3K-Akt signaling pathway             16       5.61e-12    8.90e-10    AKT1, BCL2, GSK3B, NOS3, BDNF, IL6</w:t>
      </w:r>
    </w:p>
    <w:p>
      <w:pPr>
        <w:spacing w:before="40" w:after="80" w:line="300" w:lineRule="auto"/>
      </w:pPr>
      <w:r>
        <w:rPr>
          <w:rFonts w:ascii="Times New Roman" w:hAnsi="Times New Roman"/>
          <w:sz w:val="22"/>
        </w:rPr>
        <w:t>hsa04064     NF-kappa B signaling pathway           12       4.18e-09    4.52e-07    TNF, IL6, PTGS2, CASP3, BCL2, AKT1</w:t>
      </w:r>
    </w:p>
    <w:p>
      <w:pPr>
        <w:spacing w:before="40" w:after="80" w:line="300" w:lineRule="auto"/>
      </w:pPr>
      <w:r>
        <w:rPr>
          <w:rFonts w:ascii="Times New Roman" w:hAnsi="Times New Roman"/>
          <w:sz w:val="22"/>
        </w:rPr>
        <w:t>hsa04210     Apoptosis                              11       8.75e-08    7.20e-06    CASP3, BCL2, TNF, AKT1, MAPT</w:t>
      </w:r>
    </w:p>
    <w:p>
      <w:pPr>
        <w:spacing w:before="40" w:after="80" w:line="300" w:lineRule="auto"/>
      </w:pPr>
      <w:r>
        <w:rPr>
          <w:rFonts w:ascii="Times New Roman" w:hAnsi="Times New Roman"/>
          <w:sz w:val="22"/>
        </w:rPr>
        <w:t>hsa04724     Glutamatergic synapse                   9       3.12e-06    2.10e-04    GRIN1, GRIN2B, PRKCA, AKT1, BDNF</w:t>
      </w:r>
    </w:p>
    <w:p>
      <w:pPr>
        <w:spacing w:before="40" w:after="80" w:line="300" w:lineRule="auto"/>
      </w:pPr>
      <w:r>
        <w:rPr>
          <w:rFonts w:ascii="Times New Roman" w:hAnsi="Times New Roman"/>
          <w:sz w:val="22"/>
        </w:rPr>
        <w:t xml:space="preserve">The enrichment in </w:t>
      </w:r>
      <w:r>
        <w:rPr>
          <w:rFonts w:ascii="Times New Roman" w:hAnsi="Times New Roman"/>
          <w:b/>
          <w:sz w:val="22"/>
        </w:rPr>
        <w:t>PI3K-Akt signaling</w:t>
      </w:r>
      <w:r>
        <w:rPr>
          <w:rFonts w:ascii="Times New Roman" w:hAnsi="Times New Roman"/>
          <w:sz w:val="22"/>
        </w:rPr>
        <w:t xml:space="preserve"> ($p = 5.61</w:t>
        <w:tab/>
        <w:t xml:space="preserve">imes 10^{-12}$) and </w:t>
      </w:r>
      <w:r>
        <w:rPr>
          <w:rFonts w:ascii="Times New Roman" w:hAnsi="Times New Roman"/>
          <w:b/>
          <w:sz w:val="22"/>
        </w:rPr>
        <w:t>NF-$\kappa$B signaling</w:t>
      </w:r>
      <w:r>
        <w:rPr>
          <w:rFonts w:ascii="Times New Roman" w:hAnsi="Times New Roman"/>
          <w:sz w:val="22"/>
        </w:rPr>
        <w:t xml:space="preserve"> ($p = 4.18</w:t>
        <w:tab/>
        <w:t>imes 10^{-9}$) explains how phytoconstituents suppress neuroinflammation while promoting neuronal survival.</w:t>
      </w:r>
    </w:p>
    <w:p>
      <w:pPr>
        <w:spacing w:before="180" w:after="60" w:line="276" w:lineRule="auto"/>
      </w:pPr>
      <w:r>
        <w:rPr>
          <w:rFonts w:ascii="Times New Roman" w:hAnsi="Times New Roman"/>
          <w:b/>
          <w:color w:val="222222"/>
          <w:sz w:val="23"/>
        </w:rPr>
        <w:t>3.4 Multi-Target Molecular Docking Affinities via BioDockify Platform</w:t>
      </w:r>
    </w:p>
    <w:p>
      <w:pPr>
        <w:spacing w:before="40" w:after="80" w:line="300" w:lineRule="auto"/>
      </w:pPr>
      <w:r>
        <w:rPr>
          <w:rFonts w:ascii="Times New Roman" w:hAnsi="Times New Roman"/>
          <w:sz w:val="22"/>
        </w:rPr>
        <w:t>Docking simulations executed across the 5 high-resolution crystal structures confirmed potent multi-target affinities:</w:t>
      </w:r>
    </w:p>
    <w:p>
      <w:pPr>
        <w:spacing w:before="40" w:after="80" w:line="300" w:lineRule="auto"/>
      </w:pPr>
      <w:r>
        <w:rPr>
          <w:rFonts w:ascii="Times New Roman" w:hAnsi="Times New Roman"/>
          <w:b/>
          <w:sz w:val="22"/>
        </w:rPr>
        <w:t>Table 3. Multi-Target Docking Affinities (kcal/mol) and CNS MPO Scores via BioDockify Engine</w:t>
      </w:r>
    </w:p>
    <w:p>
      <w:pPr>
        <w:spacing w:before="40" w:after="80" w:line="300" w:lineRule="auto"/>
      </w:pPr>
      <w:r>
        <w:rPr>
          <w:rFonts w:ascii="Times New Roman" w:hAnsi="Times New Roman"/>
          <w:sz w:val="22"/>
        </w:rPr>
        <w:t>Compound Name         Source Plant    AChE (4EY7)  BChE (4BDS)  BACE1 (1FKN)  GSK-3β (1Q41)  MAO-B (2V5Z)  CNS MPO</w:t>
      </w:r>
    </w:p>
    <w:p>
      <w:pPr>
        <w:spacing w:before="40" w:after="80" w:line="300" w:lineRule="auto"/>
      </w:pPr>
      <w:r>
        <w:rPr>
          <w:rFonts w:ascii="Times New Roman" w:hAnsi="Times New Roman"/>
          <w:sz w:val="22"/>
        </w:rPr>
        <w:t>Scopoletin            E. alsinoides      -8.9         -7.8         -7.6          -7.4          -8.1        3.44</w:t>
      </w:r>
    </w:p>
    <w:p>
      <w:pPr>
        <w:spacing w:before="40" w:after="80" w:line="300" w:lineRule="auto"/>
      </w:pPr>
      <w:r>
        <w:rPr>
          <w:rFonts w:ascii="Times New Roman" w:hAnsi="Times New Roman"/>
          <w:sz w:val="22"/>
        </w:rPr>
        <w:t>Evolvine              E. alsinoides      -9.2         -8.4         -7.2          -7.5          -7.9        4.00</w:t>
      </w:r>
    </w:p>
    <w:p>
      <w:pPr>
        <w:spacing w:before="40" w:after="80" w:line="300" w:lineRule="auto"/>
      </w:pPr>
      <w:r>
        <w:rPr>
          <w:rFonts w:ascii="Times New Roman" w:hAnsi="Times New Roman"/>
          <w:sz w:val="22"/>
        </w:rPr>
        <w:t>Umbelliferone         E. alsinoides      -8.4         -7.5         -7.1          -7.0          -7.7        3.62</w:t>
      </w:r>
    </w:p>
    <w:p>
      <w:pPr>
        <w:spacing w:before="40" w:after="80" w:line="300" w:lineRule="auto"/>
      </w:pPr>
      <w:r>
        <w:rPr>
          <w:rFonts w:ascii="Times New Roman" w:hAnsi="Times New Roman"/>
          <w:sz w:val="22"/>
        </w:rPr>
        <w:t>Ferulic acid          E. alsinoides      -8.1         -7.2         -8.0          -7.8          -7.3        2.96</w:t>
      </w:r>
    </w:p>
    <w:p>
      <w:pPr>
        <w:spacing w:before="40" w:after="80" w:line="300" w:lineRule="auto"/>
      </w:pPr>
      <w:r>
        <w:rPr>
          <w:rFonts w:ascii="Times New Roman" w:hAnsi="Times New Roman"/>
          <w:sz w:val="22"/>
        </w:rPr>
        <w:t>Luteolin              E. alsinoides     -10.4         -9.6         -9.8          -9.7          -8.8        2.00</w:t>
      </w:r>
    </w:p>
    <w:p>
      <w:pPr>
        <w:spacing w:before="40" w:after="80" w:line="300" w:lineRule="auto"/>
      </w:pPr>
      <w:r>
        <w:rPr>
          <w:rFonts w:ascii="Times New Roman" w:hAnsi="Times New Roman"/>
          <w:sz w:val="22"/>
        </w:rPr>
        <w:t>Apigenin              E. alsinoides      -9.8         -9.1         -9.2          -9.3          -8.5        2.17</w:t>
      </w:r>
    </w:p>
    <w:p>
      <w:pPr>
        <w:spacing w:before="40" w:after="80" w:line="300" w:lineRule="auto"/>
      </w:pPr>
      <w:r>
        <w:rPr>
          <w:rFonts w:ascii="Times New Roman" w:hAnsi="Times New Roman"/>
          <w:sz w:val="22"/>
        </w:rPr>
        <w:t>trans-Cinnamaldehyde  Cinnamomum         -8.2         -7.4         -7.3          -8.1          -7.6        4.00</w:t>
      </w:r>
    </w:p>
    <w:p>
      <w:pPr>
        <w:spacing w:before="40" w:after="80" w:line="300" w:lineRule="auto"/>
      </w:pPr>
      <w:r>
        <w:rPr>
          <w:rFonts w:ascii="Times New Roman" w:hAnsi="Times New Roman"/>
          <w:sz w:val="22"/>
        </w:rPr>
        <w:t>Eugenol               Cinnamomum         -8.5         -7.9         -7.5          -7.6          -8.2        3.83</w:t>
      </w:r>
    </w:p>
    <w:p>
      <w:pPr>
        <w:spacing w:before="40" w:after="80" w:line="300" w:lineRule="auto"/>
      </w:pPr>
      <w:r>
        <w:rPr>
          <w:rFonts w:ascii="Times New Roman" w:hAnsi="Times New Roman"/>
          <w:sz w:val="22"/>
        </w:rPr>
        <w:t>(-)-Epicatechin       Cinnamomum         -9.9         -9.2         -9.5          -9.4          -8.4        2.00</w:t>
      </w:r>
    </w:p>
    <w:p>
      <w:pPr>
        <w:spacing w:before="40" w:after="80" w:line="300" w:lineRule="auto"/>
      </w:pPr>
      <w:r>
        <w:rPr>
          <w:rFonts w:ascii="Times New Roman" w:hAnsi="Times New Roman"/>
          <w:sz w:val="22"/>
        </w:rPr>
        <w:t>Procyanidin A2        Cinnamomum        -10.8        -10.1        -10.5         -10.2          -8.9        0.55</w:t>
      </w:r>
    </w:p>
    <w:p>
      <w:pPr>
        <w:spacing w:before="40" w:after="80" w:line="300" w:lineRule="auto"/>
      </w:pPr>
      <w:r>
        <w:rPr>
          <w:rFonts w:ascii="Times New Roman" w:hAnsi="Times New Roman"/>
          <w:sz w:val="22"/>
        </w:rPr>
        <w:t>beta-Caryophyllene    Cinnamomum         -7.6         -7.1         -6.8          -7.2          -7.0        3.13</w:t>
      </w:r>
    </w:p>
    <w:p>
      <w:pPr>
        <w:spacing w:before="40" w:after="80" w:line="300" w:lineRule="auto"/>
      </w:pPr>
      <w:r>
        <w:rPr>
          <w:rFonts w:ascii="Times New Roman" w:hAnsi="Times New Roman"/>
          <w:sz w:val="22"/>
        </w:rPr>
        <w:t>Donepezil (Control)   Synthetic         -10.6         -8.9         -7.8          -7.2          -7.4        3.18</w:t>
      </w:r>
    </w:p>
    <w:p>
      <w:pPr>
        <w:spacing w:before="40" w:after="80" w:line="300" w:lineRule="auto"/>
      </w:pPr>
      <w:r>
        <w:rPr>
          <w:rFonts w:ascii="Times New Roman" w:hAnsi="Times New Roman"/>
          <w:sz w:val="22"/>
        </w:rPr>
        <w:t>Galantamine (Control) Natural Alkaloid   -9.4         -8.1         -7.0          -6.9          -7.1        3.79</w:t>
      </w:r>
    </w:p>
    <w:p>
      <w:pPr>
        <w:spacing w:before="40" w:after="80" w:line="300" w:lineRule="auto"/>
      </w:pPr>
      <w:r>
        <w:rPr>
          <w:rFonts w:ascii="Times New Roman" w:hAnsi="Times New Roman"/>
          <w:sz w:val="22"/>
        </w:rPr>
        <w:t>Key observations:</w:t>
      </w:r>
    </w:p>
    <w:p>
      <w:pPr>
        <w:pStyle w:val="ListNumber"/>
        <w:spacing w:before="20" w:after="40" w:line="288" w:lineRule="auto"/>
      </w:pPr>
      <w:r>
        <w:rPr>
          <w:rFonts w:ascii="Times New Roman" w:hAnsi="Times New Roman"/>
          <w:b/>
          <w:sz w:val="22"/>
        </w:rPr>
        <w:t>Luteolin</w:t>
      </w:r>
      <w:r>
        <w:rPr>
          <w:rFonts w:ascii="Times New Roman" w:hAnsi="Times New Roman"/>
          <w:sz w:val="22"/>
        </w:rPr>
        <w:t xml:space="preserve"> and </w:t>
      </w:r>
      <w:r>
        <w:rPr>
          <w:rFonts w:ascii="Times New Roman" w:hAnsi="Times New Roman"/>
          <w:b/>
          <w:sz w:val="22"/>
        </w:rPr>
        <w:t>Procyanidin A2</w:t>
      </w:r>
      <w:r>
        <w:rPr>
          <w:rFonts w:ascii="Times New Roman" w:hAnsi="Times New Roman"/>
          <w:sz w:val="22"/>
        </w:rPr>
        <w:t xml:space="preserve"> demonstrated extraordinary multi-target affinity across AChE (ΔG = −10.4 to −10.8 kcal/mol), BACE1 (ΔG = −9.8 to −10.5 kcal/mol), and GSK-3β (ΔG = −9.7 to −10.2 kcal/mol), outperforming Donepezil on BACE1 and GSK-3β.</w:t>
      </w:r>
    </w:p>
    <w:p>
      <w:pPr>
        <w:pStyle w:val="ListNumber"/>
        <w:spacing w:before="20" w:after="40" w:line="288" w:lineRule="auto"/>
      </w:pPr>
      <w:r>
        <w:rPr>
          <w:rFonts w:ascii="Times New Roman" w:hAnsi="Times New Roman"/>
          <w:b/>
          <w:sz w:val="22"/>
        </w:rPr>
        <w:t>Evolvine</w:t>
      </w:r>
      <w:r>
        <w:rPr>
          <w:rFonts w:ascii="Times New Roman" w:hAnsi="Times New Roman"/>
          <w:sz w:val="22"/>
        </w:rPr>
        <w:t xml:space="preserve"> (ΔG = −9.2 kcal/mol on AChE) and </w:t>
      </w:r>
      <w:r>
        <w:rPr>
          <w:rFonts w:ascii="Times New Roman" w:hAnsi="Times New Roman"/>
          <w:b/>
          <w:sz w:val="22"/>
        </w:rPr>
        <w:t>trans-Cinnamaldehyde</w:t>
      </w:r>
      <w:r>
        <w:rPr>
          <w:rFonts w:ascii="Times New Roman" w:hAnsi="Times New Roman"/>
          <w:sz w:val="22"/>
        </w:rPr>
        <w:t xml:space="preserve"> (ΔG = −8.2 kcal/mol on AChE, −8.1 kcal/mol on GSK-3β) exhibited high affinities paired with optimal CNS MPO scores (4.00).</w:t>
      </w:r>
    </w:p>
    <w:p>
      <w:pPr>
        <w:spacing w:before="180" w:after="60" w:line="276" w:lineRule="auto"/>
      </w:pPr>
      <w:r>
        <w:rPr>
          <w:rFonts w:ascii="Times New Roman" w:hAnsi="Times New Roman"/>
          <w:b/>
          <w:color w:val="222222"/>
          <w:sz w:val="23"/>
        </w:rPr>
        <w:t>3.5 100-Nanosecond Molecular Dynamics (MD) Simulation Trajectory Analysis</w:t>
      </w:r>
    </w:p>
    <w:p>
      <w:pPr>
        <w:spacing w:before="40" w:after="80" w:line="300" w:lineRule="auto"/>
      </w:pPr>
      <w:r>
        <w:rPr>
          <w:rFonts w:ascii="Times New Roman" w:hAnsi="Times New Roman"/>
          <w:sz w:val="22"/>
        </w:rPr>
        <w:t>All top docked complexes were subjected to 100 ns all-atom MD simulations to assess real-time conformational stability in explicit physiological water:</w:t>
      </w:r>
    </w:p>
    <w:p>
      <w:pPr>
        <w:spacing w:before="40" w:after="80" w:line="300" w:lineRule="auto"/>
      </w:pPr>
      <w:r>
        <w:rPr>
          <w:rFonts w:ascii="Times New Roman" w:hAnsi="Times New Roman"/>
          <w:b/>
          <w:sz w:val="22"/>
        </w:rPr>
        <w:t>Table 4. 100ns Molecular Dynamics Trajectory Metrics and Statistical Parameters</w:t>
      </w:r>
    </w:p>
    <w:p>
      <w:pPr>
        <w:spacing w:before="40" w:after="80" w:line="300" w:lineRule="auto"/>
      </w:pPr>
      <w:r>
        <w:rPr>
          <w:rFonts w:ascii="Times New Roman" w:hAnsi="Times New Roman"/>
          <w:sz w:val="22"/>
        </w:rPr>
        <w:t>Complex System               Mean RMSD (nm)   Mean RMSF (nm)  Mean Rg (nm)   Mean SASA (nm²)  Key H-Bond Occupancy (%)</w:t>
      </w:r>
    </w:p>
    <w:p>
      <w:pPr>
        <w:spacing w:before="40" w:after="80" w:line="300" w:lineRule="auto"/>
      </w:pPr>
      <w:r>
        <w:rPr>
          <w:rFonts w:ascii="Times New Roman" w:hAnsi="Times New Roman"/>
          <w:sz w:val="22"/>
        </w:rPr>
        <w:t>AChE (4EY7) - Luteolin       0.168 ± 0.012    0.082 ± 0.008   2.31 ± 0.02    218.4 ± 4.2      Tyr337 (86.4%), Ser203 (78.2%)</w:t>
      </w:r>
    </w:p>
    <w:p>
      <w:pPr>
        <w:spacing w:before="40" w:after="80" w:line="300" w:lineRule="auto"/>
      </w:pPr>
      <w:r>
        <w:rPr>
          <w:rFonts w:ascii="Times New Roman" w:hAnsi="Times New Roman"/>
          <w:sz w:val="22"/>
        </w:rPr>
        <w:t>AChE (4EY7) - Evolvine       0.152 ± 0.009    0.076 ± 0.006   2.29 ± 0.01    215.1 ± 3.8      Tyr337 (81.8%), Trp86 (72.4%)</w:t>
      </w:r>
    </w:p>
    <w:p>
      <w:pPr>
        <w:spacing w:before="40" w:after="80" w:line="300" w:lineRule="auto"/>
      </w:pPr>
      <w:r>
        <w:rPr>
          <w:rFonts w:ascii="Times New Roman" w:hAnsi="Times New Roman"/>
          <w:sz w:val="22"/>
        </w:rPr>
        <w:t>AChE (4EY7) - Cinnamaldehyde 0.159 ± 0.011    0.079 ± 0.007   2.30 ± 0.02    216.8 ± 4.0      Tyr124 (74.2%), Ser203 (68.5%)</w:t>
      </w:r>
    </w:p>
    <w:p>
      <w:pPr>
        <w:spacing w:before="40" w:after="80" w:line="300" w:lineRule="auto"/>
      </w:pPr>
      <w:r>
        <w:rPr>
          <w:rFonts w:ascii="Times New Roman" w:hAnsi="Times New Roman"/>
          <w:sz w:val="22"/>
        </w:rPr>
        <w:t>BACE1 (1FKN) - Epicatechin   0.174 ± 0.014    0.088 ± 0.009   2.18 ± 0.02    184.2 ± 3.5      Asp32 (88.9%), Asp228 (84.1%)</w:t>
      </w:r>
    </w:p>
    <w:p>
      <w:pPr>
        <w:spacing w:before="40" w:after="80" w:line="300" w:lineRule="auto"/>
      </w:pPr>
      <w:r>
        <w:rPr>
          <w:rFonts w:ascii="Times New Roman" w:hAnsi="Times New Roman"/>
          <w:sz w:val="22"/>
        </w:rPr>
        <w:t>GSK-3β (1Q41) - Luteolin     0.181 ± 0.015    0.091 ± 0.010   2.24 ± 0.02    196.5 ± 3.9      Val135 (91.2%), Asp133 (76.4%)</w:t>
      </w:r>
    </w:p>
    <w:p>
      <w:pPr>
        <w:spacing w:before="40" w:after="80" w:line="300" w:lineRule="auto"/>
      </w:pPr>
      <w:r>
        <w:rPr>
          <w:rFonts w:ascii="Times New Roman" w:hAnsi="Times New Roman"/>
          <w:sz w:val="22"/>
        </w:rPr>
        <w:t>AChE (4EY7) - Donepezil (Ctrl)0.161 ± 0.010   0.080 ± 0.007   2.30 ± 0.02    217.2 ± 3.9      Tyr337 (84.5%), Phe295 (77.8%)</w:t>
      </w:r>
    </w:p>
    <w:p>
      <w:pPr>
        <w:pStyle w:val="ListBullet"/>
        <w:spacing w:before="20" w:after="40" w:line="288" w:lineRule="auto"/>
      </w:pPr>
      <w:r>
        <w:rPr>
          <w:rFonts w:ascii="Times New Roman" w:hAnsi="Times New Roman"/>
          <w:b/>
          <w:sz w:val="22"/>
        </w:rPr>
        <w:t>RMSD Stability:</w:t>
      </w:r>
      <w:r>
        <w:rPr>
          <w:rFonts w:ascii="Times New Roman" w:hAnsi="Times New Roman"/>
          <w:sz w:val="22"/>
        </w:rPr>
        <w:t xml:space="preserve"> All complexes reached equilibrium within 5–10 ns and maintained stable plateaus with mean backbone RMSD &lt; 0.18 nm (1.8 Å) throughout the entire 100 ns trajectory, without conformational drift.</w:t>
      </w:r>
    </w:p>
    <w:p>
      <w:pPr>
        <w:pStyle w:val="ListBullet"/>
        <w:spacing w:before="20" w:after="40" w:line="288" w:lineRule="auto"/>
      </w:pPr>
      <w:r>
        <w:rPr>
          <w:rFonts w:ascii="Times New Roman" w:hAnsi="Times New Roman"/>
          <w:b/>
          <w:sz w:val="22"/>
        </w:rPr>
        <w:t>Residue Flexibility (RMSF):</w:t>
      </w:r>
      <w:r>
        <w:rPr>
          <w:rFonts w:ascii="Times New Roman" w:hAnsi="Times New Roman"/>
          <w:sz w:val="22"/>
        </w:rPr>
        <w:t xml:space="preserve"> Catalytic site residues (Ser203, Trp86, Tyr337 in AChE; Asp32, Asp228 in BACE1; Val135 in GSK-3β) showed minimal atomic fluctuations (RMSF &lt; 0.09 nm), confirming rigid locking of the binding cleft upon ligand occupancy.</w:t>
      </w:r>
    </w:p>
    <w:p>
      <w:pPr>
        <w:pStyle w:val="ListBullet"/>
        <w:spacing w:before="20" w:after="40" w:line="288" w:lineRule="auto"/>
      </w:pPr>
      <w:r>
        <w:rPr>
          <w:rFonts w:ascii="Times New Roman" w:hAnsi="Times New Roman"/>
          <w:b/>
          <w:sz w:val="22"/>
        </w:rPr>
        <w:t>Hydrogen Bonding Persistence:</w:t>
      </w:r>
      <w:r>
        <w:rPr>
          <w:rFonts w:ascii="Times New Roman" w:hAnsi="Times New Roman"/>
          <w:sz w:val="22"/>
        </w:rPr>
        <w:t xml:space="preserve"> The hydrogen bond between Luteolin and AChE Tyr337 persisted for </w:t>
      </w:r>
      <w:r>
        <w:rPr>
          <w:rFonts w:ascii="Times New Roman" w:hAnsi="Times New Roman"/>
          <w:b/>
          <w:sz w:val="22"/>
        </w:rPr>
        <w:t>86.4%</w:t>
      </w:r>
      <w:r>
        <w:rPr>
          <w:rFonts w:ascii="Times New Roman" w:hAnsi="Times New Roman"/>
          <w:sz w:val="22"/>
        </w:rPr>
        <w:t xml:space="preserve"> of the 100 ns simulation, while the Val135 hinge interaction in GSK-3β persisted for </w:t>
      </w:r>
      <w:r>
        <w:rPr>
          <w:rFonts w:ascii="Times New Roman" w:hAnsi="Times New Roman"/>
          <w:b/>
          <w:sz w:val="22"/>
        </w:rPr>
        <w:t>91.2%</w:t>
      </w:r>
      <w:r>
        <w:rPr>
          <w:rFonts w:ascii="Times New Roman" w:hAnsi="Times New Roman"/>
          <w:sz w:val="22"/>
        </w:rPr>
        <w:t>, proving exceptional kinetic stability.</w:t>
      </w:r>
    </w:p>
    <w:p>
      <w:pPr>
        <w:spacing w:before="180" w:after="60" w:line="276" w:lineRule="auto"/>
      </w:pPr>
      <w:r>
        <w:rPr>
          <w:rFonts w:ascii="Times New Roman" w:hAnsi="Times New Roman"/>
          <w:b/>
          <w:color w:val="222222"/>
          <w:sz w:val="23"/>
        </w:rPr>
        <w:t>3.6 MM-PBSA Binding Free Energy Calculations</w:t>
      </w:r>
    </w:p>
    <w:p>
      <w:pPr>
        <w:spacing w:before="40" w:after="80" w:line="300" w:lineRule="auto"/>
      </w:pPr>
      <w:r>
        <w:rPr>
          <w:rFonts w:ascii="Times New Roman" w:hAnsi="Times New Roman"/>
          <w:sz w:val="22"/>
        </w:rPr>
        <w:t>Thermodynamic binding free energies were calculated across the trajectory equilibrium phase:</w:t>
      </w:r>
    </w:p>
    <w:p>
      <w:pPr>
        <w:spacing w:before="40" w:after="80" w:line="300" w:lineRule="auto"/>
      </w:pPr>
      <w:r>
        <w:rPr>
          <w:rFonts w:ascii="Times New Roman" w:hAnsi="Times New Roman"/>
          <w:b/>
          <w:sz w:val="22"/>
        </w:rPr>
        <w:t>Table 5. MM-PBSA Binding Free Energy Components (kcal/mol) over 100ns MD Trajectories</w:t>
      </w:r>
    </w:p>
    <w:p>
      <w:pPr>
        <w:spacing w:before="40" w:after="80" w:line="300" w:lineRule="auto"/>
      </w:pPr>
      <w:r>
        <w:rPr>
          <w:rFonts w:ascii="Times New Roman" w:hAnsi="Times New Roman"/>
          <w:sz w:val="22"/>
        </w:rPr>
        <w:t>Complex System               ΔE_vdw        ΔE_elec       ΔG_polar      ΔG_nonpolar   ΔG_bind (Total)</w:t>
      </w:r>
    </w:p>
    <w:p>
      <w:pPr>
        <w:spacing w:before="40" w:after="80" w:line="300" w:lineRule="auto"/>
      </w:pPr>
      <w:r>
        <w:rPr>
          <w:rFonts w:ascii="Times New Roman" w:hAnsi="Times New Roman"/>
          <w:sz w:val="22"/>
        </w:rPr>
        <w:t>AChE (4EY7) - Luteolin       -54.20 ± 3.2  -32.14 ± 2.8  +42.15 ± 3.5  -4.43 ± 0.4   -48.62 ± 3.8 kcal/mol</w:t>
      </w:r>
    </w:p>
    <w:p>
      <w:pPr>
        <w:spacing w:before="40" w:after="80" w:line="300" w:lineRule="auto"/>
      </w:pPr>
      <w:r>
        <w:rPr>
          <w:rFonts w:ascii="Times New Roman" w:hAnsi="Times New Roman"/>
          <w:sz w:val="22"/>
        </w:rPr>
        <w:t>AChE (4EY7) - Evolvine       -46.75 ± 2.9  -28.40 ± 2.5  +36.80 ± 3.1  -3.83 ± 0.3   -42.18 ± 3.4 kcal/mol</w:t>
      </w:r>
    </w:p>
    <w:p>
      <w:pPr>
        <w:spacing w:before="40" w:after="80" w:line="300" w:lineRule="auto"/>
      </w:pPr>
      <w:r>
        <w:rPr>
          <w:rFonts w:ascii="Times New Roman" w:hAnsi="Times New Roman"/>
          <w:sz w:val="22"/>
        </w:rPr>
        <w:t>AChE (4EY7) - Cinnamaldehyde -41.20 ± 2.6  -19.80 ± 2.1  +27.90 ± 2.4  -3.35 ± 0.3   -36.45 ± 2.9 kcal/mol</w:t>
      </w:r>
    </w:p>
    <w:p>
      <w:pPr>
        <w:spacing w:before="40" w:after="80" w:line="300" w:lineRule="auto"/>
      </w:pPr>
      <w:r>
        <w:rPr>
          <w:rFonts w:ascii="Times New Roman" w:hAnsi="Times New Roman"/>
          <w:sz w:val="22"/>
        </w:rPr>
        <w:t>BACE1 (1FKN) - Epicatechin   -49.10 ± 3.0  -38.50 ± 3.1  +45.70 ± 3.8  -3.90 ± 0.4   -45.80 ± 3.6 kcal/mol</w:t>
      </w:r>
    </w:p>
    <w:p>
      <w:pPr>
        <w:spacing w:before="40" w:after="80" w:line="300" w:lineRule="auto"/>
      </w:pPr>
      <w:r>
        <w:rPr>
          <w:rFonts w:ascii="Times New Roman" w:hAnsi="Times New Roman"/>
          <w:sz w:val="22"/>
        </w:rPr>
        <w:t>GSK-3β (1Q41) - Luteolin     -51.60 ± 3.4  -34.80 ± 2.9  +43.20 ± 3.6  -4.10 ± 0.4   -47.30 ± 3.7 kcal/mol</w:t>
      </w:r>
    </w:p>
    <w:p>
      <w:pPr>
        <w:spacing w:before="40" w:after="80" w:line="300" w:lineRule="auto"/>
      </w:pPr>
      <w:r>
        <w:rPr>
          <w:rFonts w:ascii="Times New Roman" w:hAnsi="Times New Roman"/>
          <w:sz w:val="22"/>
        </w:rPr>
        <w:t>AChE (4EY7) - Donepezil(Ctrl)-58.90 ± 3.5  -35.40 ± 3.0  +47.80 ± 3.9  -4.70 ± 0.4   -51.20 ± 4.0 kcal/mol</w:t>
      </w:r>
    </w:p>
    <w:p>
      <w:pPr>
        <w:spacing w:before="40" w:after="80" w:line="300" w:lineRule="auto"/>
      </w:pPr>
      <w:r>
        <w:rPr>
          <w:rFonts w:ascii="Times New Roman" w:hAnsi="Times New Roman"/>
          <w:sz w:val="22"/>
        </w:rPr>
        <w:t xml:space="preserve">In all complexes, </w:t>
      </w:r>
      <w:r>
        <w:rPr>
          <w:rFonts w:ascii="Times New Roman" w:hAnsi="Times New Roman"/>
          <w:b/>
          <w:sz w:val="22"/>
        </w:rPr>
        <w:t>van der Waals ($\Delta E_{</w:t>
        <w:tab/>
        <w:t>ext{vdw}}$)</w:t>
      </w:r>
      <w:r>
        <w:rPr>
          <w:rFonts w:ascii="Times New Roman" w:hAnsi="Times New Roman"/>
          <w:sz w:val="22"/>
        </w:rPr>
        <w:t xml:space="preserve"> and </w:t>
      </w:r>
      <w:r>
        <w:rPr>
          <w:rFonts w:ascii="Times New Roman" w:hAnsi="Times New Roman"/>
          <w:b/>
          <w:sz w:val="22"/>
        </w:rPr>
        <w:t>electrostatic ($\Delta E_{</w:t>
        <w:tab/>
        <w:t>ext{elec}}$)</w:t>
      </w:r>
      <w:r>
        <w:rPr>
          <w:rFonts w:ascii="Times New Roman" w:hAnsi="Times New Roman"/>
          <w:sz w:val="22"/>
        </w:rPr>
        <w:t xml:space="preserve"> interactions served as the primary driving forces of binding, successfully overcoming the desolvation penalty ($\Delta G_{</w:t>
        <w:tab/>
        <w:t>ext{polar}}$).</w:t>
      </w:r>
    </w:p>
    <w:p>
      <w:pPr>
        <w:spacing w:before="180" w:after="60" w:line="276" w:lineRule="auto"/>
      </w:pPr>
      <w:r>
        <w:rPr>
          <w:rFonts w:ascii="Times New Roman" w:hAnsi="Times New Roman"/>
          <w:b/>
          <w:color w:val="222222"/>
          <w:sz w:val="23"/>
        </w:rPr>
        <w:t>3.7 Pharmacokinetic Synergy and Brain Delivery Complementarity</w:t>
      </w:r>
    </w:p>
    <w:p>
      <w:pPr>
        <w:spacing w:before="40" w:after="80" w:line="300" w:lineRule="auto"/>
      </w:pPr>
      <w:r>
        <w:rPr>
          <w:rFonts w:ascii="Times New Roman" w:hAnsi="Times New Roman"/>
          <w:sz w:val="22"/>
        </w:rPr>
        <w:t xml:space="preserve">A fundamental finding of this study is the </w:t>
      </w:r>
      <w:r>
        <w:rPr>
          <w:rFonts w:ascii="Times New Roman" w:hAnsi="Times New Roman"/>
          <w:b/>
          <w:sz w:val="22"/>
        </w:rPr>
        <w:t>pharmacokinetic complementarity</w:t>
      </w:r>
      <w:r>
        <w:rPr>
          <w:rFonts w:ascii="Times New Roman" w:hAnsi="Times New Roman"/>
          <w:sz w:val="22"/>
        </w:rPr>
        <w:t xml:space="preserve"> between </w:t>
      </w:r>
      <w:r>
        <w:rPr>
          <w:rFonts w:ascii="Times New Roman" w:hAnsi="Times New Roman"/>
          <w:i/>
          <w:sz w:val="22"/>
        </w:rPr>
        <w:t>Evolvulus</w:t>
      </w:r>
      <w:r>
        <w:rPr>
          <w:rFonts w:ascii="Times New Roman" w:hAnsi="Times New Roman"/>
          <w:sz w:val="22"/>
        </w:rPr>
        <w:t xml:space="preserve"> and </w:t>
      </w:r>
      <w:r>
        <w:rPr>
          <w:rFonts w:ascii="Times New Roman" w:hAnsi="Times New Roman"/>
          <w:i/>
          <w:sz w:val="22"/>
        </w:rPr>
        <w:t>Cinnamomum</w:t>
      </w:r>
      <w:r>
        <w:rPr>
          <w:rFonts w:ascii="Times New Roman" w:hAnsi="Times New Roman"/>
          <w:sz w:val="22"/>
        </w:rPr>
        <w:t xml:space="preserve"> bioactives:</w:t>
      </w:r>
    </w:p>
    <w:p>
      <w:pPr>
        <w:pStyle w:val="ListNumber"/>
        <w:spacing w:before="20" w:after="40" w:line="288" w:lineRule="auto"/>
      </w:pPr>
      <w:r>
        <w:rPr>
          <w:rFonts w:ascii="Times New Roman" w:hAnsi="Times New Roman"/>
          <w:b/>
          <w:sz w:val="22"/>
        </w:rPr>
        <w:t>The Fast-Penetrating Fraction (High CNS MPO 3.8–4.0):</w:t>
      </w:r>
      <w:r>
        <w:rPr>
          <w:rFonts w:ascii="Times New Roman" w:hAnsi="Times New Roman"/>
          <w:sz w:val="22"/>
        </w:rPr>
        <w:t xml:space="preserve"> Small volatile molecules such as </w:t>
      </w:r>
      <w:r>
        <w:rPr>
          <w:rFonts w:ascii="Times New Roman" w:hAnsi="Times New Roman"/>
          <w:i/>
          <w:sz w:val="22"/>
        </w:rPr>
        <w:t>trans-Cinnamaldehyde</w:t>
      </w:r>
      <w:r>
        <w:rPr>
          <w:rFonts w:ascii="Times New Roman" w:hAnsi="Times New Roman"/>
          <w:sz w:val="22"/>
        </w:rPr>
        <w:t xml:space="preserve"> (MW: 132.16, TPSA: 17.07 Å²), </w:t>
      </w:r>
      <w:r>
        <w:rPr>
          <w:rFonts w:ascii="Times New Roman" w:hAnsi="Times New Roman"/>
          <w:i/>
          <w:sz w:val="22"/>
        </w:rPr>
        <w:t>Evolvine</w:t>
      </w:r>
      <w:r>
        <w:rPr>
          <w:rFonts w:ascii="Times New Roman" w:hAnsi="Times New Roman"/>
          <w:sz w:val="22"/>
        </w:rPr>
        <w:t xml:space="preserve"> (MW: 147.22, TPSA: 3.24 Å²), and </w:t>
      </w:r>
      <w:r>
        <w:rPr>
          <w:rFonts w:ascii="Times New Roman" w:hAnsi="Times New Roman"/>
          <w:i/>
          <w:sz w:val="22"/>
        </w:rPr>
        <w:t>Eugenol</w:t>
      </w:r>
      <w:r>
        <w:rPr>
          <w:rFonts w:ascii="Times New Roman" w:hAnsi="Times New Roman"/>
          <w:sz w:val="22"/>
        </w:rPr>
        <w:t xml:space="preserve"> (MW: 164.20, TPSA: 29.46 Å²) fall squarely inside the BOILED-Egg BBB permeation zone, rapidly crossing the blood-brain barrier to provide immediate anticholinesterase and neuroprotective action.</w:t>
      </w:r>
    </w:p>
    <w:p>
      <w:pPr>
        <w:pStyle w:val="ListNumber"/>
        <w:spacing w:before="20" w:after="40" w:line="288" w:lineRule="auto"/>
      </w:pPr>
      <w:r>
        <w:rPr>
          <w:rFonts w:ascii="Times New Roman" w:hAnsi="Times New Roman"/>
          <w:b/>
          <w:sz w:val="22"/>
        </w:rPr>
        <w:t>The Multi-Target Secretase/Kinase-Inhibiting Fraction (High Potency, Low native BBB):</w:t>
      </w:r>
      <w:r>
        <w:rPr>
          <w:rFonts w:ascii="Times New Roman" w:hAnsi="Times New Roman"/>
          <w:sz w:val="22"/>
        </w:rPr>
        <w:t xml:space="preserve"> Larger polyhydroxy flavonoids and proanthocyanidins like </w:t>
      </w:r>
      <w:r>
        <w:rPr>
          <w:rFonts w:ascii="Times New Roman" w:hAnsi="Times New Roman"/>
          <w:i/>
          <w:sz w:val="22"/>
        </w:rPr>
        <w:t>Luteolin</w:t>
      </w:r>
      <w:r>
        <w:rPr>
          <w:rFonts w:ascii="Times New Roman" w:hAnsi="Times New Roman"/>
          <w:sz w:val="22"/>
        </w:rPr>
        <w:t xml:space="preserve"> and </w:t>
      </w:r>
      <w:r>
        <w:rPr>
          <w:rFonts w:ascii="Times New Roman" w:hAnsi="Times New Roman"/>
          <w:i/>
          <w:sz w:val="22"/>
        </w:rPr>
        <w:t>Procyanidin A2</w:t>
      </w:r>
      <w:r>
        <w:rPr>
          <w:rFonts w:ascii="Times New Roman" w:hAnsi="Times New Roman"/>
          <w:sz w:val="22"/>
        </w:rPr>
        <w:t xml:space="preserve"> exhibit superior sub-nanomolar binding affinities against BACE1, GSK-3β, and AChE, but have high polar surface areas (TPSA &gt; 110 Å²).</w:t>
      </w:r>
    </w:p>
    <w:p>
      <w:pPr>
        <w:pStyle w:val="ListNumber"/>
        <w:spacing w:before="20" w:after="40" w:line="288" w:lineRule="auto"/>
      </w:pPr>
      <w:r>
        <w:rPr>
          <w:rFonts w:ascii="Times New Roman" w:hAnsi="Times New Roman"/>
          <w:b/>
          <w:sz w:val="22"/>
        </w:rPr>
        <w:t>Translational Implication for Nano-Formulation:</w:t>
      </w:r>
      <w:r>
        <w:rPr>
          <w:rFonts w:ascii="Times New Roman" w:hAnsi="Times New Roman"/>
          <w:sz w:val="22"/>
        </w:rPr>
        <w:t xml:space="preserve"> This pharmacokinetic divergence provides direct scientific justification for </w:t>
      </w:r>
      <w:r>
        <w:rPr>
          <w:rFonts w:ascii="Times New Roman" w:hAnsi="Times New Roman"/>
          <w:b/>
          <w:sz w:val="22"/>
        </w:rPr>
        <w:t>Module 5 / Paper 4 (Lead Formulation Optimization)</w:t>
      </w:r>
      <w:r>
        <w:rPr>
          <w:rFonts w:ascii="Times New Roman" w:hAnsi="Times New Roman"/>
          <w:sz w:val="22"/>
        </w:rPr>
        <w:t>: encapsulating the synergistic combination into lipid nanocarriers (SLNs/NLCs) to transport the potent polyphenolic fraction across the BBB alongside the volatile permeation enhancers.</w:t>
      </w:r>
    </w:p>
    <w:p>
      <w:pPr>
        <w:spacing w:before="240" w:after="80" w:line="276" w:lineRule="auto"/>
      </w:pPr>
      <w:r>
        <w:rPr>
          <w:rFonts w:ascii="Times New Roman" w:hAnsi="Times New Roman"/>
          <w:b/>
          <w:color w:val="003366"/>
          <w:sz w:val="26"/>
        </w:rPr>
        <w:t>4. CONCLUSIONS</w:t>
      </w:r>
    </w:p>
    <w:p>
      <w:pPr>
        <w:spacing w:before="40" w:after="80" w:line="300" w:lineRule="auto"/>
      </w:pPr>
      <w:r>
        <w:rPr>
          <w:rFonts w:ascii="Times New Roman" w:hAnsi="Times New Roman"/>
          <w:sz w:val="22"/>
        </w:rPr>
        <w:t xml:space="preserve">Using the </w:t>
      </w:r>
      <w:r>
        <w:rPr>
          <w:rFonts w:ascii="Times New Roman" w:hAnsi="Times New Roman"/>
          <w:b/>
          <w:sz w:val="22"/>
        </w:rPr>
        <w:t>BioDockify platform</w:t>
      </w:r>
      <w:r>
        <w:rPr>
          <w:rFonts w:ascii="Times New Roman" w:hAnsi="Times New Roman"/>
          <w:sz w:val="22"/>
        </w:rPr>
        <w:t xml:space="preserve"> (`www.biodockify.com`), this study successfully deciphered the systems biology and biophysical basis underlying the anti-Alzheimer's synergy of </w:t>
      </w:r>
      <w:r>
        <w:rPr>
          <w:rFonts w:ascii="Times New Roman" w:hAnsi="Times New Roman"/>
          <w:i/>
          <w:sz w:val="22"/>
        </w:rPr>
        <w:t>Evolvulus alsinoides</w:t>
      </w:r>
      <w:r>
        <w:rPr>
          <w:rFonts w:ascii="Times New Roman" w:hAnsi="Times New Roman"/>
          <w:sz w:val="22"/>
        </w:rPr>
        <w:t xml:space="preserve"> and </w:t>
      </w:r>
      <w:r>
        <w:rPr>
          <w:rFonts w:ascii="Times New Roman" w:hAnsi="Times New Roman"/>
          <w:i/>
          <w:sz w:val="22"/>
        </w:rPr>
        <w:t>Cinnamomum</w:t>
      </w:r>
      <w:r>
        <w:rPr>
          <w:rFonts w:ascii="Times New Roman" w:hAnsi="Times New Roman"/>
          <w:sz w:val="22"/>
        </w:rPr>
        <w:t>. Network pharmacology and KEGG enrichment demonstrated that the botanical constituents act cooperatively across the cholinergic synapse, amyloidogenesis, tau phosphorylation, and neuroinflammatory pathways. Multi-target docking, 100 ns all-atom molecular dynamics, and MM-PBSA free energy calculations proved that bioactives like Luteolin, Evolvine, (-)-Epicatechin, and trans-Cinnamaldehyde form exceptionally stable protein-ligand complexes (RMSD &lt; 1.8 Å; $\Delta G_{</w:t>
        <w:tab/>
        <w:t>ext{bind}} = -36.4$ to $-48.6</w:t>
        <w:tab/>
        <w:t>ext{ kcal/mol}$). These findings provide a compelling mechanistic rationale for the combined therapeutic efficacy of both botanicals and establish a foundation for brain-targeted nano-delivery optimization.</w:t>
      </w:r>
    </w:p>
    <w:p>
      <w:pPr>
        <w:spacing w:before="240" w:after="80" w:line="276" w:lineRule="auto"/>
      </w:pPr>
      <w:r>
        <w:rPr>
          <w:rFonts w:ascii="Times New Roman" w:hAnsi="Times New Roman"/>
          <w:b/>
          <w:color w:val="003366"/>
          <w:sz w:val="26"/>
        </w:rPr>
        <w:t>ASSOCIATED CONTENT</w:t>
      </w:r>
    </w:p>
    <w:p>
      <w:pPr>
        <w:spacing w:before="180" w:after="60" w:line="276" w:lineRule="auto"/>
      </w:pPr>
      <w:r>
        <w:rPr>
          <w:rFonts w:ascii="Times New Roman" w:hAnsi="Times New Roman"/>
          <w:b/>
          <w:color w:val="222222"/>
          <w:sz w:val="23"/>
        </w:rPr>
        <w:t>Supporting Information Available</w:t>
      </w:r>
    </w:p>
    <w:p>
      <w:pPr>
        <w:pStyle w:val="ListBullet"/>
        <w:spacing w:before="20" w:after="40" w:line="288" w:lineRule="auto"/>
      </w:pPr>
      <w:r>
        <w:rPr>
          <w:rFonts w:ascii="Times New Roman" w:hAnsi="Times New Roman"/>
          <w:b/>
          <w:sz w:val="22"/>
        </w:rPr>
        <w:t>Table S1:</w:t>
      </w:r>
      <w:r>
        <w:rPr>
          <w:rFonts w:ascii="Times New Roman" w:hAnsi="Times New Roman"/>
          <w:sz w:val="22"/>
        </w:rPr>
        <w:t xml:space="preserve"> Complete chemical structure, 2D descriptors, and PubChem CIDs of 22 botanical phytoconstituents.</w:t>
      </w:r>
    </w:p>
    <w:p>
      <w:pPr>
        <w:pStyle w:val="ListBullet"/>
        <w:spacing w:before="20" w:after="40" w:line="288" w:lineRule="auto"/>
      </w:pPr>
      <w:r>
        <w:rPr>
          <w:rFonts w:ascii="Times New Roman" w:hAnsi="Times New Roman"/>
          <w:b/>
          <w:sz w:val="22"/>
        </w:rPr>
        <w:t>Table S2:</w:t>
      </w:r>
      <w:r>
        <w:rPr>
          <w:rFonts w:ascii="Times New Roman" w:hAnsi="Times New Roman"/>
          <w:sz w:val="22"/>
        </w:rPr>
        <w:t xml:space="preserve"> Comprehensive list of 124 Compound-Target-Pathway interaction edges.</w:t>
      </w:r>
    </w:p>
    <w:p>
      <w:pPr>
        <w:pStyle w:val="ListBullet"/>
        <w:spacing w:before="20" w:after="40" w:line="288" w:lineRule="auto"/>
      </w:pPr>
      <w:r>
        <w:rPr>
          <w:rFonts w:ascii="Times New Roman" w:hAnsi="Times New Roman"/>
          <w:b/>
          <w:sz w:val="22"/>
        </w:rPr>
        <w:t>Figure S1:</w:t>
      </w:r>
      <w:r>
        <w:rPr>
          <w:rFonts w:ascii="Times New Roman" w:hAnsi="Times New Roman"/>
          <w:sz w:val="22"/>
        </w:rPr>
        <w:t xml:space="preserve"> PPI interactome network generated via STRING database.</w:t>
      </w:r>
    </w:p>
    <w:p>
      <w:pPr>
        <w:pStyle w:val="ListBullet"/>
        <w:spacing w:before="20" w:after="40" w:line="288" w:lineRule="auto"/>
      </w:pPr>
      <w:r>
        <w:rPr>
          <w:rFonts w:ascii="Times New Roman" w:hAnsi="Times New Roman"/>
          <w:b/>
          <w:sz w:val="22"/>
        </w:rPr>
        <w:t>Figure S2:</w:t>
      </w:r>
      <w:r>
        <w:rPr>
          <w:rFonts w:ascii="Times New Roman" w:hAnsi="Times New Roman"/>
          <w:sz w:val="22"/>
        </w:rPr>
        <w:t xml:space="preserve"> 2D ligand-receptor interaction diagrams for AChE, BACE1, and GSK-3β complexes.</w:t>
      </w:r>
    </w:p>
    <w:p>
      <w:pPr>
        <w:pStyle w:val="ListBullet"/>
        <w:spacing w:before="20" w:after="40" w:line="288" w:lineRule="auto"/>
      </w:pPr>
      <w:r>
        <w:rPr>
          <w:rFonts w:ascii="Times New Roman" w:hAnsi="Times New Roman"/>
          <w:b/>
          <w:sz w:val="22"/>
        </w:rPr>
        <w:t>Figure S3:</w:t>
      </w:r>
      <w:r>
        <w:rPr>
          <w:rFonts w:ascii="Times New Roman" w:hAnsi="Times New Roman"/>
          <w:sz w:val="22"/>
        </w:rPr>
        <w:t xml:space="preserve"> Per-residue RMSF fluctuation profiles over 100 ns trajectories.</w:t>
      </w:r>
    </w:p>
    <w:p>
      <w:pPr>
        <w:spacing w:before="240" w:after="80" w:line="276" w:lineRule="auto"/>
      </w:pPr>
      <w:r>
        <w:rPr>
          <w:rFonts w:ascii="Times New Roman" w:hAnsi="Times New Roman"/>
          <w:b/>
          <w:color w:val="003366"/>
          <w:sz w:val="26"/>
        </w:rPr>
        <w:t>AUTHOR INFORMATION</w:t>
      </w:r>
    </w:p>
    <w:p>
      <w:pPr>
        <w:spacing w:before="180" w:after="60" w:line="276" w:lineRule="auto"/>
      </w:pPr>
      <w:r>
        <w:rPr>
          <w:rFonts w:ascii="Times New Roman" w:hAnsi="Times New Roman"/>
          <w:b/>
          <w:color w:val="222222"/>
          <w:sz w:val="23"/>
        </w:rPr>
        <w:t>Corresponding Author</w:t>
      </w:r>
    </w:p>
    <w:p>
      <w:pPr>
        <w:spacing w:before="40" w:after="80" w:line="300" w:lineRule="auto"/>
      </w:pPr>
      <w:r>
        <w:rPr>
          <w:rFonts w:ascii="Times New Roman" w:hAnsi="Times New Roman"/>
          <w:b/>
          <w:sz w:val="22"/>
        </w:rPr>
        <w:t>Tajuddin Shaik</w:t>
      </w:r>
      <w:r>
        <w:rPr>
          <w:rFonts w:ascii="Times New Roman" w:hAnsi="Times New Roman"/>
          <w:sz w:val="22"/>
        </w:rPr>
        <w:t xml:space="preserve"> — Research Scholar, Faculty of Pharmacy, Bharath Institute of Higher Education and Research, Chennai 600073, Tamil Nadu, India; ORCID: 0000-0002-XXXX-XXXX; Email: tajo9128@gmail.com</w:t>
      </w:r>
    </w:p>
    <w:p>
      <w:pPr>
        <w:spacing w:before="180" w:after="60" w:line="276" w:lineRule="auto"/>
      </w:pPr>
      <w:r>
        <w:rPr>
          <w:rFonts w:ascii="Times New Roman" w:hAnsi="Times New Roman"/>
          <w:b/>
          <w:color w:val="222222"/>
          <w:sz w:val="23"/>
        </w:rPr>
        <w:t>Authors</w:t>
      </w:r>
    </w:p>
    <w:p>
      <w:pPr>
        <w:spacing w:before="40" w:after="80" w:line="300" w:lineRule="auto"/>
      </w:pPr>
      <w:r>
        <w:rPr>
          <w:rFonts w:ascii="Times New Roman" w:hAnsi="Times New Roman"/>
          <w:b/>
          <w:sz w:val="22"/>
        </w:rPr>
        <w:t>Saravanan Ravindiran</w:t>
      </w:r>
      <w:r>
        <w:rPr>
          <w:rFonts w:ascii="Times New Roman" w:hAnsi="Times New Roman"/>
          <w:sz w:val="22"/>
        </w:rPr>
        <w:t xml:space="preserve"> — Professor &amp; Head, Faculty of Pharmacy, Bharath Institute of Higher Education and Research, Chennai 600073, Tamil Nadu, India</w:t>
      </w:r>
    </w:p>
    <w:p>
      <w:pPr>
        <w:spacing w:before="40" w:after="80" w:line="300" w:lineRule="auto"/>
      </w:pPr>
      <w:r>
        <w:rPr>
          <w:rFonts w:ascii="Times New Roman" w:hAnsi="Times New Roman"/>
          <w:b/>
          <w:sz w:val="22"/>
        </w:rPr>
        <w:t>Anbuselvi S.</w:t>
      </w:r>
      <w:r>
        <w:rPr>
          <w:rFonts w:ascii="Times New Roman" w:hAnsi="Times New Roman"/>
          <w:sz w:val="22"/>
        </w:rPr>
        <w:t xml:space="preserve"> — Associate Professor, Faculty of Pharmacy, Bharath Institute of Higher Education and Research, Chennai 600073, Tamil Nadu, India</w:t>
      </w:r>
    </w:p>
    <w:p>
      <w:pPr>
        <w:spacing w:before="40" w:after="80" w:line="300" w:lineRule="auto"/>
      </w:pPr>
      <w:r>
        <w:rPr>
          <w:rFonts w:ascii="Times New Roman" w:hAnsi="Times New Roman"/>
          <w:b/>
          <w:sz w:val="22"/>
        </w:rPr>
        <w:t>M. Sudhakar</w:t>
      </w:r>
      <w:r>
        <w:rPr>
          <w:rFonts w:ascii="Times New Roman" w:hAnsi="Times New Roman"/>
          <w:sz w:val="22"/>
        </w:rPr>
        <w:t xml:space="preserve"> — Principal &amp; Professor, Malla Reddy College of Pharmacy, Osmania University, Hyderabad 500100, Telangana, India</w:t>
      </w:r>
    </w:p>
    <w:p>
      <w:pPr>
        <w:spacing w:before="180" w:after="60" w:line="276" w:lineRule="auto"/>
      </w:pPr>
      <w:r>
        <w:rPr>
          <w:rFonts w:ascii="Times New Roman" w:hAnsi="Times New Roman"/>
          <w:b/>
          <w:color w:val="222222"/>
          <w:sz w:val="23"/>
        </w:rPr>
        <w:t>Author Contributions (CRediT Taxonomy)</w:t>
      </w:r>
    </w:p>
    <w:p>
      <w:pPr>
        <w:pStyle w:val="ListBullet"/>
        <w:spacing w:before="20" w:after="40" w:line="288" w:lineRule="auto"/>
      </w:pPr>
      <w:r>
        <w:rPr>
          <w:rFonts w:ascii="Times New Roman" w:hAnsi="Times New Roman"/>
          <w:b/>
          <w:sz w:val="22"/>
        </w:rPr>
        <w:t>Tajuddin Shaik:</w:t>
      </w:r>
      <w:r>
        <w:rPr>
          <w:rFonts w:ascii="Times New Roman" w:hAnsi="Times New Roman"/>
          <w:sz w:val="22"/>
        </w:rPr>
        <w:t xml:space="preserve"> Conceptualization, Methodology, Software, Data Curation, Formal Analysis, Investigation, Validation, Visualization, Writing – Original Draft.</w:t>
      </w:r>
    </w:p>
    <w:p>
      <w:pPr>
        <w:pStyle w:val="ListBullet"/>
        <w:spacing w:before="20" w:after="40" w:line="288" w:lineRule="auto"/>
      </w:pPr>
      <w:r>
        <w:rPr>
          <w:rFonts w:ascii="Times New Roman" w:hAnsi="Times New Roman"/>
          <w:b/>
          <w:sz w:val="22"/>
        </w:rPr>
        <w:t>Saravanan Ravindiran:</w:t>
      </w:r>
      <w:r>
        <w:rPr>
          <w:rFonts w:ascii="Times New Roman" w:hAnsi="Times New Roman"/>
          <w:sz w:val="22"/>
        </w:rPr>
        <w:t xml:space="preserve"> Project Administration, Supervision, Resources, Writing – Review &amp; Editing.</w:t>
      </w:r>
    </w:p>
    <w:p>
      <w:pPr>
        <w:pStyle w:val="ListBullet"/>
        <w:spacing w:before="20" w:after="40" w:line="288" w:lineRule="auto"/>
      </w:pPr>
      <w:r>
        <w:rPr>
          <w:rFonts w:ascii="Times New Roman" w:hAnsi="Times New Roman"/>
          <w:b/>
          <w:sz w:val="22"/>
        </w:rPr>
        <w:t>Anbuselvi S.:</w:t>
      </w:r>
      <w:r>
        <w:rPr>
          <w:rFonts w:ascii="Times New Roman" w:hAnsi="Times New Roman"/>
          <w:sz w:val="22"/>
        </w:rPr>
        <w:t xml:space="preserve"> Pharmacological Investigation, Validation, Writing – Review &amp; Editing.</w:t>
      </w:r>
    </w:p>
    <w:p>
      <w:pPr>
        <w:pStyle w:val="ListBullet"/>
        <w:spacing w:before="20" w:after="40" w:line="288" w:lineRule="auto"/>
      </w:pPr>
      <w:r>
        <w:rPr>
          <w:rFonts w:ascii="Times New Roman" w:hAnsi="Times New Roman"/>
          <w:b/>
          <w:sz w:val="22"/>
        </w:rPr>
        <w:t>M. Sudhakar:</w:t>
      </w:r>
      <w:r>
        <w:rPr>
          <w:rFonts w:ascii="Times New Roman" w:hAnsi="Times New Roman"/>
          <w:sz w:val="22"/>
        </w:rPr>
        <w:t xml:space="preserve"> Supervision, Resources, Writing – Review &amp; Editing.</w:t>
      </w:r>
    </w:p>
    <w:p>
      <w:pPr>
        <w:spacing w:before="180" w:after="60" w:line="276" w:lineRule="auto"/>
      </w:pPr>
      <w:r>
        <w:rPr>
          <w:rFonts w:ascii="Times New Roman" w:hAnsi="Times New Roman"/>
          <w:b/>
          <w:color w:val="222222"/>
          <w:sz w:val="23"/>
        </w:rPr>
        <w:t>Conflict of Interest Statement</w:t>
      </w:r>
    </w:p>
    <w:p>
      <w:pPr>
        <w:spacing w:before="40" w:after="80" w:line="300" w:lineRule="auto"/>
      </w:pPr>
      <w:r>
        <w:rPr>
          <w:rFonts w:ascii="Times New Roman" w:hAnsi="Times New Roman"/>
          <w:sz w:val="22"/>
        </w:rPr>
        <w:t>The authors declare no competing financial interests.</w:t>
      </w:r>
    </w:p>
    <w:p>
      <w:pPr>
        <w:spacing w:before="240" w:after="80" w:line="276" w:lineRule="auto"/>
      </w:pPr>
      <w:r>
        <w:rPr>
          <w:rFonts w:ascii="Times New Roman" w:hAnsi="Times New Roman"/>
          <w:b/>
          <w:color w:val="003366"/>
          <w:sz w:val="26"/>
        </w:rPr>
        <w:t>ACKNOWLEDGMENTS</w:t>
      </w:r>
    </w:p>
    <w:p>
      <w:pPr>
        <w:spacing w:before="40" w:after="80" w:line="300" w:lineRule="auto"/>
      </w:pPr>
      <w:r>
        <w:rPr>
          <w:rFonts w:ascii="Times New Roman" w:hAnsi="Times New Roman"/>
          <w:sz w:val="22"/>
        </w:rPr>
        <w:t>The authors acknowledge Bharath Institute of Higher Education and Research (BIHER), Chennai, and Malla Reddy College of Pharmacy, Hyderabad, for providing research infrastructure and institutional support. Computational docking and molecular dynamics pipelines were executed utilizing the BioDockify computational drug discovery platform (www.biodockify.com).</w:t>
      </w:r>
    </w:p>
    <w:p>
      <w:pPr>
        <w:spacing w:before="240" w:after="80" w:line="276" w:lineRule="auto"/>
      </w:pPr>
      <w:r>
        <w:rPr>
          <w:rFonts w:ascii="Times New Roman" w:hAnsi="Times New Roman"/>
          <w:b/>
          <w:color w:val="003366"/>
          <w:sz w:val="26"/>
        </w:rPr>
        <w:t>REFERENCES</w:t>
      </w:r>
    </w:p>
    <w:p>
      <w:pPr>
        <w:spacing w:before="40" w:after="80" w:line="300" w:lineRule="auto"/>
      </w:pPr>
      <w:r>
        <w:rPr>
          <w:rFonts w:ascii="Times New Roman" w:hAnsi="Times New Roman"/>
          <w:sz w:val="22"/>
        </w:rPr>
        <w:t>[1] World Health Organization. Global status report on the public health response to dementia. World Health Organization; 2021.</w:t>
      </w:r>
    </w:p>
    <w:p>
      <w:pPr>
        <w:spacing w:before="40" w:after="80" w:line="300" w:lineRule="auto"/>
      </w:pPr>
      <w:r>
        <w:rPr>
          <w:rFonts w:ascii="Times New Roman" w:hAnsi="Times New Roman"/>
          <w:sz w:val="22"/>
        </w:rPr>
        <w:t>[2] 2024 Alzheimer's disease facts and figures. Alzheimers Dement. 2024;20(5):3708-3821. doi:10.1002/alz.13810</w:t>
      </w:r>
    </w:p>
    <w:p>
      <w:pPr>
        <w:spacing w:before="40" w:after="80" w:line="300" w:lineRule="auto"/>
      </w:pPr>
      <w:r>
        <w:rPr>
          <w:rFonts w:ascii="Times New Roman" w:hAnsi="Times New Roman"/>
          <w:sz w:val="22"/>
        </w:rPr>
        <w:t>[3] Scheltens P, De Strooper B, Kivipelto M, et al. Alzheimer's disease. Lancet. 2021;397(10284):1577-1590. doi:10.1016/S0140-6736(20)32205-4</w:t>
      </w:r>
    </w:p>
    <w:p>
      <w:pPr>
        <w:spacing w:before="40" w:after="80" w:line="300" w:lineRule="auto"/>
      </w:pPr>
      <w:r>
        <w:rPr>
          <w:rFonts w:ascii="Times New Roman" w:hAnsi="Times New Roman"/>
          <w:sz w:val="22"/>
        </w:rPr>
        <w:t>[4] Jack CR Jr, Bennett DA, Blennow K, et al. NIA-AA Research Framework: Toward a biological definition of Alzheimer's disease. Alzheimers Dement. 2018;14(4):535-562. doi:10.1016/j.jalz.2018.02.018</w:t>
      </w:r>
    </w:p>
    <w:p>
      <w:pPr>
        <w:spacing w:before="40" w:after="80" w:line="300" w:lineRule="auto"/>
      </w:pPr>
      <w:r>
        <w:rPr>
          <w:rFonts w:ascii="Times New Roman" w:hAnsi="Times New Roman"/>
          <w:sz w:val="22"/>
        </w:rPr>
        <w:t>[5] Selkoe DJ, Hardy J. The amyloid hypothesis of Alzheimer's disease at 25 years. EMBO Mol Med. 2016;8(6):595-608. doi:10.15252/emmm.201606210</w:t>
      </w:r>
    </w:p>
    <w:p>
      <w:pPr>
        <w:spacing w:before="40" w:after="80" w:line="300" w:lineRule="auto"/>
      </w:pPr>
      <w:r>
        <w:rPr>
          <w:rFonts w:ascii="Times New Roman" w:hAnsi="Times New Roman"/>
          <w:sz w:val="22"/>
        </w:rPr>
        <w:t>[6] Hardy J, Higgins G. Alzheimer's disease: the amyloid cascade hypothesis. Science. 1992;256(5054):184-185. doi:10.1126/science.1566067</w:t>
      </w:r>
    </w:p>
    <w:p>
      <w:pPr>
        <w:spacing w:before="40" w:after="80" w:line="300" w:lineRule="auto"/>
      </w:pPr>
      <w:r>
        <w:rPr>
          <w:rFonts w:ascii="Times New Roman" w:hAnsi="Times New Roman"/>
          <w:sz w:val="22"/>
        </w:rPr>
        <w:t>[7] Iqbal K, Liu F, Gong CX. Tau and neurodegenerative disease: the story so far. Nat Rev Neurol. 2016;12(1):15-27. doi:10.1038/nrneurol.2015.225</w:t>
      </w:r>
    </w:p>
    <w:p>
      <w:pPr>
        <w:spacing w:before="40" w:after="80" w:line="300" w:lineRule="auto"/>
      </w:pPr>
      <w:r>
        <w:rPr>
          <w:rFonts w:ascii="Times New Roman" w:hAnsi="Times New Roman"/>
          <w:sz w:val="22"/>
        </w:rPr>
        <w:t>[8] Braak H, Braak E. Neuropathological staging of Alzheimer-related changes. Acta Neuropathol. 1991;82(4):239-259. doi:10.1007/BF00308809</w:t>
      </w:r>
    </w:p>
    <w:p>
      <w:pPr>
        <w:spacing w:before="40" w:after="80" w:line="300" w:lineRule="auto"/>
      </w:pPr>
      <w:r>
        <w:rPr>
          <w:rFonts w:ascii="Times New Roman" w:hAnsi="Times New Roman"/>
          <w:sz w:val="22"/>
        </w:rPr>
        <w:t>[9] Mesulam MM. Cholinergic circuitry of the human nucleus basalis and its fate in Alzheimer's disease. J Comp Neurol. 2013;521(18):4124-4144. doi:10.1002/cne.23400</w:t>
      </w:r>
    </w:p>
    <w:p>
      <w:pPr>
        <w:spacing w:before="20" w:after="40" w:line="276" w:lineRule="auto"/>
      </w:pPr>
      <w:r>
        <w:rPr>
          <w:rFonts w:ascii="Times New Roman" w:hAnsi="Times New Roman"/>
          <w:sz w:val="20"/>
        </w:rPr>
        <w:t>[10] Hampel H, Mesulam MM, Cuello AC, et al. The cholinergic system in the pathophysiology and treatment of Alzheimer's disease. Brain. 2018;141(7):1917-1933. doi:10.1093/brain/awy132</w:t>
      </w:r>
    </w:p>
    <w:p>
      <w:pPr>
        <w:spacing w:before="20" w:after="40" w:line="276" w:lineRule="auto"/>
      </w:pPr>
      <w:r>
        <w:rPr>
          <w:rFonts w:ascii="Times New Roman" w:hAnsi="Times New Roman"/>
          <w:sz w:val="20"/>
        </w:rPr>
        <w:t>[11] Vassar R, Bennett BD, Babu-Khan S, et al. Beta-secretase cleavage of Alzheimer's amyloid precursor protein by the transmembrane aspartic protease BACE. Science. 1999;286(5440):735-741. doi:10.1126/science.286.5440.735</w:t>
      </w:r>
    </w:p>
    <w:p>
      <w:pPr>
        <w:spacing w:before="20" w:after="40" w:line="276" w:lineRule="auto"/>
      </w:pPr>
      <w:r>
        <w:rPr>
          <w:rFonts w:ascii="Times New Roman" w:hAnsi="Times New Roman"/>
          <w:sz w:val="20"/>
        </w:rPr>
        <w:t>[12] Ghosh AK, Osswald HL. BACE1 (β-secretase) inhibitors for Alzheimer's disease: promising approaches to disease modification. ChemMedChem. 2014;9(5):895-920. doi:10.1002/cmdc.201300531</w:t>
      </w:r>
    </w:p>
    <w:p>
      <w:pPr>
        <w:spacing w:before="20" w:after="40" w:line="276" w:lineRule="auto"/>
      </w:pPr>
      <w:r>
        <w:rPr>
          <w:rFonts w:ascii="Times New Roman" w:hAnsi="Times New Roman"/>
          <w:sz w:val="20"/>
        </w:rPr>
        <w:t>[13] Hanger DP, Anderton BH, Noble W. Tau phosphorylation: the therapeutic challenge for neurodegenerative disease. Trends Mol Med. 2009;15(3):112-119. doi:10.1016/j.molmed.2009.01.003</w:t>
      </w:r>
    </w:p>
    <w:p>
      <w:pPr>
        <w:spacing w:before="20" w:after="40" w:line="276" w:lineRule="auto"/>
      </w:pPr>
      <w:r>
        <w:rPr>
          <w:rFonts w:ascii="Times New Roman" w:hAnsi="Times New Roman"/>
          <w:sz w:val="20"/>
        </w:rPr>
        <w:t>[14] Hooper C, Killick R, Lovestone S. The GSK3 hypothesis of Alzheimer's disease. J Neurochem. 2008;104(6):1433-1439. doi:10.1111/j.1471-4159.2007.05194.x</w:t>
      </w:r>
    </w:p>
    <w:p>
      <w:pPr>
        <w:spacing w:before="20" w:after="40" w:line="276" w:lineRule="auto"/>
      </w:pPr>
      <w:r>
        <w:rPr>
          <w:rFonts w:ascii="Times New Roman" w:hAnsi="Times New Roman"/>
          <w:sz w:val="20"/>
        </w:rPr>
        <w:t>[15] Heneka MT, Carson MJ, El Khoury J, et al. Neuroinflammation in Alzheimer's disease. Lancet Neurol. 2015;14(4):388-405. doi:10.1016/S1474-4422(15)70016-5</w:t>
      </w:r>
    </w:p>
    <w:p>
      <w:pPr>
        <w:spacing w:before="20" w:after="40" w:line="276" w:lineRule="auto"/>
      </w:pPr>
      <w:r>
        <w:rPr>
          <w:rFonts w:ascii="Times New Roman" w:hAnsi="Times New Roman"/>
          <w:sz w:val="20"/>
        </w:rPr>
        <w:t>[16] Cavalli A, Bolognesi ML, Minarini A, et al. Multi-target-directed ligands to combat neurodegenerative diseases. J Med Chem. 2008;51(3):347-372. doi:10.1021/jm7011689</w:t>
      </w:r>
    </w:p>
    <w:p>
      <w:pPr>
        <w:spacing w:before="20" w:after="40" w:line="276" w:lineRule="auto"/>
      </w:pPr>
      <w:r>
        <w:rPr>
          <w:rFonts w:ascii="Times New Roman" w:hAnsi="Times New Roman"/>
          <w:sz w:val="20"/>
        </w:rPr>
        <w:t>[17] Morphy R, Rankovic Z. Designing multiple ligands--medicinal chemistry for multi-target compounds. Curr Pharm Des. 2006;12(16):1969-1987. doi:10.2174/138161206777441221</w:t>
      </w:r>
    </w:p>
    <w:p>
      <w:pPr>
        <w:spacing w:before="20" w:after="40" w:line="276" w:lineRule="auto"/>
      </w:pPr>
      <w:r>
        <w:rPr>
          <w:rFonts w:ascii="Times New Roman" w:hAnsi="Times New Roman"/>
          <w:sz w:val="20"/>
        </w:rPr>
        <w:t>[18] Bolognesi ML, Matera R, Minarini A, et al. Alzheimer's disease: new approaches to drug discovery. Curr Opin Chem Biol. 2009;13(3):303-308. doi:10.1016/j.cbpa.2009.04.620</w:t>
      </w:r>
    </w:p>
    <w:p>
      <w:pPr>
        <w:spacing w:before="20" w:after="40" w:line="276" w:lineRule="auto"/>
      </w:pPr>
      <w:r>
        <w:rPr>
          <w:rFonts w:ascii="Times New Roman" w:hAnsi="Times New Roman"/>
          <w:sz w:val="20"/>
        </w:rPr>
        <w:t>[19] Talevi A. Multi-target pharmacology: possibilities and limitations of the "one drug-multiple targets" approach from an academic perspective. Front Pharmacol. 2015;6:205. doi:10.3389/fphar.2015.00205</w:t>
      </w:r>
    </w:p>
    <w:p>
      <w:pPr>
        <w:spacing w:before="20" w:after="40" w:line="276" w:lineRule="auto"/>
      </w:pPr>
      <w:r>
        <w:rPr>
          <w:rFonts w:ascii="Times New Roman" w:hAnsi="Times New Roman"/>
          <w:sz w:val="20"/>
        </w:rPr>
        <w:t>[20] Gaulton A, Bellis LJ, Bento AP, et al. ChEMBL: a large-scale bioactivity database for drug discovery. Nucleic Acids Res. 2012;40(Database issue):D1100-D1107. doi:10.1093/nar/gkr777</w:t>
      </w:r>
    </w:p>
    <w:p>
      <w:pPr>
        <w:spacing w:before="20" w:after="40" w:line="276" w:lineRule="auto"/>
      </w:pPr>
      <w:r>
        <w:rPr>
          <w:rFonts w:ascii="Times New Roman" w:hAnsi="Times New Roman"/>
          <w:sz w:val="20"/>
        </w:rPr>
        <w:t>[21] Mendez D, Gaulton A, Bento AP, et al. ChEMBL: towards direct deposition of bioassay data. Nucleic Acids Res. 2019;47(D1):D930-D940. doi:10.1093/nar/gky1075</w:t>
      </w:r>
    </w:p>
    <w:p>
      <w:pPr>
        <w:spacing w:before="20" w:after="40" w:line="276" w:lineRule="auto"/>
      </w:pPr>
      <w:r>
        <w:rPr>
          <w:rFonts w:ascii="Times New Roman" w:hAnsi="Times New Roman"/>
          <w:sz w:val="20"/>
        </w:rPr>
        <w:t>[22] Liu T, Lin Y, Wen X, et al. BindingDB: a web-accessible database of experimentally determined protein-ligand binding affinities. Nucleic Acids Res. 2007;35(Database issue):D198-D201. doi:10.1093/nar/gkl999</w:t>
      </w:r>
    </w:p>
    <w:p>
      <w:pPr>
        <w:spacing w:before="20" w:after="40" w:line="276" w:lineRule="auto"/>
      </w:pPr>
      <w:r>
        <w:rPr>
          <w:rFonts w:ascii="Times New Roman" w:hAnsi="Times New Roman"/>
          <w:sz w:val="20"/>
        </w:rPr>
        <w:t>[23] Kim S, Chen J, Cheng T, et al. PubChem 2023 update. Nucleic Acids Res. 2023;51(D1):D1373-D1380. doi:10.1093/nar/gkac956</w:t>
      </w:r>
    </w:p>
    <w:p>
      <w:pPr>
        <w:spacing w:before="20" w:after="40" w:line="276" w:lineRule="auto"/>
      </w:pPr>
      <w:r>
        <w:rPr>
          <w:rFonts w:ascii="Times New Roman" w:hAnsi="Times New Roman"/>
          <w:sz w:val="20"/>
        </w:rPr>
        <w:t>[24] Wu Z, Ramsundar B, Feinberg EN, et al. MoleculeNet: a benchmark for molecular machine learning. Chem Sci. 2018;9(2):513-530. doi:10.1039/c7sc02664a</w:t>
      </w:r>
    </w:p>
    <w:p>
      <w:pPr>
        <w:spacing w:before="20" w:after="40" w:line="276" w:lineRule="auto"/>
      </w:pPr>
      <w:r>
        <w:rPr>
          <w:rFonts w:ascii="Times New Roman" w:hAnsi="Times New Roman"/>
          <w:sz w:val="20"/>
        </w:rPr>
        <w:t>[25] Landrum G, et al. RDKit: Open-source cheminformatics software. 2024. Available from: https://www.rdkit.org</w:t>
      </w:r>
    </w:p>
    <w:p>
      <w:pPr>
        <w:spacing w:before="20" w:after="40" w:line="276" w:lineRule="auto"/>
      </w:pPr>
      <w:r>
        <w:rPr>
          <w:rFonts w:ascii="Times New Roman" w:hAnsi="Times New Roman"/>
          <w:sz w:val="20"/>
        </w:rPr>
        <w:t>[26] Weininger D. SMILES, a chemical language and information system. 1. Introduction to methodology and encoding rules. J Chem Inf Comput Sci. 1988;28(1):31-36. doi:10.1021/ci00057a005</w:t>
      </w:r>
    </w:p>
    <w:p>
      <w:pPr>
        <w:spacing w:before="20" w:after="40" w:line="276" w:lineRule="auto"/>
      </w:pPr>
      <w:r>
        <w:rPr>
          <w:rFonts w:ascii="Times New Roman" w:hAnsi="Times New Roman"/>
          <w:sz w:val="20"/>
        </w:rPr>
        <w:t>[27] Rogers D, Hahn M. Extended-connectivity fingerprints. J Chem Inf Model. 2010;50(5):742-754. doi:10.1021/ci100050t</w:t>
      </w:r>
    </w:p>
    <w:p>
      <w:pPr>
        <w:spacing w:before="20" w:after="40" w:line="276" w:lineRule="auto"/>
      </w:pPr>
      <w:r>
        <w:rPr>
          <w:rFonts w:ascii="Times New Roman" w:hAnsi="Times New Roman"/>
          <w:sz w:val="20"/>
        </w:rPr>
        <w:t>[28] Ross J, Belgodere B, Chenthamarakshan V, et al. Large-scale chemical language representations capture molecular structure and properties. Nat Mach Intell. 2022;4(12):1256-1264. doi:10.1038/s42256-022-00580-7</w:t>
      </w:r>
    </w:p>
    <w:p>
      <w:pPr>
        <w:spacing w:before="20" w:after="40" w:line="276" w:lineRule="auto"/>
      </w:pPr>
      <w:r>
        <w:rPr>
          <w:rFonts w:ascii="Times New Roman" w:hAnsi="Times New Roman"/>
          <w:sz w:val="20"/>
        </w:rPr>
        <w:t>[29] Chithrananda S, Grand G, Ramsundar B. ChemBERTa: Large-Scale Self-Supervised Pretraining for Molecular Property Prediction. arXiv:2010.09885 [physics.chem-ph]. 2020.</w:t>
      </w:r>
    </w:p>
    <w:p>
      <w:pPr>
        <w:spacing w:before="20" w:after="40" w:line="276" w:lineRule="auto"/>
      </w:pPr>
      <w:r>
        <w:rPr>
          <w:rFonts w:ascii="Times New Roman" w:hAnsi="Times New Roman"/>
          <w:sz w:val="20"/>
        </w:rPr>
        <w:t>[30] Ahmad W, Simon E, Chithrananda S, et al. ChemBERTa-2: Towards Chemical Foundation Models. arXiv:2209.01712 [q-bio.BM]. 2022.</w:t>
      </w:r>
    </w:p>
    <w:p>
      <w:pPr>
        <w:spacing w:before="20" w:after="40" w:line="276" w:lineRule="auto"/>
      </w:pPr>
      <w:r>
        <w:rPr>
          <w:rFonts w:ascii="Times New Roman" w:hAnsi="Times New Roman"/>
          <w:sz w:val="20"/>
        </w:rPr>
        <w:t>[31] Vaswani A, Shazeer N, Parmar N, et al. Attention is all you need. In: Advances in Neural Information Processing Systems (NeurIPS 2017). 2017;30:5998-6008.</w:t>
      </w:r>
    </w:p>
    <w:p>
      <w:pPr>
        <w:spacing w:before="20" w:after="40" w:line="276" w:lineRule="auto"/>
      </w:pPr>
      <w:r>
        <w:rPr>
          <w:rFonts w:ascii="Times New Roman" w:hAnsi="Times New Roman"/>
          <w:sz w:val="20"/>
        </w:rPr>
        <w:t>[32] Devlin J, Chang MW, Lee K, Toutanova K. BERT: Pre-training of deep bidirectional transformers for language understanding. In: Proc NAACL-HLT. 2019;4171-4186.</w:t>
      </w:r>
    </w:p>
    <w:p>
      <w:pPr>
        <w:spacing w:before="20" w:after="40" w:line="276" w:lineRule="auto"/>
      </w:pPr>
      <w:r>
        <w:rPr>
          <w:rFonts w:ascii="Times New Roman" w:hAnsi="Times New Roman"/>
          <w:sz w:val="20"/>
        </w:rPr>
        <w:t>[33] Wolpert DH. Stacked generalization. Neural Netw. 1992;5(2):241-259. doi:10.1016/S0893-6080(05)80023-1</w:t>
      </w:r>
    </w:p>
    <w:p>
      <w:pPr>
        <w:spacing w:before="20" w:after="40" w:line="276" w:lineRule="auto"/>
      </w:pPr>
      <w:r>
        <w:rPr>
          <w:rFonts w:ascii="Times New Roman" w:hAnsi="Times New Roman"/>
          <w:sz w:val="20"/>
        </w:rPr>
        <w:t>[34] Breiman L. Random forests. Mach Learn. 2001;45(1):5-32. doi:10.1023/A:1010933404324</w:t>
      </w:r>
    </w:p>
    <w:p>
      <w:pPr>
        <w:spacing w:before="20" w:after="40" w:line="276" w:lineRule="auto"/>
      </w:pPr>
      <w:r>
        <w:rPr>
          <w:rFonts w:ascii="Times New Roman" w:hAnsi="Times New Roman"/>
          <w:sz w:val="20"/>
        </w:rPr>
        <w:t>[35] Chen T, Guestrin C. XGBoost: A scalable tree boosting system. In: Proc 22nd ACM SIGKDD Int Conf Knowl Discov Data Min. 2016;785-794. doi:10.1145/2939672.2939785</w:t>
      </w:r>
    </w:p>
    <w:p>
      <w:pPr>
        <w:spacing w:before="20" w:after="40" w:line="276" w:lineRule="auto"/>
      </w:pPr>
      <w:r>
        <w:rPr>
          <w:rFonts w:ascii="Times New Roman" w:hAnsi="Times New Roman"/>
          <w:sz w:val="20"/>
        </w:rPr>
        <w:t>[36] Lundberg SM, Lee SI. A unified approach to interpreting model predictions. In: Advances in Neural Information Processing Systems (NeurIPS 2017). 2017;30:4765-4774.</w:t>
      </w:r>
    </w:p>
    <w:p>
      <w:pPr>
        <w:spacing w:before="20" w:after="40" w:line="276" w:lineRule="auto"/>
      </w:pPr>
      <w:r>
        <w:rPr>
          <w:rFonts w:ascii="Times New Roman" w:hAnsi="Times New Roman"/>
          <w:sz w:val="20"/>
        </w:rPr>
        <w:t>[37] Lundberg SM, Erion G, Chen H, et al. From local explanations to global understanding with explainable AI for trees. Nat Mach Intell. 2020;2(1):56-67. doi:10.1038/s42256-019-0138-9</w:t>
      </w:r>
    </w:p>
    <w:p>
      <w:pPr>
        <w:spacing w:before="20" w:after="40" w:line="276" w:lineRule="auto"/>
      </w:pPr>
      <w:r>
        <w:rPr>
          <w:rFonts w:ascii="Times New Roman" w:hAnsi="Times New Roman"/>
          <w:sz w:val="20"/>
        </w:rPr>
        <w:t>[38] Tjoa E, Guan C. A survey on explainable artificial intelligence (XAI): toward medical XAI. IEEE Trans Neural Netw Learn Syst. 2021;32(11):4793-4813. doi:10.1109/TNNLS.2020.3027314</w:t>
      </w:r>
    </w:p>
    <w:p>
      <w:pPr>
        <w:spacing w:before="20" w:after="40" w:line="276" w:lineRule="auto"/>
      </w:pPr>
      <w:r>
        <w:rPr>
          <w:rFonts w:ascii="Times New Roman" w:hAnsi="Times New Roman"/>
          <w:sz w:val="20"/>
        </w:rPr>
        <w:t>[39] Trott O, Olson AJ. AutoDock Vina: improving the speed and accuracy of docking with a new scoring function, efficient optimization, and multithreading. J Comput Chem. 2010;31(2):455-461. doi:10.1002/jcc.21334</w:t>
      </w:r>
    </w:p>
    <w:p>
      <w:pPr>
        <w:spacing w:before="20" w:after="40" w:line="276" w:lineRule="auto"/>
      </w:pPr>
      <w:r>
        <w:rPr>
          <w:rFonts w:ascii="Times New Roman" w:hAnsi="Times New Roman"/>
          <w:sz w:val="20"/>
        </w:rPr>
        <w:t>[40] Eberhardt J, Santos-Martins D, Tillack AF, Forli S. AutoDock Vina 1.2.0: New docking methods, expanded force field, and python bindings. J Chem Inf Model. 2021;61(8):3891-3898. doi:10.1021/acs.jcim.1c00203</w:t>
      </w:r>
    </w:p>
    <w:p>
      <w:pPr>
        <w:spacing w:before="20" w:after="40" w:line="276" w:lineRule="auto"/>
      </w:pPr>
      <w:r>
        <w:rPr>
          <w:rFonts w:ascii="Times New Roman" w:hAnsi="Times New Roman"/>
          <w:sz w:val="20"/>
        </w:rPr>
        <w:t>[41] Cheung J, Rudolph MJ, Burshteyn F, et al. Structures of human acetylcholinesterase in complex with pharmacologically important inhibitors. J Med Chem. 2012;55(22):10282-10286. doi:10.1021/jm300871x</w:t>
      </w:r>
    </w:p>
    <w:p>
      <w:pPr>
        <w:spacing w:before="20" w:after="40" w:line="276" w:lineRule="auto"/>
      </w:pPr>
      <w:r>
        <w:rPr>
          <w:rFonts w:ascii="Times New Roman" w:hAnsi="Times New Roman"/>
          <w:sz w:val="20"/>
        </w:rPr>
        <w:t>[42] Berman HM, Westbrook J, Feng Z, et al. The Protein Data Bank. Nucleic Acids Res. 2000;28(1):235-242. doi:10.1093/nar/28.1.235</w:t>
      </w:r>
    </w:p>
    <w:p>
      <w:pPr>
        <w:spacing w:before="20" w:after="40" w:line="276" w:lineRule="auto"/>
      </w:pPr>
      <w:r>
        <w:rPr>
          <w:rFonts w:ascii="Times New Roman" w:hAnsi="Times New Roman"/>
          <w:sz w:val="20"/>
        </w:rPr>
        <w:t>[43] Eastman P, Swails J, Chodera JD, et al. OpenMM 7: Rapid development of high performance algorithms for molecular dynamics. PLoS Comput Biol. 2017;13(7):e1005659. doi:10.1371/journal.pcbi.1005659</w:t>
      </w:r>
    </w:p>
    <w:p>
      <w:pPr>
        <w:spacing w:before="20" w:after="40" w:line="276" w:lineRule="auto"/>
      </w:pPr>
      <w:r>
        <w:rPr>
          <w:rFonts w:ascii="Times New Roman" w:hAnsi="Times New Roman"/>
          <w:sz w:val="20"/>
        </w:rPr>
        <w:t>[44] Maier JA, Martinez C, Kasavajhala K, et al. ff14SB: Improving the accuracy of protein side chain and backbone parameters from ff99SB. J Chem Theory Comput. 2015;11(8):3696-3713. doi:10.1021/acs.jctc.5b00255</w:t>
      </w:r>
    </w:p>
    <w:p>
      <w:pPr>
        <w:spacing w:before="20" w:after="40" w:line="276" w:lineRule="auto"/>
      </w:pPr>
      <w:r>
        <w:rPr>
          <w:rFonts w:ascii="Times New Roman" w:hAnsi="Times New Roman"/>
          <w:sz w:val="20"/>
        </w:rPr>
        <w:t>[45] Wang J, Wolf RM, Caldwell JW, et al. Development and testing of a general amber force field. J Comput Chem. 2004;25(9):1157-1174. doi:10.1002/jcc.20035</w:t>
      </w:r>
    </w:p>
    <w:p>
      <w:pPr>
        <w:spacing w:before="20" w:after="40" w:line="276" w:lineRule="auto"/>
      </w:pPr>
      <w:r>
        <w:rPr>
          <w:rFonts w:ascii="Times New Roman" w:hAnsi="Times New Roman"/>
          <w:sz w:val="20"/>
        </w:rPr>
        <w:t>[46] Jorgensen WL, Chandrasekhar J, Madura JD, et al. Comparison of simple potential functions for simulating liquid water. J Chem Phys. 1983;79(2):926-935. doi:10.1063/1.445869</w:t>
      </w:r>
    </w:p>
    <w:p>
      <w:pPr>
        <w:spacing w:before="20" w:after="40" w:line="276" w:lineRule="auto"/>
      </w:pPr>
      <w:r>
        <w:rPr>
          <w:rFonts w:ascii="Times New Roman" w:hAnsi="Times New Roman"/>
          <w:sz w:val="20"/>
        </w:rPr>
        <w:t>[47] Darden T, York D, Pedersen L. Particle mesh Ewald: An N·log(N) method for Ewald sums in large systems. J Chem Phys. 1993;98(12):10089-10092. doi:10.1063/1.464397</w:t>
      </w:r>
    </w:p>
    <w:p>
      <w:pPr>
        <w:spacing w:before="20" w:after="40" w:line="276" w:lineRule="auto"/>
      </w:pPr>
      <w:r>
        <w:rPr>
          <w:rFonts w:ascii="Times New Roman" w:hAnsi="Times New Roman"/>
          <w:sz w:val="20"/>
        </w:rPr>
        <w:t>[48] Genheden S, Ryde U. The MM/PBSA and MM/GBSA methods to estimate ligand-binding affinities. Expert Opin Drug Discov. 2015;10(5):449-461. doi:10.1517/17460441.2015.1032936</w:t>
      </w:r>
    </w:p>
    <w:p>
      <w:pPr>
        <w:spacing w:before="20" w:after="40" w:line="276" w:lineRule="auto"/>
      </w:pPr>
      <w:r>
        <w:rPr>
          <w:rFonts w:ascii="Times New Roman" w:hAnsi="Times New Roman"/>
          <w:sz w:val="20"/>
        </w:rPr>
        <w:t>[49] Kollman PA, Massova I, Reyes C, et al. Calculating free energies of molecular processes using molecular dynamics simulations, molecular mechanics, and continuum solvent models. Acc Chem Res. 2000;33(12):889-897. doi:10.1021/ar000033j</w:t>
      </w:r>
    </w:p>
    <w:p>
      <w:pPr>
        <w:spacing w:before="20" w:after="40" w:line="276" w:lineRule="auto"/>
      </w:pPr>
      <w:r>
        <w:rPr>
          <w:rFonts w:ascii="Times New Roman" w:hAnsi="Times New Roman"/>
          <w:sz w:val="20"/>
        </w:rPr>
        <w:t>[50] OECD. Guidance document on the validation of (quantitative) structure-activity relationship [(Q)SAR] models. OECD Environment Health and Safety Publications. Series on Testing and Assessment No. 69. 2007.</w:t>
      </w:r>
    </w:p>
    <w:p>
      <w:pPr>
        <w:spacing w:before="20" w:after="40" w:line="276" w:lineRule="auto"/>
      </w:pPr>
      <w:r>
        <w:rPr>
          <w:rFonts w:ascii="Times New Roman" w:hAnsi="Times New Roman"/>
          <w:sz w:val="20"/>
        </w:rPr>
        <w:t>[51] Gramatica P. Principles of QSAR models validation: internal and external. QSAR Comb Sci. 2007;26(5):694-701. doi:10.1002/qsar.200610151</w:t>
      </w:r>
    </w:p>
    <w:p>
      <w:pPr>
        <w:spacing w:before="20" w:after="40" w:line="276" w:lineRule="auto"/>
      </w:pPr>
      <w:r>
        <w:rPr>
          <w:rFonts w:ascii="Times New Roman" w:hAnsi="Times New Roman"/>
          <w:sz w:val="20"/>
        </w:rPr>
        <w:t>[52] Rucker C, Rucker G, Meringer M. y-Randomization and its variants in QSPR/QSAR. J Chem Inf Model. 2007;47(6):2345-2357. doi:10.1021/ci700157b</w:t>
      </w:r>
    </w:p>
    <w:p>
      <w:pPr>
        <w:spacing w:before="20" w:after="40" w:line="276" w:lineRule="auto"/>
      </w:pPr>
      <w:r>
        <w:rPr>
          <w:rFonts w:ascii="Times New Roman" w:hAnsi="Times New Roman"/>
          <w:sz w:val="20"/>
        </w:rPr>
        <w:t>[53] Sahigara F, Mansouri K, Ballabio D, et al. Comparison of different approaches to define the applicability domain of QSAR models. Molecules. 2012;17(5):4791-4810. doi:10.3390/molecules17054791</w:t>
      </w:r>
    </w:p>
    <w:p>
      <w:pPr>
        <w:spacing w:before="20" w:after="40" w:line="276" w:lineRule="auto"/>
      </w:pPr>
      <w:r>
        <w:rPr>
          <w:rFonts w:ascii="Times New Roman" w:hAnsi="Times New Roman"/>
          <w:sz w:val="20"/>
        </w:rPr>
        <w:t>[54] Truchon JF, Bayly CI. Evaluating virtual screening methods: good and bad metrics for the "early recognition" problem. J Chem Inf Model. 2007;47(2):488-508. doi:10.1021/ci600426e</w:t>
      </w:r>
    </w:p>
    <w:p>
      <w:pPr>
        <w:spacing w:before="20" w:after="40" w:line="276" w:lineRule="auto"/>
      </w:pPr>
      <w:r>
        <w:rPr>
          <w:rFonts w:ascii="Times New Roman" w:hAnsi="Times New Roman"/>
          <w:sz w:val="20"/>
        </w:rPr>
        <w:t>[55] Wójcikowski M, Ballester PJ, Siedlecki P. Performance of machine-learning scoring functions in high-throughput virtual screening. Mol Inform. 2017;36(11):1700042. doi:10.1002/minf.201700042</w:t>
      </w:r>
    </w:p>
    <w:p>
      <w:pPr>
        <w:spacing w:before="20" w:after="40" w:line="276" w:lineRule="auto"/>
      </w:pPr>
      <w:r>
        <w:rPr>
          <w:rFonts w:ascii="Times New Roman" w:hAnsi="Times New Roman"/>
          <w:sz w:val="20"/>
        </w:rPr>
        <w:t>[56] Daina A, Michielin O, Zoete V. SwissADME: a free web tool to evaluate pharmacokinetics, drug-likeness and medicinal chemistry friendliness of small molecules. Sci Rep. 2017;7:42717. doi:10.1038/srep42717</w:t>
      </w:r>
    </w:p>
    <w:p>
      <w:pPr>
        <w:spacing w:before="20" w:after="40" w:line="276" w:lineRule="auto"/>
      </w:pPr>
      <w:r>
        <w:rPr>
          <w:rFonts w:ascii="Times New Roman" w:hAnsi="Times New Roman"/>
          <w:sz w:val="20"/>
        </w:rPr>
        <w:t>[57] Daina A, Zoete V. A BOILED-Egg to predict gastrointestinal absorption and brain penetration of small molecules. ChemMedChem. 2016;11(11):1117-1121. doi:10.1002/cmdc.201600182</w:t>
      </w:r>
    </w:p>
    <w:p>
      <w:pPr>
        <w:spacing w:before="20" w:after="40" w:line="276" w:lineRule="auto"/>
      </w:pPr>
      <w:r>
        <w:rPr>
          <w:rFonts w:ascii="Times New Roman" w:hAnsi="Times New Roman"/>
          <w:sz w:val="20"/>
        </w:rPr>
        <w:t>[58] Wager TT, Hou X, Verhoest PR, Villalobos A. Moving beyond rules: the development of a central nervous system multiparameter optimization (CNS MPO) approach to enable alignment of drug-like properties. ACS Chem Neurosci. 2010;1(6):435-449. doi:10.1021/cn100008c</w:t>
      </w:r>
    </w:p>
    <w:p>
      <w:pPr>
        <w:spacing w:before="20" w:after="40" w:line="276" w:lineRule="auto"/>
      </w:pPr>
      <w:r>
        <w:rPr>
          <w:rFonts w:ascii="Times New Roman" w:hAnsi="Times New Roman"/>
          <w:sz w:val="20"/>
        </w:rPr>
        <w:t>[59] Wager TT, Hou X, Verhoest PR, Villalobos A. Central nervous system multiparameter optimization desirability design: utility in lead optimization and beyond. ACS Chem Neurosci. 2016;7(6):767-775. doi:10.1021/acschemneuro.6b00029</w:t>
      </w:r>
    </w:p>
    <w:p>
      <w:pPr>
        <w:spacing w:before="20" w:after="40" w:line="276" w:lineRule="auto"/>
      </w:pPr>
      <w:r>
        <w:rPr>
          <w:rFonts w:ascii="Times New Roman" w:hAnsi="Times New Roman"/>
          <w:sz w:val="20"/>
        </w:rPr>
        <w:t>[60] Sugimoto H, Iimura Y, Yamanishi Y, Yamatsu K. Synthesis and structure-activity relationships of acetylcholinesterase inhibitors: 1-benzyl-4-[(5,6-dimethoxy-1-indanon)-2-yl]methylpiperidine hydrochloride and related compounds. J Med Chem. 1995;38(24):4821-4829. doi:10.1021/jm00024a009</w:t>
      </w:r>
    </w:p>
    <w:p>
      <w:pPr>
        <w:spacing w:before="20" w:after="40" w:line="276" w:lineRule="auto"/>
      </w:pPr>
      <w:r>
        <w:rPr>
          <w:rFonts w:ascii="Times New Roman" w:hAnsi="Times New Roman"/>
          <w:sz w:val="20"/>
        </w:rPr>
        <w:t>[61] Bar-On P, Millard CB, Harel M, et al. Kinetic and structural studies on the interaction of cholinesterases with the anti-Alzheimer drug rivastigmine. Biochemistry. 2002;41(11):3555-3564. doi:10.1021/bi011849t</w:t>
      </w:r>
    </w:p>
    <w:p>
      <w:pPr>
        <w:spacing w:before="20" w:after="40" w:line="276" w:lineRule="auto"/>
      </w:pPr>
      <w:r>
        <w:rPr>
          <w:rFonts w:ascii="Times New Roman" w:hAnsi="Times New Roman"/>
          <w:sz w:val="20"/>
        </w:rPr>
        <w:t>[62] Greenblatt HM, Kryger G, Lewis T, et al. Structure of acetylcholinesterase complexed with (-)-galanthamine at 2.3 A resolution. FEBS Lett. 1999;463(3):321-326. doi:10.1016/s0014-5793(99)01637-3</w:t>
      </w:r>
    </w:p>
    <w:p>
      <w:pPr>
        <w:spacing w:before="20" w:after="40" w:line="276" w:lineRule="auto"/>
      </w:pPr>
      <w:r>
        <w:rPr>
          <w:rFonts w:ascii="Times New Roman" w:hAnsi="Times New Roman"/>
          <w:sz w:val="20"/>
        </w:rPr>
        <w:t>[63] Scott JD, Li SW, Brunskill APJ, et al. Discovery of the clinical candidate verubecestat (MK-8931)-a β-secretase inhibitor for the treatment of Alzheimer's disease. J Med Chem. 2016;59(23):10435-10452. doi:10.1021/acs.jmedchem.6b01036</w:t>
      </w:r>
    </w:p>
    <w:p>
      <w:pPr>
        <w:spacing w:before="20" w:after="40" w:line="276" w:lineRule="auto"/>
      </w:pPr>
      <w:r>
        <w:rPr>
          <w:rFonts w:ascii="Times New Roman" w:hAnsi="Times New Roman"/>
          <w:sz w:val="20"/>
        </w:rPr>
        <w:t>[64] Parsons CG, Danysz W, Quack G. Memantine is a clinically well tolerated N-methyl-D-aspartate (NMDA) receptor antagonist--a review of preclinical data. Neuropharmacology. 1999;38(6):735-767. doi:10.1016/s0028-3908(99)00019-2</w:t>
      </w:r>
    </w:p>
    <w:p>
      <w:pPr>
        <w:spacing w:before="20" w:after="40" w:line="276" w:lineRule="auto"/>
      </w:pPr>
      <w:r>
        <w:rPr>
          <w:rFonts w:ascii="Times New Roman" w:hAnsi="Times New Roman"/>
          <w:sz w:val="20"/>
        </w:rPr>
        <w:t>[65] Vignaux PA, Lane TR, Urbina F, et al. Validation of machine learning models for acetylcholinesterase inhibition. ACS Chem Res Toxicol. 2023;36(5):789-801. doi:10.1021/acs.chemrestox.3c00024</w:t>
      </w:r>
    </w:p>
    <w:p>
      <w:pPr>
        <w:spacing w:before="20" w:after="40" w:line="276" w:lineRule="auto"/>
      </w:pPr>
      <w:r>
        <w:rPr>
          <w:rFonts w:ascii="Times New Roman" w:hAnsi="Times New Roman"/>
          <w:sz w:val="20"/>
        </w:rPr>
        <w:t>[66] Yang H, Lou C, Sun L, et al. AdmetSAR 2.0: web-service for prediction and optimization of chemical ADMET properties. Bioinformatics. 2019;35(6):1067-1069. doi:10.1093/bioinformatics/bty707</w:t>
      </w:r>
    </w:p>
    <w:p>
      <w:pPr>
        <w:spacing w:before="20" w:after="40" w:line="276" w:lineRule="auto"/>
      </w:pPr>
      <w:r>
        <w:rPr>
          <w:rFonts w:ascii="Times New Roman" w:hAnsi="Times New Roman"/>
          <w:sz w:val="20"/>
        </w:rPr>
        <w:t>[67] Pires DEV, Blundell TL, Ascher DB. pkCSM: predicting small-molecule pharmacokinetic and toxicity properties using graph-based signatures. J Med Chem. 2015;58(9):4066-4072. doi:10.1021/acs.jmedchem.5b00104</w:t>
      </w:r>
    </w:p>
    <w:p>
      <w:pPr>
        <w:spacing w:before="20" w:after="40" w:line="276" w:lineRule="auto"/>
      </w:pPr>
      <w:r>
        <w:rPr>
          <w:rFonts w:ascii="Times New Roman" w:hAnsi="Times New Roman"/>
          <w:sz w:val="20"/>
        </w:rPr>
        <w:t>[68] Banerjee P, Eckert AO, Schrey AK, Preissner R. ProTox-II: a webserver for the prediction of toxicity of chemicals. Nucleic Acids Res. 2018;46(W1):W257-W263. doi:10.1093/nar/gky318</w:t>
      </w:r>
    </w:p>
    <w:p>
      <w:pPr>
        <w:spacing w:before="20" w:after="40" w:line="276" w:lineRule="auto"/>
      </w:pPr>
      <w:r>
        <w:rPr>
          <w:rFonts w:ascii="Times New Roman" w:hAnsi="Times New Roman"/>
          <w:sz w:val="20"/>
        </w:rPr>
        <w:t>[69] Shannon P, Markiel A, Ozier O, et al. Cytoscape: a software environment for integrated models of biomolecular interaction networks. Genome Res. 2003;13(11):2498-2504. doi:10.1101/gr.1239303</w:t>
      </w:r>
    </w:p>
    <w:p>
      <w:pPr>
        <w:spacing w:before="20" w:after="40" w:line="276" w:lineRule="auto"/>
      </w:pPr>
      <w:r>
        <w:rPr>
          <w:rFonts w:ascii="Times New Roman" w:hAnsi="Times New Roman"/>
          <w:sz w:val="20"/>
        </w:rPr>
        <w:t>[70] Szklarczyk D, Gable AL, Nastou KC, et al. The STRING database in 2021: customizable protein-protein networks, and functional characterization of user-uploaded gene/measurement sets. Nucleic Acids Res. 2021;49(D1):D605-D612. doi:10.1093/nar/gkaa1074</w:t>
      </w:r>
    </w:p>
    <w:p>
      <w:pPr>
        <w:spacing w:before="20" w:after="40" w:line="276" w:lineRule="auto"/>
      </w:pPr>
      <w:r>
        <w:rPr>
          <w:rFonts w:ascii="Times New Roman" w:hAnsi="Times New Roman"/>
          <w:sz w:val="20"/>
        </w:rPr>
        <w:t>[71] Kanehisa M, Goto S. KEGG: kyoto encyclopedia of genes and genomes. Nucleic Acids Res. 2000;28(1):27-30. doi:10.1093/nar/28.1.27</w:t>
      </w:r>
    </w:p>
    <w:p>
      <w:pPr>
        <w:spacing w:before="20" w:after="40" w:line="276" w:lineRule="auto"/>
      </w:pPr>
      <w:r>
        <w:rPr>
          <w:rFonts w:ascii="Times New Roman" w:hAnsi="Times New Roman"/>
          <w:sz w:val="20"/>
        </w:rPr>
        <w:t>[72] The Gene Ontology Consortium. The Gene Ontology resource: enriching a GOld mine. Nucleic Acids Res. 2021;49(D1):D325-D334. doi:10.1093/nar/gkaa1113</w:t>
      </w:r>
    </w:p>
    <w:p>
      <w:pPr>
        <w:spacing w:before="20" w:after="40" w:line="276" w:lineRule="auto"/>
      </w:pPr>
      <w:r>
        <w:rPr>
          <w:rFonts w:ascii="Times New Roman" w:hAnsi="Times New Roman"/>
          <w:sz w:val="20"/>
        </w:rPr>
        <w:t>[73] Lipinski CA, Lombardo F, Dominy BW, Feeney PJ. Experimental and computational approaches to estimate solubility and permeability in drug discovery and development settings. Adv Drug Deliv Rev. 2001;46(1-3):3-26. doi:10.1016/s0169-409x(00)00129-0</w:t>
      </w:r>
    </w:p>
    <w:p>
      <w:pPr>
        <w:spacing w:before="20" w:after="40" w:line="276" w:lineRule="auto"/>
      </w:pPr>
      <w:r>
        <w:rPr>
          <w:rFonts w:ascii="Times New Roman" w:hAnsi="Times New Roman"/>
          <w:sz w:val="20"/>
        </w:rPr>
        <w:t>[74] Veber DF, Johnson SR, Cheng HY, et al. Molecular properties that influence the oral bioavailability of drug candidates. J Med Chem. 2002;45(12):2615-2623. doi:10.1021/jm020017n</w:t>
      </w:r>
    </w:p>
    <w:p>
      <w:pPr>
        <w:spacing w:before="20" w:after="40" w:line="276" w:lineRule="auto"/>
      </w:pPr>
      <w:r>
        <w:rPr>
          <w:rFonts w:ascii="Times New Roman" w:hAnsi="Times New Roman"/>
          <w:sz w:val="20"/>
        </w:rPr>
        <w:t>[75] Shaik T, Ravindiran S, Anbuselvi S, Sudhakar M. Receptor-directed deep learning ensemble with interpretable mechanisms for multi-target Alzheimer's drug discovery. J Chem Inf Model. 2026;In Press.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88888"/>
        <w:sz w:val="17"/>
      </w:rPr>
      <w:t>Shaik et al. | Journal of Biomolecular Structure &amp; Dynamics (JBSD) / Phytotherapy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