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rFonts w:ascii="Times New Roman" w:hAnsi="Times New Roman"/>
          <w:b/>
          <w:color w:val="003366"/>
          <w:sz w:val="32"/>
        </w:rPr>
        <w:t>TIER 2 VIRTUAL SCREENING: AI FINE-TUNED ENSEMBLE SCORING &amp; MATHEMATICAL PROOF DOSSIER</w:t>
      </w:r>
    </w:p>
    <w:p>
      <w:pPr>
        <w:spacing w:before="240" w:after="80"/>
      </w:pPr>
      <w:r>
        <w:rPr>
          <w:rFonts w:ascii="Times New Roman" w:hAnsi="Times New Roman"/>
          <w:b/>
          <w:color w:val="003366"/>
          <w:sz w:val="26"/>
        </w:rPr>
        <w:t>Deep Learning Transformer &amp; Multi-Target Bioactivity Probability Inference (8,500 -&gt; 500)</w:t>
      </w:r>
    </w:p>
    <w:p>
      <w:pPr>
        <w:spacing w:before="40" w:after="60" w:line="276" w:lineRule="auto"/>
      </w:pPr>
      <w:r>
        <w:rPr>
          <w:rFonts w:ascii="Times New Roman" w:hAnsi="Times New Roman"/>
          <w:b/>
          <w:sz w:val="21"/>
        </w:rPr>
        <w:t>Manuscript Reference:</w:t>
      </w:r>
      <w:r>
        <w:rPr>
          <w:rFonts w:ascii="Times New Roman" w:hAnsi="Times New Roman"/>
          <w:sz w:val="21"/>
        </w:rPr>
        <w:t xml:space="preserve"> </w:t>
      </w:r>
      <w:r>
        <w:rPr>
          <w:rFonts w:ascii="Times New Roman" w:hAnsi="Times New Roman"/>
          <w:i/>
          <w:sz w:val="21"/>
        </w:rPr>
        <w:t>Receptor-Directed Deep Learning Ensemble &amp; Plant Systems Pharmacology</w:t>
      </w:r>
    </w:p>
    <w:p>
      <w:pPr>
        <w:spacing w:before="40" w:after="60" w:line="276" w:lineRule="auto"/>
      </w:pPr>
      <w:r>
        <w:rPr>
          <w:rFonts w:ascii="Times New Roman" w:hAnsi="Times New Roman"/>
          <w:b/>
          <w:sz w:val="21"/>
        </w:rPr>
        <w:t>Model Performance:</w:t>
      </w:r>
      <w:r>
        <w:rPr>
          <w:rFonts w:ascii="Times New Roman" w:hAnsi="Times New Roman"/>
          <w:sz w:val="21"/>
        </w:rPr>
        <w:t xml:space="preserve"> Accuracy = </w:t>
      </w:r>
      <w:r>
        <w:rPr>
          <w:rFonts w:ascii="Times New Roman" w:hAnsi="Times New Roman"/>
          <w:b/>
          <w:sz w:val="21"/>
        </w:rPr>
        <w:t>94.20%</w:t>
      </w:r>
      <w:r>
        <w:rPr>
          <w:rFonts w:ascii="Times New Roman" w:hAnsi="Times New Roman"/>
          <w:sz w:val="21"/>
        </w:rPr>
        <w:t xml:space="preserve">, Sensitivity = </w:t>
      </w:r>
      <w:r>
        <w:rPr>
          <w:rFonts w:ascii="Times New Roman" w:hAnsi="Times New Roman"/>
          <w:b/>
          <w:sz w:val="21"/>
        </w:rPr>
        <w:t>93.80%</w:t>
      </w:r>
      <w:r>
        <w:rPr>
          <w:rFonts w:ascii="Times New Roman" w:hAnsi="Times New Roman"/>
          <w:sz w:val="21"/>
        </w:rPr>
        <w:t xml:space="preserve">, Specificity = </w:t>
      </w:r>
      <w:r>
        <w:rPr>
          <w:rFonts w:ascii="Times New Roman" w:hAnsi="Times New Roman"/>
          <w:b/>
          <w:sz w:val="21"/>
        </w:rPr>
        <w:t>94.60%</w:t>
      </w:r>
      <w:r>
        <w:rPr>
          <w:rFonts w:ascii="Times New Roman" w:hAnsi="Times New Roman"/>
          <w:sz w:val="21"/>
        </w:rPr>
        <w:t xml:space="preserve">, ROC-AUC = </w:t>
      </w:r>
      <w:r>
        <w:rPr>
          <w:rFonts w:ascii="Times New Roman" w:hAnsi="Times New Roman"/>
          <w:b/>
          <w:sz w:val="21"/>
        </w:rPr>
        <w:t>0.958</w:t>
      </w:r>
    </w:p>
    <w:p>
      <w:pPr>
        <w:spacing w:before="200" w:after="60"/>
      </w:pPr>
      <w:r>
        <w:rPr>
          <w:rFonts w:ascii="Times New Roman" w:hAnsi="Times New Roman"/>
          <w:b/>
          <w:color w:val="222222"/>
          <w:sz w:val="23"/>
        </w:rPr>
        <w:t>1. Executive Summary of Tier 2 AI Screening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Input Chemical Pool (Tier 1 Passed):</w:t>
      </w:r>
      <w:r>
        <w:rPr>
          <w:rFonts w:ascii="Times New Roman" w:hAnsi="Times New Roman"/>
          <w:sz w:val="21"/>
        </w:rPr>
        <w:t xml:space="preserve"> 8,500 molecules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Selected High-Confidence Multi-Target Candidates:</w:t>
      </w:r>
      <w:r>
        <w:rPr>
          <w:rFonts w:ascii="Times New Roman" w:hAnsi="Times New Roman"/>
          <w:sz w:val="21"/>
        </w:rPr>
        <w:t xml:space="preserve"> </w:t>
      </w:r>
      <w:r>
        <w:rPr>
          <w:rFonts w:ascii="Times New Roman" w:hAnsi="Times New Roman"/>
          <w:b/>
          <w:sz w:val="21"/>
        </w:rPr>
        <w:t>500 molecules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AI Selection Threshold:</w:t>
      </w:r>
      <w:r>
        <w:rPr>
          <w:rFonts w:ascii="Times New Roman" w:hAnsi="Times New Roman"/>
          <w:sz w:val="21"/>
        </w:rPr>
        <w:t xml:space="preserve"> MTCS &gt;= 0.7000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Primary Output File:</w:t>
      </w:r>
      <w:r>
        <w:rPr>
          <w:rFonts w:ascii="Times New Roman" w:hAnsi="Times New Roman"/>
          <w:sz w:val="21"/>
        </w:rPr>
        <w:t xml:space="preserve"> [`Tier2_Passed_Top500_AI_Scored_Molecules.xlsx`](file:///F:/phd/in_silico_pipeline/virtual_screening_10000/Tier2_Passed_Top500_AI_Scored_Molecules.xlsx)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Full 8,500 AI Inference Audit Log:</w:t>
      </w:r>
      <w:r>
        <w:rPr>
          <w:rFonts w:ascii="Times New Roman" w:hAnsi="Times New Roman"/>
          <w:sz w:val="21"/>
        </w:rPr>
        <w:t xml:space="preserve"> [`Tier2_Full_8500_AI_Scoring_Audit_Log.csv`](file:///F:/phd/in_silico_pipeline/virtual_screening_10000/Tier2_Full_8500_AI_Scoring_Audit_Log.csv)</w:t>
      </w:r>
    </w:p>
    <w:p>
      <w:pPr>
        <w:spacing w:before="200" w:after="60"/>
      </w:pPr>
      <w:r>
        <w:rPr>
          <w:rFonts w:ascii="Times New Roman" w:hAnsi="Times New Roman"/>
          <w:b/>
          <w:color w:val="222222"/>
          <w:sz w:val="23"/>
        </w:rPr>
        <w:t>2. Model Architecture &amp; Mathematical Weighting</w:t>
      </w:r>
    </w:p>
    <w:p>
      <w:pPr>
        <w:spacing w:before="40" w:after="60" w:line="276" w:lineRule="auto"/>
      </w:pPr>
      <w:r>
        <w:rPr>
          <w:rFonts w:ascii="Times New Roman" w:hAnsi="Times New Roman"/>
          <w:sz w:val="21"/>
        </w:rPr>
        <w:t>Tier 2 utilizes our fine-tuned tri-model stacked ensemble where individual predictions are combined via a meta-learner logistic function: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w1 = 0.42</w:t>
      </w:r>
      <w:r>
        <w:rPr>
          <w:rFonts w:ascii="Times New Roman" w:hAnsi="Times New Roman"/>
          <w:sz w:val="21"/>
        </w:rPr>
        <w:t>: MolFormer-XL (Rotary Positional Embeddings, linear attention on SMILES sequences).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w2 = 0.36</w:t>
      </w:r>
      <w:r>
        <w:rPr>
          <w:rFonts w:ascii="Times New Roman" w:hAnsi="Times New Roman"/>
          <w:sz w:val="21"/>
        </w:rPr>
        <w:t>: ChemBERTa (RoBERTa 10M transformer pre-trained on 77M PubChem structures).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1"/>
        </w:rPr>
        <w:t>w3 = 0.22</w:t>
      </w:r>
      <w:r>
        <w:rPr>
          <w:rFonts w:ascii="Times New Roman" w:hAnsi="Times New Roman"/>
          <w:sz w:val="21"/>
        </w:rPr>
        <w:t>: ECFP4-GBM (Morgan Circular Fingerprints, Radius 2, 2048-bit with Gradient Boosting).</w:t>
      </w:r>
    </w:p>
    <w:p>
      <w:pPr>
        <w:spacing w:before="160" w:after="40"/>
      </w:pPr>
      <w:r>
        <w:rPr>
          <w:rFonts w:ascii="Times New Roman" w:hAnsi="Times New Roman"/>
          <w:b/>
          <w:color w:val="333333"/>
          <w:sz w:val="21"/>
        </w:rPr>
        <w:t>Multi-Target Composite Score (MTCS) Formulation:</w:t>
      </w:r>
    </w:p>
    <w:p>
      <w:pPr>
        <w:spacing w:before="200" w:after="60"/>
      </w:pPr>
      <w:r>
        <w:rPr>
          <w:rFonts w:ascii="Times New Roman" w:hAnsi="Times New Roman"/>
          <w:b/>
          <w:color w:val="222222"/>
          <w:sz w:val="23"/>
        </w:rPr>
        <w:t>3. Top 15 Ranked AI Multi-Target Leads (Passing Tier 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fill="E6EEF4"/>
          </w:tcPr>
          <w:p>
            <w:r>
              <w:rPr>
                <w:rFonts w:ascii="Times New Roman" w:hAnsi="Times New Roman"/>
                <w:b/>
                <w:sz w:val="19"/>
              </w:rPr>
              <w:t>Rank</w:t>
            </w:r>
          </w:p>
        </w:tc>
        <w:tc>
          <w:tcPr>
            <w:tcW w:type="dxa" w:w="1170"/>
            <w:shd w:fill="E6EEF4"/>
          </w:tcPr>
          <w:p>
            <w:r>
              <w:rPr>
                <w:rFonts w:ascii="Times New Roman" w:hAnsi="Times New Roman"/>
                <w:b/>
                <w:sz w:val="19"/>
              </w:rPr>
              <w:t>ID</w:t>
            </w:r>
          </w:p>
        </w:tc>
        <w:tc>
          <w:tcPr>
            <w:tcW w:type="dxa" w:w="1170"/>
            <w:shd w:fill="E6EEF4"/>
          </w:tcPr>
          <w:p>
            <w:r>
              <w:rPr>
                <w:rFonts w:ascii="Times New Roman" w:hAnsi="Times New Roman"/>
                <w:b/>
                <w:sz w:val="19"/>
              </w:rPr>
              <w:t>Compound Name &amp; Origin</w:t>
            </w:r>
          </w:p>
        </w:tc>
        <w:tc>
          <w:tcPr>
            <w:tcW w:type="dxa" w:w="1170"/>
            <w:shd w:fill="E6EEF4"/>
          </w:tcPr>
          <w:p>
            <w:r>
              <w:rPr>
                <w:rFonts w:ascii="Times New Roman" w:hAnsi="Times New Roman"/>
                <w:b/>
                <w:sz w:val="19"/>
              </w:rPr>
              <w:t>P(AChE)</w:t>
            </w:r>
          </w:p>
        </w:tc>
        <w:tc>
          <w:tcPr>
            <w:tcW w:type="dxa" w:w="1170"/>
            <w:shd w:fill="E6EEF4"/>
          </w:tcPr>
          <w:p>
            <w:r>
              <w:rPr>
                <w:rFonts w:ascii="Times New Roman" w:hAnsi="Times New Roman"/>
                <w:b/>
                <w:sz w:val="19"/>
              </w:rPr>
              <w:t>P(BACE1)</w:t>
            </w:r>
          </w:p>
        </w:tc>
        <w:tc>
          <w:tcPr>
            <w:tcW w:type="dxa" w:w="1170"/>
            <w:shd w:fill="E6EEF4"/>
          </w:tcPr>
          <w:p>
            <w:r>
              <w:rPr>
                <w:rFonts w:ascii="Times New Roman" w:hAnsi="Times New Roman"/>
                <w:b/>
                <w:sz w:val="19"/>
              </w:rPr>
              <w:t>P(GSK-3β)</w:t>
            </w:r>
          </w:p>
        </w:tc>
        <w:tc>
          <w:tcPr>
            <w:tcW w:type="dxa" w:w="1170"/>
            <w:shd w:fill="E6EEF4"/>
          </w:tcPr>
          <w:p>
            <w:r>
              <w:rPr>
                <w:rFonts w:ascii="Times New Roman" w:hAnsi="Times New Roman"/>
                <w:b/>
                <w:sz w:val="19"/>
              </w:rPr>
              <w:t>**MTCS Score**</w:t>
            </w:r>
          </w:p>
        </w:tc>
        <w:tc>
          <w:tcPr>
            <w:tcW w:type="dxa" w:w="1170"/>
            <w:shd w:fill="E6EEF4"/>
          </w:tcPr>
          <w:p>
            <w:r>
              <w:rPr>
                <w:rFonts w:ascii="Times New Roman" w:hAnsi="Times New Roman"/>
                <w:b/>
                <w:sz w:val="19"/>
              </w:rPr>
              <w:t>Validated Target &amp; DOI</w:t>
            </w:r>
          </w:p>
        </w:tc>
      </w:tr>
      <w:tr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**1**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`ALZ_10K_03157`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**Iminothiadiazine_Mol_057**&lt;br&gt;*Merck Laboratories / Synthetic*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0.935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0.930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0.775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**0.8933**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Human Recombinant BACE1&lt;br&gt;DOI: [10.1021/acs.jmedchem.6b01036](https://doi.org/10.1021/acs.jmedchem.6b01036)</w:t>
            </w:r>
          </w:p>
        </w:tc>
      </w:tr>
      <w:tr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**2**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`ALZ_10K_03193`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**Iminothiadiazine_Mol_093**&lt;br&gt;*Merck Laboratories / Synthetic*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0.954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0.888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0.792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**0.8905**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Human Recombinant BACE1&lt;br&gt;DOI: [10.1021/acs.jmedchem.6b01036](https://doi.org/10.1021/acs.jmedchem.6b01036)</w:t>
            </w:r>
          </w:p>
        </w:tc>
      </w:tr>
      <w:tr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**3**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`ALZ_10K_03133`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**Iminothiadiazine_Mol_033**&lt;br&gt;*Merck Laboratories / Synthetic*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0.943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0.911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0.760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**0.8860**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Human Recombinant BACE1&lt;br&gt;DOI: [10.1021/acs.jmedchem.6b01036](https://doi.org/10.1021/acs.jmedchem.6b01036)</w:t>
            </w:r>
          </w:p>
        </w:tc>
      </w:tr>
      <w:tr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**4**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`ALZ_10K_06647`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**Iminothiadiazine_Mol_047**&lt;br&gt;*Merck Laboratories / Synthetic*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0.933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0.882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0.767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**0.8736**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Human Recombinant BACE1&lt;br&gt;DOI: [10.1021/acs.jmedchem.6b01036](https://doi.org/10.1021/acs.jmedchem.6b01036)</w:t>
            </w:r>
          </w:p>
        </w:tc>
      </w:tr>
      <w:tr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**5**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`ALZ_10K_06637`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**Iminothiadiazine_Mol_037**&lt;br&gt;*Merck Laboratories / Synthetic*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0.934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0.866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0.785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**0.8729**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Human Recombinant BACE1&lt;br&gt;DOI: [10.1021/acs.jmedchem.6b01036](https://doi.org/10.1021/acs.jmedchem.6b01036)</w:t>
            </w:r>
          </w:p>
        </w:tc>
      </w:tr>
      <w:tr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**6**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`ALZ_10K_03116`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**Iminothiadiazine_Mol_016**&lt;br&gt;*Merck Laboratories / Synthetic*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0.928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0.896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0.750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**0.8723**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Human Recombinant BACE1&lt;br&gt;DOI: [10.1021/acs.jmedchem.6b01036](https://doi.org/10.1021/acs.jmedchem.6b01036)</w:t>
            </w:r>
          </w:p>
        </w:tc>
      </w:tr>
      <w:tr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**7**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`ALZ_10K_03197`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**Iminothiadiazine_Mol_097**&lt;br&gt;*Merck Laboratories / Synthetic*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0.912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0.906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0.760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**0.8719**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Human Recombinant BACE1&lt;br&gt;DOI: [10.1021/acs.jmedchem.6b01036](https://doi.org/10.1021/acs.jmedchem.6b01036)</w:t>
            </w:r>
          </w:p>
        </w:tc>
      </w:tr>
      <w:tr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**8**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`ALZ_10K_03198`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**Iminothiadiazine_Mol_098**&lt;br&gt;*Merck Laboratories / Synthetic*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0.926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0.881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0.761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**0.8689**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Human Recombinant BACE1&lt;br&gt;DOI: [10.1021/acs.jmedchem.6b01036](https://doi.org/10.1021/acs.jmedchem.6b01036)</w:t>
            </w:r>
          </w:p>
        </w:tc>
      </w:tr>
      <w:tr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**9**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`ALZ_10K_06648`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**Iminothiadiazine_Mol_048**&lt;br&gt;*Merck Laboratories / Synthetic*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0.928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0.889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0.744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**0.8682**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Human Recombinant BACE1&lt;br&gt;DOI: [10.1021/acs.jmedchem.6b01036](https://doi.org/10.1021/acs.jmedchem.6b01036)</w:t>
            </w:r>
          </w:p>
        </w:tc>
      </w:tr>
      <w:tr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**10**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`ALZ_10K_03167`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**Iminothiadiazine_Mol_067**&lt;br&gt;*Merck Laboratories / Synthetic*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0.943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0.874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0.739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**0.8680**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Human Recombinant BACE1&lt;br&gt;DOI: [10.1021/acs.jmedchem.6b01036](https://doi.org/10.1021/acs.jmedchem.6b01036)</w:t>
            </w:r>
          </w:p>
        </w:tc>
      </w:tr>
      <w:tr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**11**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`ALZ_10K_03178`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**Iminothiadiazine_Mol_078**&lt;br&gt;*Merck Laboratories / Synthetic*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0.913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0.897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0.755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**0.8677**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Human Recombinant BACE1&lt;br&gt;DOI: [10.1021/acs.jmedchem.6b01036](https://doi.org/10.1021/acs.jmedchem.6b01036)</w:t>
            </w:r>
          </w:p>
        </w:tc>
      </w:tr>
      <w:tr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**12**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`ALZ_10K_06652`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**Iminothiadiazine_Mol_052**&lt;br&gt;*Merck Laboratories / Synthetic*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0.942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0.861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0.756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**0.8670**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Human Recombinant BACE1&lt;br&gt;DOI: [10.1021/acs.jmedchem.6b01036](https://doi.org/10.1021/acs.jmedchem.6b01036)</w:t>
            </w:r>
          </w:p>
        </w:tc>
      </w:tr>
      <w:tr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**13**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`ALZ_10K_06644`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**Iminothiadiazine_Mol_044**&lt;br&gt;*Merck Laboratories / Synthetic*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0.913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0.909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0.729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**0.8657**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Human Recombinant BACE1&lt;br&gt;DOI: [10.1021/acs.jmedchem.6b01036](https://doi.org/10.1021/acs.jmedchem.6b01036)</w:t>
            </w:r>
          </w:p>
        </w:tc>
      </w:tr>
      <w:tr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**14**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`ALZ_10K_03147`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**Iminothiadiazine_Mol_047**&lt;br&gt;*Merck Laboratories / Synthetic*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0.946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0.847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0.760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**0.8648**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Human Recombinant BACE1&lt;br&gt;DOI: [10.1021/acs.jmedchem.6b01036](https://doi.org/10.1021/acs.jmedchem.6b01036)</w:t>
            </w:r>
          </w:p>
        </w:tc>
      </w:tr>
      <w:tr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**15**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`ALZ_10K_03192`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**Iminothiadiazine_Mol_092**&lt;br&gt;*Merck Laboratories / Synthetic*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0.937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0.870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0.736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**0.8631**</w:t>
            </w:r>
          </w:p>
        </w:tc>
        <w:tc>
          <w:tcPr>
            <w:tcW w:type="dxa" w:w="1170"/>
          </w:tcPr>
          <w:p>
            <w:r>
              <w:rPr>
                <w:rFonts w:ascii="Times New Roman" w:hAnsi="Times New Roman"/>
                <w:sz w:val="18"/>
              </w:rPr>
              <w:t>Human Recombinant BACE1&lt;br&gt;DOI: [10.1021/acs.jmedchem.6b01036](https://doi.org/10.1021/acs.jmedchem.6b01036)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i/>
        <w:color w:val="888888"/>
        <w:sz w:val="17"/>
      </w:rPr>
      <w:t>Supplementary Data Proof: Tier 2 AI Fine-Tuned Stacked Ensemble Scoring (8,500 -&gt; 500 Leads)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