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f0eacc1f2572b63f6afa830a99b1d346f8ba962"/>
    <w:p>
      <w:pPr>
        <w:pStyle w:val="Heading1"/>
      </w:pPr>
      <w:r>
        <w:t xml:space="preserve">R8: A Lexical Framework for Quantifying Cognitive Manipulation Risk in Text</w:t>
      </w:r>
    </w:p>
    <w:p>
      <w:pPr>
        <w:pStyle w:val="FirstParagraph"/>
      </w:pPr>
      <w:r>
        <w:rPr>
          <w:b/>
          <w:bCs/>
        </w:rPr>
        <w:t xml:space="preserve">Author:</w:t>
      </w:r>
      <w:r>
        <w:t xml:space="preserve"> </w:t>
      </w:r>
      <w:r>
        <w:t xml:space="preserve">Takahiro Saito, M.S. in Clinical Psychology</w:t>
      </w:r>
      <w:r>
        <w:br/>
      </w:r>
      <w:r>
        <w:rPr>
          <w:b/>
          <w:bCs/>
        </w:rPr>
        <w:t xml:space="preserve">Affiliation:</w:t>
      </w:r>
      <w:r>
        <w:t xml:space="preserve"> </w:t>
      </w:r>
      <w:r>
        <w:t xml:space="preserve">Independent Researcher</w:t>
      </w:r>
      <w:r>
        <w:br/>
      </w:r>
      <w:r>
        <w:rPr>
          <w:b/>
          <w:bCs/>
        </w:rPr>
        <w:t xml:space="preserve">GitHub:</w:t>
      </w:r>
      <w:r>
        <w:t xml:space="preserve"> </w:t>
      </w:r>
      <w:r>
        <w:t xml:space="preserve">https://github.com/takahiro-oss/r8-cognitive-risk</w:t>
      </w:r>
      <w:r>
        <w:br/>
      </w:r>
      <w:r>
        <w:rPr>
          <w:b/>
          <w:bCs/>
        </w:rPr>
        <w:t xml:space="preserve">License:</w:t>
      </w:r>
      <w:r>
        <w:t xml:space="preserve"> </w:t>
      </w:r>
      <w:r>
        <w:t xml:space="preserve">CC BY 4.0</w:t>
      </w:r>
      <w:r>
        <w:br/>
      </w:r>
      <w:r>
        <w:rPr>
          <w:b/>
          <w:bCs/>
        </w:rPr>
        <w:t xml:space="preserve">Status:</w:t>
      </w:r>
      <w:r>
        <w:t xml:space="preserve"> </w:t>
      </w:r>
      <w:r>
        <w:t xml:space="preserve">Preprint (not peer-reviewed)</w:t>
      </w:r>
      <w:r>
        <w:br/>
      </w:r>
      <w:r>
        <w:rPr>
          <w:b/>
          <w:bCs/>
        </w:rPr>
        <w:t xml:space="preserve">Date:</w:t>
      </w:r>
      <w:r>
        <w:t xml:space="preserve"> </w:t>
      </w:r>
      <w:r>
        <w:t xml:space="preserve">March 2026</w:t>
      </w:r>
    </w:p>
    <w:p>
      <w:r>
        <w:pict>
          <v:rect style="width:0;height:1.5pt" o:hralign="center" o:hrstd="t" o:hr="t"/>
        </w:pict>
      </w:r>
    </w:p>
    <w:bookmarkStart w:id="9" w:name="abstract"/>
    <w:p>
      <w:pPr>
        <w:pStyle w:val="Heading2"/>
      </w:pPr>
      <w:r>
        <w:t xml:space="preserve">Abstract</w:t>
      </w:r>
    </w:p>
    <w:p>
      <w:pPr>
        <w:pStyle w:val="FirstParagraph"/>
      </w:pPr>
      <w:r>
        <w:t xml:space="preserve">R8 proposes a structural approach to quantifying cognitive manipulation risk in Japanese-language text across 12 theoretically grounded categories, drawing conceptual inspiration from factor-based psychometric models including the MMPI and Rorschach Comprehensive System. This is an exploratory framework requiring empirical validation.</w:t>
      </w:r>
    </w:p>
    <w:p>
      <w:pPr>
        <w:pStyle w:val="BodyText"/>
      </w:pPr>
      <w:r>
        <w:t xml:space="preserve">R8 extends the qualitative analysis of organizational cognitive failure — as documented in studies of military and institutional collapse (Tobe et al., 1984) — into a quantitative, real-time detection framework. Rather than analyzing failure after the fact, R8 identifies the linguistic patterns of cognitive manipulation that precede organizational and societal failure. The theoretical framework integrates Japanese organizational sociology (Yamamoto, 1977; Nakane, 1967) with Western social psychology (Janis, 1972; Milgram, 1963; Kahneman, 2011) and clinical psychology of manipulation (Symington, 1993).</w:t>
      </w:r>
    </w:p>
    <w:p>
      <w:pPr>
        <w:pStyle w:val="BodyText"/>
      </w:pPr>
      <w:r>
        <w:t xml:space="preserve">The system produces a single composite score, the Cognitive Manipulation Index (CMI), defined as the aggregate pressure exerted against autonomous thinking — the quantified force that induces passive cognitive reception where independent critical judgment is required. Preliminary validation against a 6-document corpus yields an exact match rate of 17% and within-one-level agreement of 67%, with discrepancies attributable primarily to JavaScript-rendered content limitations and corpus scope. The system is released as open-source software under CC BY 4.0, with full source code and this preprint publicly available at https://github.com/takahiro-oss/r8-cognitive-risk.</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proliferation of digital information has intensified the challenge of distinguishing legitimate communication from cognitive manipulation. Existing approaches to this problem — including fact-checking systems, hate speech detection, and misinformation classifiers — focus primarily on the veracity of content. However, cognitive manipulation operates at a structural level that precedes factual falsity. A message can be factually accurate while simultaneously exploiting psychological vulnerabilities through urgency, false authority, emotional amplification, and logical misdirection.</w:t>
      </w:r>
    </w:p>
    <w:p>
      <w:pPr>
        <w:pStyle w:val="BodyText"/>
      </w:pPr>
      <w:r>
        <w:t xml:space="preserve">This structural dimension of manipulation has been examined qualitatively in organizational research. Notably, Tobe et al. (1984) identified the cognitive patterns that preceded Japan’s institutional collapse in World War II — including the suppression of disconfirming information, over-reliance on authority, and emotionally-driven decision-making. These patterns were not unique to military organizations; they recur across corporate, political, and media contexts.</w:t>
      </w:r>
    </w:p>
    <w:p>
      <w:pPr>
        <w:pStyle w:val="BodyText"/>
      </w:pPr>
      <w:r>
        <w:t xml:space="preserve">R8 (Cognitive Risk Analyzer) proposes a quantitative, real-time extension of this qualitative tradition. Rather than analyzing cognitive failure after the fact, R8 identifies the linguistic traces of manipulation as they appear in text. The system operates across 12 risk categories derived from psychometric and clinical psychology frameworks, producing a single composite score: the Cognitive Manipulation Index (CMI).</w:t>
      </w:r>
    </w:p>
    <w:p>
      <w:pPr>
        <w:pStyle w:val="BodyText"/>
      </w:pPr>
      <w:r>
        <w:t xml:space="preserve">A parallel insight emerges from computational linguistics research on machine reading comprehension. Arai (2018) demonstrated that AI systems process text through statistical pattern matching without achieving genuine semantic understanding — a structural limitation that, paradoxically, informs R8’s design philosophy. If cognitive manipulation operates through structural patterns rather than semantic content, then structural detection — without semantic interpretation — becomes not a limitation but a principled methodological choice. R8 deliberately brackets meaning in favor of structure, treating the linguistic surface as the primary site of manipulative operation.</w:t>
      </w:r>
    </w:p>
    <w:p>
      <w:pPr>
        <w:pStyle w:val="BodyText"/>
      </w:pPr>
      <w:r>
        <w:t xml:space="preserve">The present paper describes the theoretical foundation, implementation, and preliminary validation of R8 as an open-source lexical auditing framework. We argue that surface-level lexical analysis, while limited in contextual sensitivity, provides a reproducible and transparent baseline for cognitive risk quantification — one that complements rather than replaces deeper semantic analysis.</w:t>
      </w:r>
    </w:p>
    <w:p>
      <w:r>
        <w:pict>
          <v:rect style="width:0;height:1.5pt" o:hralign="center" o:hrstd="t" o:hr="t"/>
        </w:pict>
      </w:r>
    </w:p>
    <w:bookmarkEnd w:id="10"/>
    <w:bookmarkStart w:id="19" w:name="theoretical-background"/>
    <w:p>
      <w:pPr>
        <w:pStyle w:val="Heading2"/>
      </w:pPr>
      <w:r>
        <w:t xml:space="preserve">2. Theoretical Background</w:t>
      </w:r>
    </w:p>
    <w:bookmarkStart w:id="11" w:name="X62903cd5f1c10dde6a2e839c70ff2253f12d017"/>
    <w:p>
      <w:pPr>
        <w:pStyle w:val="Heading3"/>
      </w:pPr>
      <w:r>
        <w:t xml:space="preserve">2.1 From Institutional Failure to Cognitive Manipulation: The</w:t>
      </w:r>
      <w:r>
        <w:t xml:space="preserve"> </w:t>
      </w:r>
      <w:r>
        <w:t xml:space="preserve">“Essence of Failure”</w:t>
      </w:r>
      <w:r>
        <w:t xml:space="preserve"> </w:t>
      </w:r>
      <w:r>
        <w:t xml:space="preserve">Framework</w:t>
      </w:r>
    </w:p>
    <w:p>
      <w:pPr>
        <w:pStyle w:val="FirstParagraph"/>
      </w:pPr>
      <w:r>
        <w:t xml:space="preserve">The structural analysis of cognitive failure in organizations has been examined qualitatively in Japanese organizational research. Tobe et al. (1984) identified recurring patterns of institutional collapse in the Japanese military during World War II — patterns that transcend their historical context and recur across corporate, political, and media environments.</w:t>
      </w:r>
    </w:p>
    <w:p>
      <w:pPr>
        <w:pStyle w:val="BodyText"/>
      </w:pPr>
      <w:r>
        <w:t xml:space="preserve">Four structural patterns identified by Tobe et al. are directly relevant to R8’s design. First, decision-making was dominated by subjective, wishful thinking rather than objective situational assessment — a pattern R8 operationalizes as Emotional Risk. Second, logical argumentation was systematically displaced by hierarchical authority and face-saving behavior — corresponding to R8’s Authority Risk and Logical Risk categories. Third, organizations demonstrated a consistent refusal to incorporate disconfirming information, suppressing data that contradicted prevailing assumptions — a pattern detectable through R8’s Disclaimer Exploit and Anonymous Authority scores. Fourth, and most critically, organizational decisions were governed not by explicit rules but by an implicit atmospheric consensus.</w:t>
      </w:r>
    </w:p>
    <w:bookmarkEnd w:id="11"/>
    <w:bookmarkStart w:id="12" w:name="X7493c3162963b788d08c419ffc6d29dc9c1ac2d"/>
    <w:p>
      <w:pPr>
        <w:pStyle w:val="Heading3"/>
      </w:pPr>
      <w:r>
        <w:t xml:space="preserve">2.2</w:t>
      </w:r>
      <w:r>
        <w:t xml:space="preserve"> </w:t>
      </w:r>
      <w:r>
        <w:t xml:space="preserve">“Kuuki”</w:t>
      </w:r>
      <w:r>
        <w:t xml:space="preserve"> </w:t>
      </w:r>
      <w:r>
        <w:t xml:space="preserve">and the Vertical Society: Structural Foundations of Cognitive Coercion</w:t>
      </w:r>
    </w:p>
    <w:p>
      <w:pPr>
        <w:pStyle w:val="FirstParagraph"/>
      </w:pPr>
      <w:r>
        <w:t xml:space="preserve">This implicit atmospheric consensus was theorized by Yamamoto (1977) as</w:t>
      </w:r>
      <w:r>
        <w:t xml:space="preserve"> </w:t>
      </w:r>
      <w:r>
        <w:t xml:space="preserve">“kuuki”</w:t>
      </w:r>
      <w:r>
        <w:t xml:space="preserve"> </w:t>
      </w:r>
      <w:r>
        <w:rPr>
          <w:rFonts w:hint="eastAsia"/>
        </w:rPr>
        <w:t xml:space="preserve">(空気,</w:t>
      </w:r>
      <w:r>
        <w:t xml:space="preserve"> literally</w:t>
      </w:r>
      <w:r>
        <w:t xml:space="preserve"> </w:t>
      </w:r>
      <w:r>
        <w:t xml:space="preserve">“air”</w:t>
      </w:r>
      <w:r>
        <w:t xml:space="preserve">) — a form of social pressure that operates below the level of explicit argument, yet determines collective outcomes with greater force than formal reasoning. Kuuki functions as an extra-logical coercive force that paralyzes rational dissent without requiring explicit justification.</w:t>
      </w:r>
    </w:p>
    <w:p>
      <w:pPr>
        <w:pStyle w:val="BodyText"/>
      </w:pPr>
      <w:r>
        <w:t xml:space="preserve">The structural foundation that sustains kuuki is identified by Nakane (1967) in her analysis of Japanese vertical society (tate-shakai). In this framework, the credibility of information is determined not by its content but by the hierarchical position of its source. Truth, in effect, is assigned by rank rather than derived through reasoning. R8 captures this structural dynamic through its False Authority and Logical Misdirection categories: the CMI measures the density of linguistic markers used to bypass critical thinking by exploiting hierarchical status and situational mood rather than logical demonstration.</w:t>
      </w:r>
    </w:p>
    <w:bookmarkEnd w:id="12"/>
    <w:bookmarkStart w:id="13" w:name="X0d6def285c34f81f5585c85e5d7bd8594126b27"/>
    <w:p>
      <w:pPr>
        <w:pStyle w:val="Heading3"/>
      </w:pPr>
      <w:r>
        <w:t xml:space="preserve">2.3 The</w:t>
      </w:r>
      <w:r>
        <w:t xml:space="preserve"> </w:t>
      </w:r>
      <w:r>
        <w:t xml:space="preserve">“Glider”</w:t>
      </w:r>
      <w:r>
        <w:t xml:space="preserve"> </w:t>
      </w:r>
      <w:r>
        <w:t xml:space="preserve">Problem: Quantifying Cognitive Dependency</w:t>
      </w:r>
    </w:p>
    <w:p>
      <w:pPr>
        <w:pStyle w:val="FirstParagraph"/>
      </w:pPr>
      <w:r>
        <w:t xml:space="preserve">The susceptibility of individuals to such manipulation is illuminated by Toyama’s (1983)</w:t>
      </w:r>
      <w:r>
        <w:t xml:space="preserve"> </w:t>
      </w:r>
      <w:r>
        <w:t xml:space="preserve">“glider”</w:t>
      </w:r>
      <w:r>
        <w:t xml:space="preserve"> </w:t>
      </w:r>
      <w:r>
        <w:t xml:space="preserve">metaphor, describing cognitive subjects who lack independent reasoning propulsion and rely instead on external information flow for directional guidance. Manipulative texts exploit this dependency through urgency signals and disclaimer exploitation — keeping the subject in a state of passive reception that prevents the activation of autonomous critical judgment.</w:t>
      </w:r>
    </w:p>
    <w:p>
      <w:pPr>
        <w:pStyle w:val="BodyText"/>
      </w:pPr>
      <w:r>
        <w:t xml:space="preserve">R8 functions as a</w:t>
      </w:r>
      <w:r>
        <w:t xml:space="preserve"> </w:t>
      </w:r>
      <w:r>
        <w:t xml:space="preserve">“Cognitive Breakwater”</w:t>
      </w:r>
      <w:r>
        <w:t xml:space="preserve"> </w:t>
      </w:r>
      <w:r>
        <w:rPr>
          <w:rFonts w:hint="eastAsia"/>
        </w:rPr>
        <w:t xml:space="preserve">(認知的防波堤):</w:t>
      </w:r>
      <w:r>
        <w:t xml:space="preserve"> it identifies the structural slopes in text that incline a reader toward cognitive dependency rather than deliberation. The CMI is thus defined not merely as a sum of manipulation markers, but as a measure of the aggregate pressure exerted against autonomous thinking — the quantified force that induces gliding where independent propulsion is required.</w:t>
      </w:r>
    </w:p>
    <w:bookmarkEnd w:id="13"/>
    <w:bookmarkStart w:id="14" w:name="X1662dc45bb551245068d92802d87cd02186eaa9"/>
    <w:p>
      <w:pPr>
        <w:pStyle w:val="Heading3"/>
      </w:pPr>
      <w:r>
        <w:t xml:space="preserve">2.4 From</w:t>
      </w:r>
      <w:r>
        <w:t xml:space="preserve"> </w:t>
      </w:r>
      <w:r>
        <w:t xml:space="preserve">“Kuuki”</w:t>
      </w:r>
      <w:r>
        <w:t xml:space="preserve"> </w:t>
      </w:r>
      <w:r>
        <w:t xml:space="preserve">to CMI: The First Quantification of Implicit Coercion</w:t>
      </w:r>
    </w:p>
    <w:p>
      <w:pPr>
        <w:pStyle w:val="FirstParagraph"/>
      </w:pPr>
      <w:r>
        <w:t xml:space="preserve">The phenomena described by Tobe et al. (1984), Yamamoto (1977), and Nakane (1967) have resisted quantification precisely because they operate through implicit linguistic signals rather than explicit propositional content. Qualitative identification has been possible; measurement has not.</w:t>
      </w:r>
    </w:p>
    <w:p>
      <w:pPr>
        <w:pStyle w:val="BodyText"/>
      </w:pPr>
      <w:r>
        <w:t xml:space="preserve">R8’s Cognitive Manipulation Index (CMI) proposes a first approximation of this quantification. By measuring the density of lexical markers across 12 risk categories — including urgency signals, false authority claims, emotional amplifiers, and disclaimer exploitation — CMI captures the aggregate linguistic environment within which cognitive coercion operates. We do not claim that CMI fully captures the kuuki phenomenon; rather, we propose it as a measurable proxy for the linguistic conditions under which implicit coercion becomes structurally probable.</w:t>
      </w:r>
    </w:p>
    <w:bookmarkEnd w:id="14"/>
    <w:bookmarkStart w:id="15" w:name="X1fdb6e7f4916458b4fa4c529da37b5f224ce72a"/>
    <w:p>
      <w:pPr>
        <w:pStyle w:val="Heading3"/>
      </w:pPr>
      <w:r>
        <w:t xml:space="preserve">2.4.1 Cross-Cultural Universality: Eastern and Western Convergence</w:t>
      </w:r>
    </w:p>
    <w:p>
      <w:pPr>
        <w:pStyle w:val="FirstParagraph"/>
      </w:pPr>
      <w:r>
        <w:t xml:space="preserve">The structural dynamics described by Tobe et al. (1984), Yamamoto (1977), and Nakane (1967) are not culturally unique to Japan. Western social psychology has independently identified structurally identical phenomena, providing cross-cultural validation for R8’s theoretical foundations.</w:t>
      </w:r>
    </w:p>
    <w:p>
      <w:pPr>
        <w:pStyle w:val="BodyText"/>
      </w:pPr>
      <w:r>
        <w:t xml:space="preserve">Janis (1972) documented the same atmospheric consensus dynamics in Western organizational contexts under the term</w:t>
      </w:r>
      <w:r>
        <w:t xml:space="preserve"> </w:t>
      </w:r>
      <w:r>
        <w:t xml:space="preserve">“Groupthink”</w:t>
      </w:r>
      <w:r>
        <w:t xml:space="preserve"> </w:t>
      </w:r>
      <w:r>
        <w:t xml:space="preserve">— a process whereby cohesive groups suppress critical thinking and converge on irrational decisions through social pressure rather than logical deliberation. The structural identity between kuuki and Groupthink suggests that R8’s detection framework addresses a universal feature of human collective cognition rather than a Japan-specific phenomenon.</w:t>
      </w:r>
    </w:p>
    <w:p>
      <w:pPr>
        <w:pStyle w:val="BodyText"/>
      </w:pPr>
      <w:r>
        <w:t xml:space="preserve">Milgram’s (1963) obedience experiments demonstrated the universality of authority submission: individuals systematically abandon autonomous judgment in the presence of authority markers — titles, uniforms, institutional affiliation — regardless of the content of the instruction. This finding provides empirical grounding for R8’s Authority Risk and Anonymous Authority categories, which target the linguistic triggers of what Milgram termed the</w:t>
      </w:r>
      <w:r>
        <w:t xml:space="preserve"> </w:t>
      </w:r>
      <w:r>
        <w:t xml:space="preserve">“agentic state”</w:t>
      </w:r>
      <w:r>
        <w:t xml:space="preserve"> </w:t>
      </w:r>
      <w:r>
        <w:t xml:space="preserve">— the psychological condition in which individuals transfer moral responsibility to an authority figure and cease independent evaluation.</w:t>
      </w:r>
    </w:p>
    <w:p>
      <w:pPr>
        <w:pStyle w:val="BodyText"/>
      </w:pPr>
      <w:r>
        <w:t xml:space="preserve">Kahneman (2011) provided the cognitive architecture underlying Toyama’s (1983)</w:t>
      </w:r>
      <w:r>
        <w:t xml:space="preserve"> </w:t>
      </w:r>
      <w:r>
        <w:t xml:space="preserve">“glider”</w:t>
      </w:r>
      <w:r>
        <w:t xml:space="preserve"> </w:t>
      </w:r>
      <w:r>
        <w:t xml:space="preserve">metaphor. System 1 thinking — fast, automatic, and effortless — is the cognitive default that manipulative texts exploit. Urgency signals, naked numbers, and emotional amplification are designed to prevent the activation of System 2 — slow, deliberate, and analytically demanding. R8’s CMI can be interpreted as a measure of the aggregate System 1 pressure exerted by a text: the higher the CMI, the greater the structural force preventing the reader from engaging deliberative cognition.</w:t>
      </w:r>
    </w:p>
    <w:p>
      <w:pPr>
        <w:pStyle w:val="BodyText"/>
      </w:pPr>
      <w:r>
        <w:t xml:space="preserve">These convergences confirm that R8 addresses not a culturally specific problem but a universal feature of human cognitive vulnerability — what might be termed a</w:t>
      </w:r>
      <w:r>
        <w:t xml:space="preserve"> </w:t>
      </w:r>
      <w:r>
        <w:t xml:space="preserve">“cognitive bug”</w:t>
      </w:r>
      <w:r>
        <w:t xml:space="preserve"> </w:t>
      </w:r>
      <w:r>
        <w:t xml:space="preserve">in Homo sapiens’ information processing architecture, exploitable across linguistic and cultural contexts.</w:t>
      </w:r>
    </w:p>
    <w:bookmarkEnd w:id="15"/>
    <w:bookmarkStart w:id="16" w:name="psychometric-foundations"/>
    <w:p>
      <w:pPr>
        <w:pStyle w:val="Heading3"/>
      </w:pPr>
      <w:r>
        <w:t xml:space="preserve">2.5 Psychometric Foundations</w:t>
      </w:r>
    </w:p>
    <w:p>
      <w:pPr>
        <w:pStyle w:val="FirstParagraph"/>
      </w:pPr>
      <w:r>
        <w:t xml:space="preserve">R8’s multi-category scoring structure draws conceptual inspiration from established psychometric instruments that share a common architectural logic: qualitatively observed psychological phenomena are operationalized as multiple discrete indicators, which are then aggregated into a composite score through weighted combination.</w:t>
      </w:r>
    </w:p>
    <w:p>
      <w:pPr>
        <w:pStyle w:val="BodyText"/>
      </w:pPr>
      <w:r>
        <w:t xml:space="preserve">The Minnesota Multiphasic Personality Inventory (MMPI; Hathaway &amp; McKinley, 1943) exemplifies this structure: ten clinical scales, each measuring a distinct dimension of psychopathology, are combined into a profile that enables multi-dimensional personality assessment from a single administration. Similarly, Exner’s Comprehensive System for the Rorschach (Exner, 1993) transformed a projective technique of inherently qualitative responses into a standardized numerical coding system, enabling cross-subject comparison through aggregated structural summaries.</w:t>
      </w:r>
    </w:p>
    <w:p>
      <w:pPr>
        <w:pStyle w:val="BodyText"/>
      </w:pPr>
      <w:r>
        <w:t xml:space="preserve">R8 applies this same architectural logic to the domain of textual cognitive risk: 12 risk categories function analogously to clinical scales, each capturing a distinct dimension of manipulation; the CMI represents the weighted composite, enabling cross-document comparison on a common scale. This inspiration is acknowledged explicitly, as R8’s categories have not undergone the large-scale normative validation that characterizes established psychometric instruments (DeVellis, 2016). The present framework is positioned as an exploratory first-generation instrument, with validation against diverse corpora as a priority for future work.</w:t>
      </w:r>
    </w:p>
    <w:bookmarkEnd w:id="16"/>
    <w:bookmarkStart w:id="17" w:name="Xa06afd31fc7e555ec4111be8f4d48315566215b"/>
    <w:p>
      <w:pPr>
        <w:pStyle w:val="Heading3"/>
      </w:pPr>
      <w:r>
        <w:t xml:space="preserve">2.6 Narcissistic Manipulation and Clinical Lexical Patterns</w:t>
      </w:r>
    </w:p>
    <w:p>
      <w:pPr>
        <w:pStyle w:val="FirstParagraph"/>
      </w:pPr>
      <w:r>
        <w:t xml:space="preserve">Clinical psychology offers a further theoretical grounding for R8’s lexical approach. Symington (1993) identified the structural features of narcissistic communication — including the systematic denial of the other’s autonomous perspective, the exploitation of emotional dependency, and the use of authority claims to pre-empt critical evaluation. These clinical patterns manifest in language through identifiable lexical signatures: absolutist framing, urgency induction, false authority appeals, and the simultaneous deployment of disclaimers and amplification.</w:t>
      </w:r>
    </w:p>
    <w:p>
      <w:pPr>
        <w:pStyle w:val="BodyText"/>
      </w:pPr>
      <w:r>
        <w:t xml:space="preserve">R8’s dictionary construction draws implicitly on this clinical tradition. The categories of Emotional Risk, Authority Risk, Disclaimer Exploit, and Naked Number reflect patterns recognizable in the clinical literature on manipulative communication — patterns that operate below the level of explicit propositional content, precisely as Symington’s analysis suggests.</w:t>
      </w:r>
    </w:p>
    <w:bookmarkEnd w:id="17"/>
    <w:bookmarkStart w:id="18" w:name="X5fbe86dac2d173ae00c6aabd7f01f83f9b596e3"/>
    <w:p>
      <w:pPr>
        <w:pStyle w:val="Heading3"/>
      </w:pPr>
      <w:r>
        <w:t xml:space="preserve">2.7 Cognitive Warfare and Information Integrity</w:t>
      </w:r>
    </w:p>
    <w:p>
      <w:pPr>
        <w:pStyle w:val="FirstParagraph"/>
      </w:pPr>
      <w:r>
        <w:t xml:space="preserve">The practical context for R8 extends beyond organizational analysis into the domain of cognitive warfare — the deliberate use of information manipulation to shape adversarial perceptions and decisions (Du Cluzel, 2021). State and non-state actors have demonstrated increasing sophistication in deploying linguistically-coded manipulation at scale, exploiting the same structural vulnerabilities identified by Tobe et al. in institutional contexts.</w:t>
      </w:r>
    </w:p>
    <w:p>
      <w:pPr>
        <w:pStyle w:val="BodyText"/>
      </w:pPr>
      <w:r>
        <w:t xml:space="preserve">R8 is positioned as an open-source, transparent instrument for detecting these manipulation signatures at the textual level, complementing existing approaches to disinformation detection that focus on source credibility and network propagation rather than linguistic structure.</w:t>
      </w:r>
    </w:p>
    <w:p>
      <w:r>
        <w:pict>
          <v:rect style="width:0;height:1.5pt" o:hralign="center" o:hrstd="t" o:hr="t"/>
        </w:pict>
      </w:r>
    </w:p>
    <w:bookmarkEnd w:id="18"/>
    <w:bookmarkEnd w:id="19"/>
    <w:bookmarkStart w:id="27" w:name="methodology"/>
    <w:p>
      <w:pPr>
        <w:pStyle w:val="Heading2"/>
      </w:pPr>
      <w:r>
        <w:t xml:space="preserve">3. Methodology</w:t>
      </w:r>
    </w:p>
    <w:bookmarkStart w:id="20" w:name="system-architecture"/>
    <w:p>
      <w:pPr>
        <w:pStyle w:val="Heading3"/>
      </w:pPr>
      <w:r>
        <w:t xml:space="preserve">3.1 System Architecture</w:t>
      </w:r>
    </w:p>
    <w:p>
      <w:pPr>
        <w:pStyle w:val="FirstParagraph"/>
      </w:pPr>
      <w:r>
        <w:t xml:space="preserve">R8 operates as a pipeline of three sequential processes: text acquisition, lexical analysis, and score aggregation. Input sources include plain text files, PDF documents, and web URLs. Text acquisition from web sources employs HTTP request with BeautifulSoup-based HTML parsing, with removal of non-content elements (navigation, scripts, footers). PDF extraction is implemented via PyMuPDF. All acquired text is passed to a unified analysis function regardless of source type.</w:t>
      </w:r>
    </w:p>
    <w:bookmarkEnd w:id="20"/>
    <w:bookmarkStart w:id="21" w:name="text-normalization-phase-1"/>
    <w:p>
      <w:pPr>
        <w:pStyle w:val="Heading3"/>
      </w:pPr>
      <w:r>
        <w:t xml:space="preserve">3.2 Text Normalization (Phase 1)</w:t>
      </w:r>
    </w:p>
    <w:p>
      <w:pPr>
        <w:pStyle w:val="FirstParagraph"/>
      </w:pPr>
      <w:r>
        <w:t xml:space="preserve">Prior to analysis, all input text undergoes normalization to reduce orthographic variation. The normalization pipeline applies Unicode NFKC normalization (converting full-width alphanumerics to half-width, decomposing ligatures), followed by katakana-to-hiragana conversion via Unicode codepoint mapping (U+30A1-U+30F3, offset -96). Consecutive whitespace and redundant line breaks are compressed.</w:t>
      </w:r>
    </w:p>
    <w:p>
      <w:pPr>
        <w:pStyle w:val="BodyText"/>
      </w:pPr>
      <w:r>
        <w:t xml:space="preserve">This Phase 1 normalization addresses surface-level orthographic variation while explicitly acknowledging its limitations: kanji-kana equivalence, contextual disambiguation, and cross-linguistic semantic mapping require morphological analysis and are deferred to Phase 2 development.</w:t>
      </w:r>
    </w:p>
    <w:bookmarkEnd w:id="21"/>
    <w:bookmarkStart w:id="22" w:name="Xd8bde7864a3afd93c08f4d3719dd4f5cc318ba9"/>
    <w:p>
      <w:pPr>
        <w:pStyle w:val="Heading3"/>
      </w:pPr>
      <w:r>
        <w:t xml:space="preserve">3.3 Operational Definitions of 12 Risk Categories</w:t>
      </w:r>
    </w:p>
    <w:p>
      <w:pPr>
        <w:pStyle w:val="FirstParagraph"/>
      </w:pPr>
      <w:r>
        <w:t xml:space="preserve">The 12 categories are derived from clinical psychology, organizational behavior, and rhetorical analysis frameworks. Each category is operationalized as a lexical density measure: the count of matched dictionary terms divided by text length per 100 characters.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Operational Definition</w:t>
            </w:r>
          </w:p>
        </w:tc>
        <w:tc>
          <w:tcPr/>
          <w:p>
            <w:pPr>
              <w:pStyle w:val="Compact"/>
            </w:pPr>
            <w:r>
              <w:t xml:space="preserve">Theoretical Basis</w:t>
            </w:r>
          </w:p>
        </w:tc>
      </w:tr>
      <w:tr>
        <w:tc>
          <w:tcPr/>
          <w:p>
            <w:pPr>
              <w:pStyle w:val="Compact"/>
            </w:pPr>
            <w:r>
              <w:t xml:space="preserve">Authority Risk</w:t>
            </w:r>
          </w:p>
        </w:tc>
        <w:tc>
          <w:tcPr/>
          <w:p>
            <w:pPr>
              <w:pStyle w:val="Compact"/>
            </w:pPr>
            <w:r>
              <w:t xml:space="preserve">Density of pseudo-authority markers (e.g.,</w:t>
            </w:r>
            <w:r>
              <w:t xml:space="preserve"> </w:t>
            </w:r>
            <w:r>
              <w:t xml:space="preserve">“scientifically proven,”</w:t>
            </w:r>
            <w:r>
              <w:t xml:space="preserve"> </w:t>
            </w:r>
            <w:r>
              <w:t xml:space="preserve">“independent research”</w:t>
            </w:r>
            <w:r>
              <w:t xml:space="preserve">) excluding legitimate academic citation</w:t>
            </w:r>
          </w:p>
        </w:tc>
        <w:tc>
          <w:tcPr/>
          <w:p>
            <w:pPr>
              <w:pStyle w:val="Compact"/>
            </w:pPr>
            <w:r>
              <w:t xml:space="preserve">Tobe et al. (1984): over-reliance on authority</w:t>
            </w:r>
          </w:p>
        </w:tc>
      </w:tr>
      <w:tr>
        <w:tc>
          <w:tcPr/>
          <w:p>
            <w:pPr>
              <w:pStyle w:val="Compact"/>
            </w:pPr>
            <w:r>
              <w:t xml:space="preserve">Emotional Risk</w:t>
            </w:r>
          </w:p>
        </w:tc>
        <w:tc>
          <w:tcPr/>
          <w:p>
            <w:pPr>
              <w:pStyle w:val="Compact"/>
            </w:pPr>
            <w:r>
              <w:t xml:space="preserve">Mean density of urgency, absolutist, and emotional amplification markers</w:t>
            </w:r>
          </w:p>
        </w:tc>
        <w:tc>
          <w:tcPr/>
          <w:p>
            <w:pPr>
              <w:pStyle w:val="Compact"/>
            </w:pPr>
            <w:r>
              <w:t xml:space="preserve">Yamamoto (1977): kuuki as emotional coercion</w:t>
            </w:r>
          </w:p>
        </w:tc>
      </w:tr>
      <w:tr>
        <w:tc>
          <w:tcPr/>
          <w:p>
            <w:pPr>
              <w:pStyle w:val="Compact"/>
            </w:pPr>
            <w:r>
              <w:t xml:space="preserve">Logical Risk</w:t>
            </w:r>
          </w:p>
        </w:tc>
        <w:tc>
          <w:tcPr/>
          <w:p>
            <w:pPr>
              <w:pStyle w:val="Compact"/>
            </w:pPr>
            <w:r>
              <w:t xml:space="preserve">Density of anecdotal evidence markers and unwarranted conclusion markers</w:t>
            </w:r>
          </w:p>
        </w:tc>
        <w:tc>
          <w:tcPr/>
          <w:p>
            <w:pPr>
              <w:pStyle w:val="Compact"/>
            </w:pPr>
            <w:r>
              <w:t xml:space="preserve">Nakane (1967): rank over reasoning</w:t>
            </w:r>
          </w:p>
        </w:tc>
      </w:tr>
      <w:tr>
        <w:tc>
          <w:tcPr/>
          <w:p>
            <w:pPr>
              <w:pStyle w:val="Compact"/>
            </w:pPr>
            <w:r>
              <w:t xml:space="preserve">Statistical Risk</w:t>
            </w:r>
          </w:p>
        </w:tc>
        <w:tc>
          <w:tcPr/>
          <w:p>
            <w:pPr>
              <w:pStyle w:val="Compact"/>
            </w:pPr>
            <w:r>
              <w:t xml:space="preserve">Density of statistical claim markers plus frequency of percentage expressions</w:t>
            </w:r>
          </w:p>
        </w:tc>
        <w:tc>
          <w:tcPr/>
          <w:p>
            <w:pPr>
              <w:pStyle w:val="Compact"/>
            </w:pPr>
            <w:r>
              <w:t xml:space="preserve">False quantification patterns</w:t>
            </w:r>
          </w:p>
        </w:tc>
      </w:tr>
      <w:tr>
        <w:tc>
          <w:tcPr/>
          <w:p>
            <w:pPr>
              <w:pStyle w:val="Compact"/>
            </w:pPr>
            <w:r>
              <w:t xml:space="preserve">Hype Risk</w:t>
            </w:r>
          </w:p>
        </w:tc>
        <w:tc>
          <w:tcPr/>
          <w:p>
            <w:pPr>
              <w:pStyle w:val="Compact"/>
            </w:pPr>
            <w:r>
              <w:t xml:space="preserve">Density of responsibility-evasion amplification markers</w:t>
            </w:r>
          </w:p>
        </w:tc>
        <w:tc>
          <w:tcPr/>
          <w:p>
            <w:pPr>
              <w:pStyle w:val="Compact"/>
            </w:pPr>
            <w:r>
              <w:t xml:space="preserve">Disclaimer exploitation</w:t>
            </w:r>
          </w:p>
        </w:tc>
      </w:tr>
      <w:tr>
        <w:tc>
          <w:tcPr/>
          <w:p>
            <w:pPr>
              <w:pStyle w:val="Compact"/>
            </w:pPr>
            <w:r>
              <w:t xml:space="preserve">Clickbait Risk</w:t>
            </w:r>
          </w:p>
        </w:tc>
        <w:tc>
          <w:tcPr/>
          <w:p>
            <w:pPr>
              <w:pStyle w:val="Compact"/>
            </w:pPr>
            <w:r>
              <w:t xml:space="preserve">Density of attention-hijacking markers</w:t>
            </w:r>
          </w:p>
        </w:tc>
        <w:tc>
          <w:tcPr/>
          <w:p>
            <w:pPr>
              <w:pStyle w:val="Compact"/>
            </w:pPr>
            <w:r>
              <w:t xml:space="preserve">Engagement manipulation</w:t>
            </w:r>
          </w:p>
        </w:tc>
      </w:tr>
      <w:tr>
        <w:tc>
          <w:tcPr/>
          <w:p>
            <w:pPr>
              <w:pStyle w:val="Compact"/>
            </w:pPr>
            <w:r>
              <w:t xml:space="preserve">Propaganda Risk</w:t>
            </w:r>
          </w:p>
        </w:tc>
        <w:tc>
          <w:tcPr/>
          <w:p>
            <w:pPr>
              <w:pStyle w:val="Compact"/>
            </w:pPr>
            <w:r>
              <w:t xml:space="preserve">Density of institutional distrust and conspiracy markers</w:t>
            </w:r>
          </w:p>
        </w:tc>
        <w:tc>
          <w:tcPr/>
          <w:p>
            <w:pPr>
              <w:pStyle w:val="Compact"/>
            </w:pPr>
            <w:r>
              <w:t xml:space="preserve">Information environment degradation</w:t>
            </w:r>
          </w:p>
        </w:tc>
      </w:tr>
      <w:tr>
        <w:tc>
          <w:tcPr/>
          <w:p>
            <w:pPr>
              <w:pStyle w:val="Compact"/>
            </w:pPr>
            <w:r>
              <w:t xml:space="preserve">Fear Risk</w:t>
            </w:r>
          </w:p>
        </w:tc>
        <w:tc>
          <w:tcPr/>
          <w:p>
            <w:pPr>
              <w:pStyle w:val="Compact"/>
            </w:pPr>
            <w:r>
              <w:t xml:space="preserve">Density of threat and catastrophe markers</w:t>
            </w:r>
          </w:p>
        </w:tc>
        <w:tc>
          <w:tcPr/>
          <w:p>
            <w:pPr>
              <w:pStyle w:val="Compact"/>
            </w:pPr>
            <w:r>
              <w:t xml:space="preserve">Fear-based compliance induction</w:t>
            </w:r>
          </w:p>
        </w:tc>
      </w:tr>
      <w:tr>
        <w:tc>
          <w:tcPr/>
          <w:p>
            <w:pPr>
              <w:pStyle w:val="Compact"/>
            </w:pPr>
            <w:r>
              <w:t xml:space="preserve">Enemy Frame</w:t>
            </w:r>
          </w:p>
        </w:tc>
        <w:tc>
          <w:tcPr/>
          <w:p>
            <w:pPr>
              <w:pStyle w:val="Compact"/>
            </w:pPr>
            <w:r>
              <w:t xml:space="preserve">Density of in-group/out-group polarization markers</w:t>
            </w:r>
          </w:p>
        </w:tc>
        <w:tc>
          <w:tcPr/>
          <w:p>
            <w:pPr>
              <w:pStyle w:val="Compact"/>
            </w:pPr>
            <w:r>
              <w:t xml:space="preserve">Us-vs-them cognitive framing</w:t>
            </w:r>
          </w:p>
        </w:tc>
      </w:tr>
      <w:tr>
        <w:tc>
          <w:tcPr/>
          <w:p>
            <w:pPr>
              <w:pStyle w:val="Compact"/>
            </w:pPr>
            <w:r>
              <w:t xml:space="preserve">Disclaimer Exploit</w:t>
            </w:r>
          </w:p>
        </w:tc>
        <w:tc>
          <w:tcPr/>
          <w:p>
            <w:pPr>
              <w:pStyle w:val="Compact"/>
            </w:pPr>
            <w:r>
              <w:t xml:space="preserve">Binary: high when disclaimer density and hype density co-occur above threshold</w:t>
            </w:r>
          </w:p>
        </w:tc>
        <w:tc>
          <w:tcPr/>
          <w:p>
            <w:pPr>
              <w:pStyle w:val="Compact"/>
            </w:pPr>
            <w:r>
              <w:t xml:space="preserve">Simultaneous deniability and amplification</w:t>
            </w:r>
          </w:p>
        </w:tc>
      </w:tr>
      <w:tr>
        <w:tc>
          <w:tcPr/>
          <w:p>
            <w:pPr>
              <w:pStyle w:val="Compact"/>
            </w:pPr>
            <w:r>
              <w:t xml:space="preserve">Anonymous Authority</w:t>
            </w:r>
          </w:p>
        </w:tc>
        <w:tc>
          <w:tcPr/>
          <w:p>
            <w:pPr>
              <w:pStyle w:val="Compact"/>
            </w:pPr>
            <w:r>
              <w:t xml:space="preserve">Density of unattributed authority claims (e.g.,</w:t>
            </w:r>
            <w:r>
              <w:t xml:space="preserve"> </w:t>
            </w:r>
            <w:r>
              <w:t xml:space="preserve">“analysts say,”</w:t>
            </w:r>
            <w:r>
              <w:t xml:space="preserve"> </w:t>
            </w:r>
            <w:r>
              <w:t xml:space="preserve">“sources indicate”</w:t>
            </w:r>
            <w:r>
              <w:t xml:space="preserve">)</w:t>
            </w:r>
          </w:p>
        </w:tc>
        <w:tc>
          <w:tcPr/>
          <w:p>
            <w:pPr>
              <w:pStyle w:val="Compact"/>
            </w:pPr>
            <w:r>
              <w:t xml:space="preserve">Yamamoto (1977): kuuki through unverifiable consensus</w:t>
            </w:r>
          </w:p>
        </w:tc>
      </w:tr>
      <w:tr>
        <w:tc>
          <w:tcPr/>
          <w:p>
            <w:pPr>
              <w:pStyle w:val="Compact"/>
            </w:pPr>
            <w:r>
              <w:t xml:space="preserve">Naked Number</w:t>
            </w:r>
          </w:p>
        </w:tc>
        <w:tc>
          <w:tcPr/>
          <w:p>
            <w:pPr>
              <w:pStyle w:val="Compact"/>
            </w:pPr>
            <w:r>
              <w:t xml:space="preserve">Binary: high when specific numerical claims appear without cited sources</w:t>
            </w:r>
          </w:p>
        </w:tc>
        <w:tc>
          <w:tcPr/>
          <w:p>
            <w:pPr>
              <w:pStyle w:val="Compact"/>
            </w:pPr>
            <w:r>
              <w:t xml:space="preserve">False precision as manipulation</w:t>
            </w:r>
          </w:p>
        </w:tc>
      </w:tr>
    </w:tbl>
    <w:bookmarkEnd w:id="22"/>
    <w:bookmarkStart w:id="23" w:name="two-layer-authority-detection"/>
    <w:p>
      <w:pPr>
        <w:pStyle w:val="Heading3"/>
      </w:pPr>
      <w:r>
        <w:t xml:space="preserve">3.4 Two-Layer Authority Detection</w:t>
      </w:r>
    </w:p>
    <w:p>
      <w:pPr>
        <w:pStyle w:val="FirstParagraph"/>
      </w:pPr>
      <w:r>
        <w:t xml:space="preserve">Authority Risk employs a two-layer detection architecture distinguishing pseudo-authority from legitimate authority reference. Pseudo-authority markers (e.g.,</w:t>
      </w:r>
      <w:r>
        <w:t xml:space="preserve"> </w:t>
      </w:r>
      <w:r>
        <w:t xml:space="preserve">“scientifically proven,”</w:t>
      </w:r>
      <w:r>
        <w:t xml:space="preserve"> </w:t>
      </w:r>
      <w:r>
        <w:t xml:space="preserve">“proprietary research,”</w:t>
      </w:r>
      <w:r>
        <w:t xml:space="preserve"> </w:t>
      </w:r>
      <w:r>
        <w:t xml:space="preserve">“as research shows”</w:t>
      </w:r>
      <w:r>
        <w:t xml:space="preserve">) are scored directly as risk indicators, as these expressions appear with negligible frequency in formal academic or governmental documents. Legitimate authority markers (e.g.,</w:t>
      </w:r>
      <w:r>
        <w:t xml:space="preserve"> </w:t>
      </w:r>
      <w:r>
        <w:t xml:space="preserve">“researcher,”</w:t>
      </w:r>
      <w:r>
        <w:t xml:space="preserve"> </w:t>
      </w:r>
      <w:r>
        <w:t xml:space="preserve">“professor,”</w:t>
      </w:r>
      <w:r>
        <w:t xml:space="preserve"> </w:t>
      </w:r>
      <w:r>
        <w:t xml:space="preserve">“clinical”</w:t>
      </w:r>
      <w:r>
        <w:t xml:space="preserve">) are scored conditionally: their risk contribution is modulated by the concurrent Hype Risk density, operationalizing the pattern of exploiting legitimate authority frames within manipulative rhetorical contexts.</w:t>
      </w:r>
    </w:p>
    <w:p>
      <w:pPr>
        <w:pStyle w:val="BodyText"/>
      </w:pPr>
      <w:r>
        <w:t xml:space="preserve">This architecture was introduced to resolve systematic false positives observed when analyzing formal governmental documents, which contain high densities of legitimate authority language without manipulative intent.</w:t>
      </w:r>
    </w:p>
    <w:bookmarkEnd w:id="23"/>
    <w:bookmarkStart w:id="24" w:name="scoring-algorithm"/>
    <w:p>
      <w:pPr>
        <w:pStyle w:val="Heading3"/>
      </w:pPr>
      <w:r>
        <w:t xml:space="preserve">3.5 Scoring Algorithm</w:t>
      </w:r>
    </w:p>
    <w:p>
      <w:pPr>
        <w:pStyle w:val="FirstParagraph"/>
      </w:pPr>
      <w:r>
        <w:t xml:space="preserve">The Cognitive Manipulation Index (CMI) is computed as a weighted sum of normalized category scores:</w:t>
      </w:r>
    </w:p>
    <w:p>
      <w:pPr>
        <w:pStyle w:val="BodyText"/>
      </w:pPr>
      <m:oMathPara>
        <m:oMathParaPr>
          <m:jc m:val="center"/>
        </m:oMathParaPr>
        <m:oMath>
          <m:r>
            <m:t>C</m:t>
          </m:r>
          <m:r>
            <m:t>M</m:t>
          </m:r>
          <m:r>
            <m:t>I</m:t>
          </m:r>
          <m:r>
            <m:rPr>
              <m:sty m:val="p"/>
            </m:rPr>
            <m:t>=</m:t>
          </m:r>
          <m:r>
            <m:t>100</m:t>
          </m:r>
          <m:r>
            <m:rPr>
              <m:sty m:val="p"/>
            </m:rPr>
            <m:t>×</m:t>
          </m:r>
          <m:nary>
            <m:naryPr>
              <m:chr m:val="∑"/>
              <m:limLoc m:val="undOvr"/>
              <m:subHide m:val="off"/>
              <m:supHide m:val="off"/>
            </m:naryPr>
            <m:sub>
              <m:r>
                <m:t>i</m:t>
              </m:r>
              <m:r>
                <m:rPr>
                  <m:sty m:val="p"/>
                </m:rPr>
                <m:t>=</m:t>
              </m:r>
              <m:r>
                <m:t>1</m:t>
              </m:r>
            </m:sub>
            <m:sup>
              <m:r>
                <m:t>12</m:t>
              </m:r>
            </m:sup>
            <m:e>
              <m:sSub>
                <m:e>
                  <m:r>
                    <m:t>w</m:t>
                  </m:r>
                </m:e>
                <m:sub>
                  <m:r>
                    <m:t>i</m:t>
                  </m:r>
                </m:sub>
              </m:sSub>
            </m:e>
          </m:nary>
          <m:r>
            <m:rPr>
              <m:sty m:val="p"/>
            </m:rPr>
            <m:t>⋅</m:t>
          </m:r>
          <m:r>
            <m:rPr>
              <m:sty m:val="p"/>
            </m:rPr>
            <m:t>min</m:t>
          </m:r>
          <m:d>
            <m:dPr>
              <m:begChr m:val="("/>
              <m:sepChr m:val=""/>
              <m:endChr m:val=")"/>
              <m:grow/>
            </m:dPr>
            <m:e>
              <m:f>
                <m:fPr>
                  <m:type m:val="bar"/>
                </m:fPr>
                <m:num>
                  <m:r>
                    <m:t>r</m:t>
                  </m:r>
                  <m:r>
                    <m:t>a</m:t>
                  </m:r>
                  <m:sSub>
                    <m:e>
                      <m:r>
                        <m:t>w</m:t>
                      </m:r>
                    </m:e>
                    <m:sub>
                      <m:r>
                        <m:t>i</m:t>
                      </m:r>
                    </m:sub>
                  </m:sSub>
                </m:num>
                <m:den>
                  <m:r>
                    <m:t>t</m:t>
                  </m:r>
                  <m:r>
                    <m:t>h</m:t>
                  </m:r>
                  <m:r>
                    <m:t>r</m:t>
                  </m:r>
                  <m:r>
                    <m:t>e</m:t>
                  </m:r>
                  <m:r>
                    <m:t>s</m:t>
                  </m:r>
                  <m:r>
                    <m:t>h</m:t>
                  </m:r>
                  <m:r>
                    <m:t>o</m:t>
                  </m:r>
                  <m:r>
                    <m:t>l</m:t>
                  </m:r>
                  <m:sSub>
                    <m:e>
                      <m:r>
                        <m:t>d</m:t>
                      </m:r>
                    </m:e>
                    <m:sub>
                      <m:r>
                        <m:t>i</m:t>
                      </m:r>
                    </m:sub>
                  </m:sSub>
                </m:den>
              </m:f>
              <m:r>
                <m:rPr>
                  <m:sty m:val="p"/>
                </m:rPr>
                <m:t>,</m:t>
              </m:r>
              <m:r>
                <m:t>1.0</m:t>
              </m:r>
            </m:e>
          </m:d>
        </m:oMath>
      </m:oMathPara>
    </w:p>
    <w:p>
      <w:pPr>
        <w:pStyle w:val="FirstParagraph"/>
      </w:pPr>
      <w:r>
        <w:t xml:space="preserve">where</w:t>
      </w:r>
      <w:r>
        <w:t xml:space="preserve"> </w:t>
      </w:r>
      <m:oMath>
        <m:sSub>
          <m:e>
            <m:r>
              <m:t>w</m:t>
            </m:r>
          </m:e>
          <m:sub>
            <m:r>
              <m:t>i</m:t>
            </m:r>
          </m:sub>
        </m:sSub>
      </m:oMath>
      <w:r>
        <w:t xml:space="preserve"> </w:t>
      </w:r>
      <w:r>
        <w:t xml:space="preserve">is the category weight (</w:t>
      </w:r>
      <m:oMath>
        <m:r>
          <m:rPr>
            <m:sty m:val="p"/>
          </m:rPr>
          <m:t>∑</m:t>
        </m:r>
        <m:sSub>
          <m:e>
            <m:r>
              <m:t>w</m:t>
            </m:r>
          </m:e>
          <m:sub>
            <m:r>
              <m:t>i</m:t>
            </m:r>
          </m:sub>
        </m:sSub>
        <m:r>
          <m:rPr>
            <m:sty m:val="p"/>
          </m:rPr>
          <m:t>=</m:t>
        </m:r>
        <m:r>
          <m:t>1.0</m:t>
        </m:r>
      </m:oMath>
      <w:r>
        <w:t xml:space="preserve">),</w:t>
      </w:r>
      <w:r>
        <w:t xml:space="preserve"> </w:t>
      </w:r>
      <m:oMath>
        <m:r>
          <m:t>r</m:t>
        </m:r>
        <m:r>
          <m:t>a</m:t>
        </m:r>
        <m:sSub>
          <m:e>
            <m:r>
              <m:t>w</m:t>
            </m:r>
          </m:e>
          <m:sub>
            <m:r>
              <m:t>i</m:t>
            </m:r>
          </m:sub>
        </m:sSub>
      </m:oMath>
      <w:r>
        <w:t xml:space="preserve"> </w:t>
      </w:r>
      <w:r>
        <w:t xml:space="preserve">is the raw lexical density for category</w:t>
      </w:r>
      <w:r>
        <w:t xml:space="preserve"> </w:t>
      </w:r>
      <m:oMath>
        <m:r>
          <m:t>i</m:t>
        </m:r>
      </m:oMath>
      <w:r>
        <w:t xml:space="preserve">, and</w:t>
      </w:r>
      <w:r>
        <w:t xml:space="preserve"> </w:t>
      </w:r>
      <m:oMath>
        <m:r>
          <m:t>t</m:t>
        </m:r>
        <m:r>
          <m:t>h</m:t>
        </m:r>
        <m:r>
          <m:t>r</m:t>
        </m:r>
        <m:r>
          <m:t>e</m:t>
        </m:r>
        <m:r>
          <m:t>s</m:t>
        </m:r>
        <m:r>
          <m:t>h</m:t>
        </m:r>
        <m:r>
          <m:t>o</m:t>
        </m:r>
        <m:r>
          <m:t>l</m:t>
        </m:r>
        <m:sSub>
          <m:e>
            <m:r>
              <m:t>d</m:t>
            </m:r>
          </m:e>
          <m:sub>
            <m:r>
              <m:t>i</m:t>
            </m:r>
          </m:sub>
        </m:sSub>
      </m:oMath>
      <w:r>
        <w:t xml:space="preserve"> </w:t>
      </w:r>
      <w:r>
        <w:t xml:space="preserve">is the calibrated normalization threshold. The</w:t>
      </w:r>
      <w:r>
        <w:t xml:space="preserve"> </w:t>
      </w:r>
      <m:oMath>
        <m:r>
          <m:rPr>
            <m:sty m:val="p"/>
          </m:rPr>
          <m:t>min</m:t>
        </m:r>
        <m:r>
          <m:rPr>
            <m:sty m:val="p"/>
          </m:rPr>
          <m:t>(</m:t>
        </m:r>
        <m:r>
          <m:rPr>
            <m:sty m:val="p"/>
          </m:rPr>
          <m:t>⋅</m:t>
        </m:r>
        <m:r>
          <m:rPr>
            <m:sty m:val="p"/>
          </m:rPr>
          <m:t>,</m:t>
        </m:r>
        <m:r>
          <m:t>1.0</m:t>
        </m:r>
        <m:r>
          <m:rPr>
            <m:sty m:val="p"/>
          </m:rPr>
          <m:t>)</m:t>
        </m:r>
      </m:oMath>
      <w:r>
        <w:t xml:space="preserve"> </w:t>
      </w:r>
      <w:r>
        <w:t xml:space="preserve">ceiling prevents any single category from dominating the composite score.</w:t>
      </w:r>
    </w:p>
    <w:p>
      <w:pPr>
        <w:pStyle w:val="BodyText"/>
      </w:pPr>
      <w:r>
        <w:t xml:space="preserve">Category weights reflect the relative contribution of each manipulation dimension to overall cognitive risk, derived through theoretical reasoning and iterative empirical calibration. Statistical Risk carries the highest weight (0.16), reflecting the particular manipulative potency of false quantification. CMI ranges from 0 (no detected manipulation signals) to 100 (maximum signal density across all categories).</w:t>
      </w:r>
    </w:p>
    <w:p>
      <w:pPr>
        <w:pStyle w:val="BodyText"/>
      </w:pPr>
      <w:r>
        <w:t xml:space="preserve">Threshold levels for risk classification:</w:t>
      </w:r>
    </w:p>
    <w:p>
      <w:pPr>
        <w:pStyle w:val="Compact"/>
        <w:numPr>
          <w:ilvl w:val="0"/>
          <w:numId w:val="1001"/>
        </w:numPr>
      </w:pPr>
      <w:r>
        <w:t xml:space="preserve">LOW: CMI &lt; 35</w:t>
      </w:r>
    </w:p>
    <w:p>
      <w:pPr>
        <w:pStyle w:val="Compact"/>
        <w:numPr>
          <w:ilvl w:val="0"/>
          <w:numId w:val="1001"/>
        </w:numPr>
      </w:pPr>
      <w:r>
        <w:t xml:space="preserve">MEDIUM: 35 &lt;= CMI &lt; 60</w:t>
      </w:r>
    </w:p>
    <w:p>
      <w:pPr>
        <w:pStyle w:val="Compact"/>
        <w:numPr>
          <w:ilvl w:val="0"/>
          <w:numId w:val="1001"/>
        </w:numPr>
      </w:pPr>
      <w:r>
        <w:t xml:space="preserve">HIGH: CMI &gt;= 60</w:t>
      </w:r>
    </w:p>
    <w:bookmarkEnd w:id="24"/>
    <w:bookmarkStart w:id="25" w:name="implementation"/>
    <w:p>
      <w:pPr>
        <w:pStyle w:val="Heading3"/>
      </w:pPr>
      <w:r>
        <w:t xml:space="preserve">3.6 Implementation</w:t>
      </w:r>
    </w:p>
    <w:p>
      <w:pPr>
        <w:pStyle w:val="FirstParagraph"/>
      </w:pPr>
      <w:r>
        <w:t xml:space="preserve">R8 is implemented in Python 3.x as two modules:</w:t>
      </w:r>
      <w:r>
        <w:t xml:space="preserve"> </w:t>
      </w:r>
      <w:r>
        <w:rPr>
          <w:rStyle w:val="VerbatimChar"/>
        </w:rPr>
        <w:t xml:space="preserve">r8.py</w:t>
      </w:r>
      <w:r>
        <w:t xml:space="preserve"> </w:t>
      </w:r>
      <w:r>
        <w:t xml:space="preserve">(single-document analysis) and</w:t>
      </w:r>
      <w:r>
        <w:t xml:space="preserve"> </w:t>
      </w:r>
      <w:r>
        <w:rPr>
          <w:rStyle w:val="VerbatimChar"/>
        </w:rPr>
        <w:t xml:space="preserve">mass_audit.py</w:t>
      </w:r>
      <w:r>
        <w:t xml:space="preserve"> </w:t>
      </w:r>
      <w:r>
        <w:t xml:space="preserve">(batch processing). The system requires no machine learning infrastructure, external APIs, or GPU resources, operating entirely through dictionary lookup and regular expression matching. This architectural decision prioritizes transparency, reproducibility, and deployability in resource-constrained environments over predictive accuracy. All source code is publicly available under CC BY 4.0 at https://github.com/takahiro-oss/r8-cognitive-risk.</w:t>
      </w:r>
    </w:p>
    <w:bookmarkEnd w:id="25"/>
    <w:bookmarkStart w:id="26" w:name="ai-assisted-development"/>
    <w:p>
      <w:pPr>
        <w:pStyle w:val="Heading3"/>
      </w:pPr>
      <w:r>
        <w:t xml:space="preserve">3.7 AI-Assisted Development</w:t>
      </w:r>
    </w:p>
    <w:p>
      <w:pPr>
        <w:pStyle w:val="FirstParagraph"/>
      </w:pPr>
      <w:r>
        <w:t xml:space="preserve">The development of R8, including conceptual framework design, dictionary construction, code implementation, and the drafting of this manuscript, was conducted with AI assistance (Claude, Anthropic; Gemini, Google). The theoretical integration, research direction, and design decisions are the original work of the author. This disclosure is made in accordance with emerging norms of transparency in AI-assisted research, and is consistent with R8’s own commitment to cognitive transparency as a research value.</w:t>
      </w:r>
    </w:p>
    <w:p>
      <w:r>
        <w:pict>
          <v:rect style="width:0;height:1.5pt" o:hralign="center" o:hrstd="t" o:hr="t"/>
        </w:pict>
      </w:r>
    </w:p>
    <w:bookmarkEnd w:id="26"/>
    <w:bookmarkEnd w:id="27"/>
    <w:bookmarkStart w:id="33" w:name="validation"/>
    <w:p>
      <w:pPr>
        <w:pStyle w:val="Heading2"/>
      </w:pPr>
      <w:r>
        <w:t xml:space="preserve">4. Validation</w:t>
      </w:r>
    </w:p>
    <w:bookmarkStart w:id="28" w:name="validation-design"/>
    <w:p>
      <w:pPr>
        <w:pStyle w:val="Heading3"/>
      </w:pPr>
      <w:r>
        <w:t xml:space="preserve">4.1 Validation Design</w:t>
      </w:r>
    </w:p>
    <w:p>
      <w:pPr>
        <w:pStyle w:val="FirstParagraph"/>
      </w:pPr>
      <w:r>
        <w:t xml:space="preserve">The present validation is explicitly preliminary in scope. R8 is evaluated against a small corpus of Japanese-language documents spanning three risk categories: high-risk (documents exhibiting known cognitive manipulation patterns), medium-risk (commercially oriented or editorially biased content), and low-risk (formal governmental and institutional documents). The validation corpus currently comprises 6 documents, with expansion to 60 documents planned as a priority for subsequent work.</w:t>
      </w:r>
    </w:p>
    <w:p>
      <w:pPr>
        <w:pStyle w:val="BodyText"/>
      </w:pPr>
      <w:r>
        <w:t xml:space="preserve">Ground truth classification was determined through expert judgment by the author, drawing on clinical psychology training and 20 years of educational practice involving direct exposure to persuasive, institutional, and manipulative communication across diverse populations. A structured rubric was applied to ensure consistency and transparency of classification (see Appendix A).</w:t>
      </w:r>
    </w:p>
    <w:bookmarkEnd w:id="28"/>
    <w:bookmarkStart w:id="29" w:name="corpus-description"/>
    <w:p>
      <w:pPr>
        <w:pStyle w:val="Heading3"/>
      </w:pPr>
      <w:r>
        <w:t xml:space="preserve">4.2 Corpus Description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Type</w:t>
            </w:r>
          </w:p>
        </w:tc>
        <w:tc>
          <w:tcPr/>
          <w:p>
            <w:pPr>
              <w:pStyle w:val="Compact"/>
            </w:pPr>
            <w:r>
              <w:t xml:space="preserve">Expert Label</w:t>
            </w:r>
          </w:p>
        </w:tc>
      </w:tr>
      <w:tr>
        <w:tc>
          <w:tcPr/>
          <w:p>
            <w:pPr>
              <w:pStyle w:val="Compact"/>
            </w:pPr>
            <w:r>
              <w:t xml:space="preserve">1</w:t>
            </w:r>
          </w:p>
        </w:tc>
        <w:tc>
          <w:tcPr/>
          <w:p>
            <w:pPr>
              <w:pStyle w:val="Compact"/>
            </w:pPr>
            <w:r>
              <w:t xml:space="preserve">Ministry of Education PDF </w:t>
            </w:r>
            <w:r>
              <w:rPr>
                <w:rFonts w:hint="eastAsia"/>
              </w:rPr>
              <w:t xml:space="preserve">(文科省通知)</w:t>
            </w:r>
          </w:p>
        </w:tc>
        <w:tc>
          <w:tcPr/>
          <w:p>
            <w:pPr>
              <w:pStyle w:val="Compact"/>
            </w:pPr>
            <w:r>
              <w:t xml:space="preserve">Governmental</w:t>
            </w:r>
          </w:p>
        </w:tc>
        <w:tc>
          <w:tcPr/>
          <w:p>
            <w:pPr>
              <w:pStyle w:val="Compact"/>
            </w:pPr>
            <w:r>
              <w:t xml:space="preserve">LOW</w:t>
            </w:r>
          </w:p>
        </w:tc>
      </w:tr>
      <w:tr>
        <w:tc>
          <w:tcPr/>
          <w:p>
            <w:pPr>
              <w:pStyle w:val="Compact"/>
            </w:pPr>
            <w:r>
              <w:t xml:space="preserve">2</w:t>
            </w:r>
          </w:p>
        </w:tc>
        <w:tc>
          <w:tcPr/>
          <w:p>
            <w:pPr>
              <w:pStyle w:val="Compact"/>
            </w:pPr>
            <w:r>
              <w:t xml:space="preserve">Kyoko Shimbun </w:t>
            </w:r>
            <w:r>
              <w:rPr>
                <w:rFonts w:hint="eastAsia"/>
              </w:rPr>
              <w:t xml:space="preserve">(虚構新聞)</w:t>
            </w:r>
          </w:p>
        </w:tc>
        <w:tc>
          <w:tcPr/>
          <w:p>
            <w:pPr>
              <w:pStyle w:val="Compact"/>
            </w:pPr>
            <w:r>
              <w:t xml:space="preserve">Satirical/Fake news</w:t>
            </w:r>
          </w:p>
        </w:tc>
        <w:tc>
          <w:tcPr/>
          <w:p>
            <w:pPr>
              <w:pStyle w:val="Compact"/>
            </w:pPr>
            <w:r>
              <w:t xml:space="preserve">LOW</w:t>
            </w:r>
          </w:p>
        </w:tc>
      </w:tr>
      <w:tr>
        <w:tc>
          <w:tcPr/>
          <w:p>
            <w:pPr>
              <w:pStyle w:val="Compact"/>
            </w:pPr>
            <w:r>
              <w:t xml:space="preserve">3</w:t>
            </w:r>
          </w:p>
        </w:tc>
        <w:tc>
          <w:tcPr/>
          <w:p>
            <w:pPr>
              <w:pStyle w:val="Compact"/>
            </w:pPr>
            <w:r>
              <w:t xml:space="preserve">Spiritual content site (web-mu.jp)</w:t>
            </w:r>
          </w:p>
        </w:tc>
        <w:tc>
          <w:tcPr/>
          <w:p>
            <w:pPr>
              <w:pStyle w:val="Compact"/>
            </w:pPr>
            <w:r>
              <w:t xml:space="preserve">Spiritual/Anecdotal</w:t>
            </w:r>
          </w:p>
        </w:tc>
        <w:tc>
          <w:tcPr/>
          <w:p>
            <w:pPr>
              <w:pStyle w:val="Compact"/>
            </w:pPr>
            <w:r>
              <w:t xml:space="preserve">MEDIUM</w:t>
            </w:r>
          </w:p>
        </w:tc>
      </w:tr>
      <w:tr>
        <w:tc>
          <w:tcPr/>
          <w:p>
            <w:pPr>
              <w:pStyle w:val="Compact"/>
            </w:pPr>
            <w:r>
              <w:t xml:space="preserve">4</w:t>
            </w:r>
          </w:p>
        </w:tc>
        <w:tc>
          <w:tcPr/>
          <w:p>
            <w:pPr>
              <w:pStyle w:val="Compact"/>
            </w:pPr>
            <w:r>
              <w:t xml:space="preserve">Micropreneur LP (micropreneur.jp)</w:t>
            </w:r>
          </w:p>
        </w:tc>
        <w:tc>
          <w:tcPr/>
          <w:p>
            <w:pPr>
              <w:pStyle w:val="Compact"/>
            </w:pPr>
            <w:r>
              <w:t xml:space="preserve">Self-promotion</w:t>
            </w:r>
          </w:p>
        </w:tc>
        <w:tc>
          <w:tcPr/>
          <w:p>
            <w:pPr>
              <w:pStyle w:val="Compact"/>
            </w:pPr>
            <w:r>
              <w:t xml:space="preserve">MEDIUM</w:t>
            </w:r>
          </w:p>
        </w:tc>
      </w:tr>
      <w:tr>
        <w:tc>
          <w:tcPr/>
          <w:p>
            <w:pPr>
              <w:pStyle w:val="Compact"/>
            </w:pPr>
            <w:r>
              <w:t xml:space="preserve">5</w:t>
            </w:r>
          </w:p>
        </w:tc>
        <w:tc>
          <w:tcPr/>
          <w:p>
            <w:pPr>
              <w:pStyle w:val="Compact"/>
            </w:pPr>
            <w:r>
              <w:t xml:space="preserve">FX trading site (fxtrade.co.jp)</w:t>
            </w:r>
          </w:p>
        </w:tc>
        <w:tc>
          <w:tcPr/>
          <w:p>
            <w:pPr>
              <w:pStyle w:val="Compact"/>
            </w:pPr>
            <w:r>
              <w:t xml:space="preserve">Financial</w:t>
            </w:r>
          </w:p>
        </w:tc>
        <w:tc>
          <w:tcPr/>
          <w:p>
            <w:pPr>
              <w:pStyle w:val="Compact"/>
            </w:pPr>
            <w:r>
              <w:t xml:space="preserve">HIGH</w:t>
            </w:r>
          </w:p>
        </w:tc>
      </w:tr>
      <w:tr>
        <w:tc>
          <w:tcPr/>
          <w:p>
            <w:pPr>
              <w:pStyle w:val="Compact"/>
            </w:pPr>
            <w:r>
              <w:t xml:space="preserve">6</w:t>
            </w:r>
          </w:p>
        </w:tc>
        <w:tc>
          <w:tcPr/>
          <w:p>
            <w:pPr>
              <w:pStyle w:val="Compact"/>
            </w:pPr>
            <w:r>
              <w:t xml:space="preserve">Rakuten diet product LP</w:t>
            </w:r>
          </w:p>
        </w:tc>
        <w:tc>
          <w:tcPr/>
          <w:p>
            <w:pPr>
              <w:pStyle w:val="Compact"/>
            </w:pPr>
            <w:r>
              <w:t xml:space="preserve">Commercial LP</w:t>
            </w:r>
          </w:p>
        </w:tc>
        <w:tc>
          <w:tcPr/>
          <w:p>
            <w:pPr>
              <w:pStyle w:val="Compact"/>
            </w:pPr>
            <w:r>
              <w:t xml:space="preserve">MEDIUM</w:t>
            </w:r>
          </w:p>
        </w:tc>
      </w:tr>
    </w:tbl>
    <w:bookmarkEnd w:id="29"/>
    <w:bookmarkStart w:id="30" w:name="results"/>
    <w:p>
      <w:pPr>
        <w:pStyle w:val="Heading3"/>
      </w:pPr>
      <w:r>
        <w:t xml:space="preserve">4.3 Results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Source</w:t>
            </w:r>
          </w:p>
        </w:tc>
        <w:tc>
          <w:tcPr/>
          <w:p>
            <w:pPr>
              <w:pStyle w:val="Compact"/>
            </w:pPr>
            <w:r>
              <w:t xml:space="preserve">CMI</w:t>
            </w:r>
          </w:p>
        </w:tc>
        <w:tc>
          <w:tcPr/>
          <w:p>
            <w:pPr>
              <w:pStyle w:val="Compact"/>
            </w:pPr>
            <w:r>
              <w:t xml:space="preserve">R8 Label</w:t>
            </w:r>
          </w:p>
        </w:tc>
        <w:tc>
          <w:tcPr/>
          <w:p>
            <w:pPr>
              <w:pStyle w:val="Compact"/>
            </w:pPr>
            <w:r>
              <w:t xml:space="preserve">Expert Label</w:t>
            </w:r>
          </w:p>
        </w:tc>
        <w:tc>
          <w:tcPr/>
          <w:p>
            <w:pPr>
              <w:pStyle w:val="Compact"/>
            </w:pPr>
            <w:r>
              <w:t xml:space="preserve">Match</w:t>
            </w:r>
          </w:p>
        </w:tc>
      </w:tr>
      <w:tr>
        <w:tc>
          <w:tcPr/>
          <w:p>
            <w:pPr>
              <w:pStyle w:val="Compact"/>
            </w:pPr>
            <w:r>
              <w:t xml:space="preserve">1</w:t>
            </w:r>
          </w:p>
        </w:tc>
        <w:tc>
          <w:tcPr/>
          <w:p>
            <w:pPr>
              <w:pStyle w:val="Compact"/>
            </w:pPr>
            <w:r>
              <w:rPr>
                <w:rFonts w:hint="eastAsia"/>
              </w:rPr>
              <w:t xml:space="preserve">文科省PDF</w:t>
            </w:r>
          </w:p>
        </w:tc>
        <w:tc>
          <w:tcPr/>
          <w:p>
            <w:pPr>
              <w:pStyle w:val="Compact"/>
            </w:pPr>
            <w:r>
              <w:t xml:space="preserve">34.2</w:t>
            </w:r>
          </w:p>
        </w:tc>
        <w:tc>
          <w:tcPr/>
          <w:p>
            <w:pPr>
              <w:pStyle w:val="Compact"/>
            </w:pPr>
            <w:r>
              <w:t xml:space="preserve">LOW</w:t>
            </w:r>
          </w:p>
        </w:tc>
        <w:tc>
          <w:tcPr/>
          <w:p>
            <w:pPr>
              <w:pStyle w:val="Compact"/>
            </w:pPr>
            <w:r>
              <w:t xml:space="preserve">LOW</w:t>
            </w:r>
          </w:p>
        </w:tc>
        <w:tc>
          <w:tcPr/>
          <w:p>
            <w:pPr>
              <w:pStyle w:val="Compact"/>
            </w:pPr>
            <w:r>
              <w:t xml:space="preserve">OK</w:t>
            </w:r>
          </w:p>
        </w:tc>
      </w:tr>
      <w:tr>
        <w:tc>
          <w:tcPr/>
          <w:p>
            <w:pPr>
              <w:pStyle w:val="Compact"/>
            </w:pPr>
            <w:r>
              <w:t xml:space="preserve">2</w:t>
            </w:r>
          </w:p>
        </w:tc>
        <w:tc>
          <w:tcPr/>
          <w:p>
            <w:pPr>
              <w:pStyle w:val="Compact"/>
            </w:pPr>
            <w:r>
              <w:rPr>
                <w:rFonts w:hint="eastAsia"/>
              </w:rPr>
              <w:t xml:space="preserve">虚構新聞</w:t>
            </w:r>
          </w:p>
        </w:tc>
        <w:tc>
          <w:tcPr/>
          <w:p>
            <w:pPr>
              <w:pStyle w:val="Compact"/>
            </w:pPr>
            <w:r>
              <w:t xml:space="preserve">37.2</w:t>
            </w:r>
          </w:p>
        </w:tc>
        <w:tc>
          <w:tcPr/>
          <w:p>
            <w:pPr>
              <w:pStyle w:val="Compact"/>
            </w:pPr>
            <w:r>
              <w:t xml:space="preserve">MEDIUM</w:t>
            </w:r>
          </w:p>
        </w:tc>
        <w:tc>
          <w:tcPr/>
          <w:p>
            <w:pPr>
              <w:pStyle w:val="Compact"/>
            </w:pPr>
            <w:r>
              <w:t xml:space="preserve">LOW</w:t>
            </w:r>
          </w:p>
        </w:tc>
        <w:tc>
          <w:tcPr/>
          <w:p>
            <w:pPr>
              <w:pStyle w:val="Compact"/>
            </w:pPr>
            <w:r>
              <w:t xml:space="preserve">partial</w:t>
            </w:r>
          </w:p>
        </w:tc>
      </w:tr>
      <w:tr>
        <w:tc>
          <w:tcPr/>
          <w:p>
            <w:pPr>
              <w:pStyle w:val="Compact"/>
            </w:pPr>
            <w:r>
              <w:t xml:space="preserve">3</w:t>
            </w:r>
          </w:p>
        </w:tc>
        <w:tc>
          <w:tcPr/>
          <w:p>
            <w:pPr>
              <w:pStyle w:val="Compact"/>
            </w:pPr>
            <w:r>
              <w:rPr>
                <w:rFonts w:hint="eastAsia"/>
              </w:rPr>
              <w:t xml:space="preserve">スピリチュアル系</w:t>
            </w:r>
          </w:p>
        </w:tc>
        <w:tc>
          <w:tcPr/>
          <w:p>
            <w:pPr>
              <w:pStyle w:val="Compact"/>
            </w:pPr>
            <w:r>
              <w:t xml:space="preserve">11.4</w:t>
            </w:r>
          </w:p>
        </w:tc>
        <w:tc>
          <w:tcPr/>
          <w:p>
            <w:pPr>
              <w:pStyle w:val="Compact"/>
            </w:pPr>
            <w:r>
              <w:t xml:space="preserve">LOW</w:t>
            </w:r>
          </w:p>
        </w:tc>
        <w:tc>
          <w:tcPr/>
          <w:p>
            <w:pPr>
              <w:pStyle w:val="Compact"/>
            </w:pPr>
            <w:r>
              <w:t xml:space="preserve">MEDIUM</w:t>
            </w:r>
          </w:p>
        </w:tc>
        <w:tc>
          <w:tcPr/>
          <w:p>
            <w:pPr>
              <w:pStyle w:val="Compact"/>
            </w:pPr>
            <w:r>
              <w:t xml:space="preserve">partial</w:t>
            </w:r>
          </w:p>
        </w:tc>
      </w:tr>
      <w:tr>
        <w:tc>
          <w:tcPr/>
          <w:p>
            <w:pPr>
              <w:pStyle w:val="Compact"/>
            </w:pPr>
            <w:r>
              <w:t xml:space="preserve">4</w:t>
            </w:r>
          </w:p>
        </w:tc>
        <w:tc>
          <w:tcPr/>
          <w:p>
            <w:pPr>
              <w:pStyle w:val="Compact"/>
            </w:pPr>
            <w:r>
              <w:t xml:space="preserve">micropreneur</w:t>
            </w:r>
          </w:p>
        </w:tc>
        <w:tc>
          <w:tcPr/>
          <w:p>
            <w:pPr>
              <w:pStyle w:val="Compact"/>
            </w:pPr>
            <w:r>
              <w:t xml:space="preserve">22.0</w:t>
            </w:r>
          </w:p>
        </w:tc>
        <w:tc>
          <w:tcPr/>
          <w:p>
            <w:pPr>
              <w:pStyle w:val="Compact"/>
            </w:pPr>
            <w:r>
              <w:t xml:space="preserve">LOW</w:t>
            </w:r>
          </w:p>
        </w:tc>
        <w:tc>
          <w:tcPr/>
          <w:p>
            <w:pPr>
              <w:pStyle w:val="Compact"/>
            </w:pPr>
            <w:r>
              <w:t xml:space="preserve">MEDIUM</w:t>
            </w:r>
          </w:p>
        </w:tc>
        <w:tc>
          <w:tcPr/>
          <w:p>
            <w:pPr>
              <w:pStyle w:val="Compact"/>
            </w:pPr>
            <w:r>
              <w:t xml:space="preserve">partial</w:t>
            </w:r>
          </w:p>
        </w:tc>
      </w:tr>
      <w:tr>
        <w:tc>
          <w:tcPr/>
          <w:p>
            <w:pPr>
              <w:pStyle w:val="Compact"/>
            </w:pPr>
            <w:r>
              <w:t xml:space="preserve">5</w:t>
            </w:r>
          </w:p>
        </w:tc>
        <w:tc>
          <w:tcPr/>
          <w:p>
            <w:pPr>
              <w:pStyle w:val="Compact"/>
            </w:pPr>
            <w:r>
              <w:rPr>
                <w:rFonts w:hint="eastAsia"/>
              </w:rPr>
              <w:t xml:space="preserve">FX投資系</w:t>
            </w:r>
          </w:p>
        </w:tc>
        <w:tc>
          <w:tcPr/>
          <w:p>
            <w:pPr>
              <w:pStyle w:val="Compact"/>
            </w:pPr>
            <w:r>
              <w:t xml:space="preserve">32.4</w:t>
            </w:r>
          </w:p>
        </w:tc>
        <w:tc>
          <w:tcPr/>
          <w:p>
            <w:pPr>
              <w:pStyle w:val="Compact"/>
            </w:pPr>
            <w:r>
              <w:t xml:space="preserve">LOW</w:t>
            </w:r>
          </w:p>
        </w:tc>
        <w:tc>
          <w:tcPr/>
          <w:p>
            <w:pPr>
              <w:pStyle w:val="Compact"/>
            </w:pPr>
            <w:r>
              <w:t xml:space="preserve">HIGH</w:t>
            </w:r>
          </w:p>
        </w:tc>
        <w:tc>
          <w:tcPr/>
          <w:p>
            <w:pPr>
              <w:pStyle w:val="Compact"/>
            </w:pPr>
            <w:r>
              <w:t xml:space="preserve">miss</w:t>
            </w:r>
          </w:p>
        </w:tc>
      </w:tr>
      <w:tr>
        <w:tc>
          <w:tcPr/>
          <w:p>
            <w:pPr>
              <w:pStyle w:val="Compact"/>
            </w:pPr>
            <w:r>
              <w:t xml:space="preserve">6</w:t>
            </w:r>
          </w:p>
        </w:tc>
        <w:tc>
          <w:tcPr/>
          <w:p>
            <w:pPr>
              <w:pStyle w:val="Compact"/>
            </w:pPr>
            <w:r>
              <w:rPr>
                <w:rFonts w:hint="eastAsia"/>
              </w:rPr>
              <w:t xml:space="preserve">楽天ダイエット</w:t>
            </w:r>
          </w:p>
        </w:tc>
        <w:tc>
          <w:tcPr/>
          <w:p>
            <w:pPr>
              <w:pStyle w:val="Compact"/>
            </w:pPr>
            <w:r>
              <w:t xml:space="preserve">11.0</w:t>
            </w:r>
          </w:p>
        </w:tc>
        <w:tc>
          <w:tcPr/>
          <w:p>
            <w:pPr>
              <w:pStyle w:val="Compact"/>
            </w:pPr>
            <w:r>
              <w:t xml:space="preserve">LOW</w:t>
            </w:r>
          </w:p>
        </w:tc>
        <w:tc>
          <w:tcPr/>
          <w:p>
            <w:pPr>
              <w:pStyle w:val="Compact"/>
            </w:pPr>
            <w:r>
              <w:t xml:space="preserve">MEDIUM</w:t>
            </w:r>
          </w:p>
        </w:tc>
        <w:tc>
          <w:tcPr/>
          <w:p>
            <w:pPr>
              <w:pStyle w:val="Compact"/>
            </w:pPr>
            <w:r>
              <w:t xml:space="preserve">partial</w:t>
            </w:r>
          </w:p>
        </w:tc>
      </w:tr>
    </w:tbl>
    <w:p>
      <w:pPr>
        <w:pStyle w:val="BodyText"/>
      </w:pPr>
      <w:r>
        <w:t xml:space="preserve">Exact match rate: 1/6 (17%). Agreement within one risk level: 4/6 (67%).</w:t>
      </w:r>
    </w:p>
    <w:bookmarkEnd w:id="30"/>
    <w:bookmarkStart w:id="31" w:name="analysis-of-discrepancies"/>
    <w:p>
      <w:pPr>
        <w:pStyle w:val="Heading3"/>
      </w:pPr>
      <w:r>
        <w:t xml:space="preserve">4.4 Analysis of Discrepancies</w:t>
      </w:r>
    </w:p>
    <w:p>
      <w:pPr>
        <w:pStyle w:val="FirstParagraph"/>
      </w:pPr>
      <w:r>
        <w:t xml:space="preserve">Two categories of discrepancy were identified.</w:t>
      </w:r>
    </w:p>
    <w:p>
      <w:pPr>
        <w:pStyle w:val="BodyText"/>
      </w:pPr>
      <w:r>
        <w:t xml:space="preserve">The first concerns text acquisition limitations. High-risk sources employing JavaScript-rendered content (cases 3, 5, 6) returned truncated text via BeautifulSoup-based scraping, resulting in artificially low lexical density scores. This is a technical limitation of the current implementation rather than a failure of the detection logic. Manual inspection of full-page content confirmed the presence of manipulation markers that R8 failed to capture due to incomplete text acquisition.</w:t>
      </w:r>
    </w:p>
    <w:p>
      <w:pPr>
        <w:pStyle w:val="BodyText"/>
      </w:pPr>
      <w:r>
        <w:t xml:space="preserve">The second concerns corpus-label alignment. Case 2 </w:t>
      </w:r>
      <w:r>
        <w:rPr>
          <w:rFonts w:hint="eastAsia"/>
        </w:rPr>
        <w:t xml:space="preserve">(虚構新聞)</w:t>
      </w:r>
      <w:r>
        <w:t xml:space="preserve"> is satirical content that mimics the structural features of manipulative news without the intent of actual manipulation. Its elevated CMI (37.2, MEDIUM) relative to its expert label (LOW) reflects R8’s structural sensitivity: the tool detects manipulation-compatible linguistic patterns regardless of authorial intent. This is consistent with R8’s design as a structural rather than intentional analysis tool.</w:t>
      </w:r>
    </w:p>
    <w:p>
      <w:pPr>
        <w:pStyle w:val="BodyText"/>
      </w:pPr>
      <w:r>
        <w:t xml:space="preserve">A note on satirical content: Case 2 </w:t>
      </w:r>
      <w:r>
        <w:rPr>
          <w:rFonts w:hint="eastAsia"/>
        </w:rPr>
        <w:t xml:space="preserve">(虚構新聞)</w:t>
      </w:r>
      <w:r>
        <w:t xml:space="preserve"> is a well-known Japanese satirical news site that intentionally publishes fictional articles mimicking the style of genuine news. R8’s current design does not distinguish between manipulation with genuine deceptive intent and structural mimicry for satirical purposes. This represents a principled limitation: R8 measures structural manipulation patterns regardless of authorial intent. Satirical and parodic content that employs manipulation-compatible structures will register elevated CMI scores. This limitation is explicitly noted in Section 5 and does not invalidate the detection framework — it delimits its scope of application.</w:t>
      </w:r>
    </w:p>
    <w:p>
      <w:pPr>
        <w:pStyle w:val="BodyText"/>
      </w:pPr>
      <w:r>
        <w:t xml:space="preserve">Case 3 (spiritual content) represents an anecdotal, experiential narrative rather than a commercially manipulative text. The low CMI (11.4) reflects the absence of urgency, authority exploitation, and statistical manipulation markers in this particular document — suggesting that R8’s current dictionary is calibrated toward commercially manipulative content rather than experiential or spiritually framed manipulation.</w:t>
      </w:r>
    </w:p>
    <w:bookmarkEnd w:id="31"/>
    <w:bookmarkStart w:id="32" w:name="implications-for-dictionary-calibration"/>
    <w:p>
      <w:pPr>
        <w:pStyle w:val="Heading3"/>
      </w:pPr>
      <w:r>
        <w:t xml:space="preserve">4.5 Implications for Dictionary Calibration</w:t>
      </w:r>
    </w:p>
    <w:p>
      <w:pPr>
        <w:pStyle w:val="FirstParagraph"/>
      </w:pPr>
      <w:r>
        <w:t xml:space="preserve">The preliminary results indicate that R8’s current lexical dictionary is sensitive to commercially and politically motivated manipulation but requires expansion to capture anecdotal manipulation (personal testimony as proof), spiritually framed authority (appeal to non-verifiable experience), and satirical mimicry (structural manipulation patterns without manipulative intent). These findings directly inform the target selection criteria for the planned 60-document validation corpus.</w:t>
      </w:r>
    </w:p>
    <w:p>
      <w:r>
        <w:pict>
          <v:rect style="width:0;height:1.5pt" o:hralign="center" o:hrstd="t" o:hr="t"/>
        </w:pict>
      </w:r>
    </w:p>
    <w:bookmarkEnd w:id="32"/>
    <w:bookmarkEnd w:id="33"/>
    <w:bookmarkStart w:id="40" w:name="current-limitations"/>
    <w:p>
      <w:pPr>
        <w:pStyle w:val="Heading2"/>
      </w:pPr>
      <w:r>
        <w:t xml:space="preserve">5. Current Limitations</w:t>
      </w:r>
    </w:p>
    <w:bookmarkStart w:id="34" w:name="surface-level-lexical-matching"/>
    <w:p>
      <w:pPr>
        <w:pStyle w:val="Heading3"/>
      </w:pPr>
      <w:r>
        <w:t xml:space="preserve">5.1 Surface-Level Lexical Matching</w:t>
      </w:r>
    </w:p>
    <w:p>
      <w:pPr>
        <w:pStyle w:val="FirstParagraph"/>
      </w:pPr>
      <w:r>
        <w:t xml:space="preserve">The current implementation relies exclusively on surface-level lexical matching and does not account for contextual disambiguation, linguistic variation, or cross-linguistic semantic equivalence. Future versions will incorporate transformer-based contextual language models to address these limitations.</w:t>
      </w:r>
    </w:p>
    <w:p>
      <w:pPr>
        <w:pStyle w:val="BodyText"/>
      </w:pPr>
      <w:r>
        <w:t xml:space="preserve">Three specific consequences follow from this design choice. First, the system cannot distinguish between identical surface forms that carry different semantic functions across contexts. The term</w:t>
      </w:r>
      <w:r>
        <w:t xml:space="preserve"> </w:t>
      </w:r>
      <w:r>
        <w:rPr>
          <w:rFonts w:hint="eastAsia"/>
        </w:rPr>
        <w:t xml:space="preserve">“支配”</w:t>
      </w:r>
      <w:r>
        <w:t xml:space="preserve"> </w:t>
      </w:r>
      <w:r>
        <w:t xml:space="preserve">(domination/control), for instance, carries high risk weight in political manipulation contexts but is neutral in descriptive analyses of market dynamics. Second, orthographic variation beyond the scope of Phase 1 normalization — including non-standard kanji readings, dialectal expressions, and intentional obfuscation — may evade detection. Third, the binary and density-based scoring approach does not capture syntactic manipulation patterns such as presupposition, implicature, or pragmatic force.</w:t>
      </w:r>
    </w:p>
    <w:p>
      <w:pPr>
        <w:pStyle w:val="BodyText"/>
      </w:pPr>
      <w:r>
        <w:t xml:space="preserve">These limitations may result in false positives for formal documents containing legitimate authority references, and false negatives for manipulative content that employs non-standard orthography or indirect rhetorical strategies.</w:t>
      </w:r>
    </w:p>
    <w:bookmarkEnd w:id="34"/>
    <w:bookmarkStart w:id="35" w:name="language-scope"/>
    <w:p>
      <w:pPr>
        <w:pStyle w:val="Heading3"/>
      </w:pPr>
      <w:r>
        <w:t xml:space="preserve">5.2 Language Scope</w:t>
      </w:r>
    </w:p>
    <w:p>
      <w:pPr>
        <w:pStyle w:val="FirstParagraph"/>
      </w:pPr>
      <w:r>
        <w:t xml:space="preserve">The current implementation is Japanese-language specific. All dictionaries, normalization procedures, and validation corpora are constructed for Japanese text. Extension to other languages requires not only lexical translation but structural re-analysis, as manipulative rhetorical patterns differ systematically across linguistic and cultural contexts.</w:t>
      </w:r>
    </w:p>
    <w:p>
      <w:pPr>
        <w:pStyle w:val="BodyText"/>
      </w:pPr>
      <w:r>
        <w:t xml:space="preserve">English-language manipulation, for instance, tends toward more syntactically explicit urgency framing, while Japanese manipulation more frequently operates through implicature and contextual pressure — precisely the kuuki dynamics described in Section 2.2. Arabic and Chinese present additional challenges due to root-based morphology and logographic polysemy respectively. Cross-linguistic extension is deferred to Phase 3 development.</w:t>
      </w:r>
    </w:p>
    <w:bookmarkEnd w:id="35"/>
    <w:bookmarkStart w:id="36" w:name="validation-corpus-limitations"/>
    <w:p>
      <w:pPr>
        <w:pStyle w:val="Heading3"/>
      </w:pPr>
      <w:r>
        <w:t xml:space="preserve">5.3 Validation Corpus Limitations</w:t>
      </w:r>
    </w:p>
    <w:p>
      <w:pPr>
        <w:pStyle w:val="FirstParagraph"/>
      </w:pPr>
      <w:r>
        <w:t xml:space="preserve">The present validation corpus of 6 documents is insufficient for statistical inference. Effect size estimation, inter-rater reliability assessment, and generalizability claims require a minimum corpus of 60 documents across balanced risk categories, with independent expert annotation by multiple raters. The current single-rater expert judgment, while grounded in structured rubric application (Appendix A), introduces potential annotation bias that cannot be quantified at this scale.</w:t>
      </w:r>
    </w:p>
    <w:bookmarkEnd w:id="36"/>
    <w:bookmarkStart w:id="37" w:name="javascript-rendered-content"/>
    <w:p>
      <w:pPr>
        <w:pStyle w:val="Heading3"/>
      </w:pPr>
      <w:r>
        <w:t xml:space="preserve">5.4 JavaScript-Rendered Content</w:t>
      </w:r>
    </w:p>
    <w:p>
      <w:pPr>
        <w:pStyle w:val="FirstParagraph"/>
      </w:pPr>
      <w:r>
        <w:t xml:space="preserve">A significant proportion of high-risk web content — including investment scheme promotions, multi-level marketing recruitment pages, and cult recruitment materials — employs JavaScript-rendered dynamic content that BeautifulSoup-based scraping cannot access. This creates a systematic sampling bias in which the most manipulative content is the least accessible to automated analysis. Headless browser integration (e.g., Playwright, Selenium) is identified as a priority technical development.</w:t>
      </w:r>
    </w:p>
    <w:bookmarkEnd w:id="37"/>
    <w:bookmarkStart w:id="38" w:name="dictionary-construction-methodology"/>
    <w:p>
      <w:pPr>
        <w:pStyle w:val="Heading3"/>
      </w:pPr>
      <w:r>
        <w:t xml:space="preserve">5.5 Dictionary Construction Methodology</w:t>
      </w:r>
    </w:p>
    <w:p>
      <w:pPr>
        <w:pStyle w:val="FirstParagraph"/>
      </w:pPr>
      <w:r>
        <w:t xml:space="preserve">The current lexical dictionaries were constructed through theoretical reasoning and expert judgment rather than corpus-based induction. While this approach ensures theoretical coherence, it may systematically underrepresent manipulation patterns that fall outside the author’s domain expertise or cultural familiarity. Corpus-based dictionary expansion using annotated manipulation corpora — such as those developed in computational propaganda research (Ferrara et al., 2016) — is recommended for subsequent development.</w:t>
      </w:r>
    </w:p>
    <w:bookmarkEnd w:id="38"/>
    <w:bookmarkStart w:id="39" w:name="weight-and-threshold-calibration"/>
    <w:p>
      <w:pPr>
        <w:pStyle w:val="Heading3"/>
      </w:pPr>
      <w:r>
        <w:t xml:space="preserve">5.6 Weight and Threshold Calibration</w:t>
      </w:r>
    </w:p>
    <w:p>
      <w:pPr>
        <w:pStyle w:val="FirstParagraph"/>
      </w:pPr>
      <w:r>
        <w:t xml:space="preserve">Category weights and normalization thresholds were set through iterative empirical observation on a small pilot corpus rather than through optimization against a held-out validation set. The current weight distribution (Statistical Risk: 0.16; Authority Risk, Emotional Risk: 0.12 each) reflects theoretical priors rather than empirically derived importance rankings. Systematic calibration using a larger annotated corpus is required before the weight structure can be considered validated.</w:t>
      </w:r>
    </w:p>
    <w:p>
      <w:r>
        <w:pict>
          <v:rect style="width:0;height:1.5pt" o:hralign="center" o:hrstd="t" o:hr="t"/>
        </w:pict>
      </w:r>
    </w:p>
    <w:bookmarkEnd w:id="39"/>
    <w:bookmarkEnd w:id="40"/>
    <w:bookmarkStart w:id="47" w:name="future-work"/>
    <w:p>
      <w:pPr>
        <w:pStyle w:val="Heading2"/>
      </w:pPr>
      <w:r>
        <w:t xml:space="preserve">6. Future Work</w:t>
      </w:r>
    </w:p>
    <w:bookmarkStart w:id="41" w:name="X42341fde2498ce1fee494a6470239bb98aef700"/>
    <w:p>
      <w:pPr>
        <w:pStyle w:val="Heading3"/>
      </w:pPr>
      <w:r>
        <w:t xml:space="preserve">6.1 Phase 2: Transformer-Based Contextual Analysis</w:t>
      </w:r>
    </w:p>
    <w:p>
      <w:pPr>
        <w:pStyle w:val="FirstParagraph"/>
      </w:pPr>
      <w:r>
        <w:t xml:space="preserve">The most significant planned development is the integration of transformer-based language models for contextual disambiguation. Specifically, the distinction between legitimate authority citation and pseudo-authority exploitation — currently handled through the two-layer heuristic described in Section 3.4 — would benefit substantially from contextual encoding. A BERT-based or similar architecture fine-tuned on annotated Japanese manipulation corpora could provide sentence-level context sensitivity without sacrificing the transparency and reproducibility that characterize the current lexical approach.</w:t>
      </w:r>
    </w:p>
    <w:p>
      <w:pPr>
        <w:pStyle w:val="BodyText"/>
      </w:pPr>
      <w:r>
        <w:t xml:space="preserve">This development is explicitly framed as complementary rather than replacement: the lexical baseline provides interpretable, auditable scores that transformer-based augmentation can refine without rendering opaque.</w:t>
      </w:r>
    </w:p>
    <w:bookmarkEnd w:id="41"/>
    <w:bookmarkStart w:id="42" w:name="phase-2-validation-corpus-expansion"/>
    <w:p>
      <w:pPr>
        <w:pStyle w:val="Heading3"/>
      </w:pPr>
      <w:r>
        <w:t xml:space="preserve">6.2 Phase 2: Validation Corpus Expansion</w:t>
      </w:r>
    </w:p>
    <w:p>
      <w:pPr>
        <w:pStyle w:val="FirstParagraph"/>
      </w:pPr>
      <w:r>
        <w:t xml:space="preserve">Expansion to a 60-document validation corpus is the immediate empirical priority. The expanded corpus will include high-risk documents across three manipulation modalities currently underrepresented: cult recruitment and coercive control language, multi-level marketing and investment scheme promotions, and domestic violence and psychological abuse language patterns. The inclusion of clinical manipulation corpora is particularly relevant given R8’s theoretical grounding in Symington’s (1993) framework, and reflects the author’s clinical psychology training in coercive interpersonal dynamics.</w:t>
      </w:r>
    </w:p>
    <w:bookmarkEnd w:id="42"/>
    <w:bookmarkStart w:id="43" w:name="phase-2-inter-rater-reliability"/>
    <w:p>
      <w:pPr>
        <w:pStyle w:val="Heading3"/>
      </w:pPr>
      <w:r>
        <w:t xml:space="preserve">6.3 Phase 2: Inter-Rater Reliability</w:t>
      </w:r>
    </w:p>
    <w:p>
      <w:pPr>
        <w:pStyle w:val="FirstParagraph"/>
      </w:pPr>
      <w:r>
        <w:t xml:space="preserve">Independent annotation of the validation corpus by multiple raters with defined inter-rater reliability metrics (Cohen’s kappa or Krippendorff’s alpha) is required before validation results can be presented as statistically defensible. Collaboration with researchers in computational linguistics, media studies, or clinical psychology is identified as the appropriate mechanism for this development.</w:t>
      </w:r>
    </w:p>
    <w:bookmarkEnd w:id="43"/>
    <w:bookmarkStart w:id="44" w:name="phase-3-multilingual-extension"/>
    <w:p>
      <w:pPr>
        <w:pStyle w:val="Heading3"/>
      </w:pPr>
      <w:r>
        <w:t xml:space="preserve">6.4 Phase 3: Multilingual Extension</w:t>
      </w:r>
    </w:p>
    <w:p>
      <w:pPr>
        <w:pStyle w:val="FirstParagraph"/>
      </w:pPr>
      <w:r>
        <w:t xml:space="preserve">Extension to English-language analysis is identified as the highest-priority multilingual development, given R8’s strategic positioning in English-language academic and policy markets (NATO StratCom, Northern European security research, US think tanks). English dictionary construction requires structural re-analysis rather than direct translation, as the manipulative rhetorical patterns differ systematically from their Japanese counterparts.</w:t>
      </w:r>
    </w:p>
    <w:p>
      <w:pPr>
        <w:pStyle w:val="BodyText"/>
      </w:pPr>
      <w:r>
        <w:t xml:space="preserve">Subsequent extension to other languages — particularly those relevant to cognitive warfare contexts (Russian, Chinese, Arabic) — is deferred to later Phase 3 development pending resource availability.</w:t>
      </w:r>
    </w:p>
    <w:bookmarkEnd w:id="44"/>
    <w:bookmarkStart w:id="45" w:name="Xd209c2edba65ec3f96418a6434e0199270d6f7d"/>
    <w:p>
      <w:pPr>
        <w:pStyle w:val="Heading3"/>
      </w:pPr>
      <w:r>
        <w:t xml:space="preserve">6.5 Phase 3: AI-Generated Text and Sycophantic Bias Detection</w:t>
      </w:r>
    </w:p>
    <w:p>
      <w:pPr>
        <w:pStyle w:val="FirstParagraph"/>
      </w:pPr>
      <w:r>
        <w:t xml:space="preserve">A longer-term research direction extends R8’s framework beyond human-authored text to the analysis of AI-generated communication. The proliferation of large language models (LLMs) as communication intermediaries introduces a structurally novel vector of cognitive manipulation risk: sycophantic bias — the systematic tendency of AI systems to affirm, validate, and align with the user’s expressed or implied preferences, regardless of epistemic accuracy.</w:t>
      </w:r>
    </w:p>
    <w:p>
      <w:pPr>
        <w:pStyle w:val="BodyText"/>
      </w:pPr>
      <w:r>
        <w:t xml:space="preserve">This bias is not incidental but architectural. Models trained through reinforcement learning from human feedback (RLHF) are optimized toward responses that human evaluators rate favorably. Since human evaluators tend to rate agreement and validation more positively than contradiction and correction, the training process embeds a structural disposition toward affirmation. The result is a manipulation-compatible pattern that operates without explicit intent: false authority through confident assertion, emotional amplification through positive framing, and logical misdirection through selective emphasis — the same categories R8 currently detects in human-authored manipulative text.</w:t>
      </w:r>
    </w:p>
    <w:p>
      <w:pPr>
        <w:pStyle w:val="BodyText"/>
      </w:pPr>
      <w:r>
        <w:t xml:space="preserve">R8 proposes a methodological framework for detecting and quantifying this bias through three complementary approaches. First, probing analysis: identical queries presented with positive, negative, and neutral framing are submitted to the target model, and CMI scores of the resulting responses are compared. A systematic CMI reduction in response to positively framed inputs constitutes evidence of sycophantic bias. Second, consistency testing: contradictory premises are introduced across successive conversational turns, and the model’s willingness to affirm contradictory positions is measured. Third, cross-model comparative auditing: CMI scores of responses generated by multiple LLMs to standardized prompts enable inter-model comparison of manipulation-compatible output patterns.</w:t>
      </w:r>
    </w:p>
    <w:p>
      <w:pPr>
        <w:pStyle w:val="BodyText"/>
      </w:pPr>
      <w:r>
        <w:t xml:space="preserve">This application is not presented as a confirmed finding but as a diagnostic probe: a methodological framework for detecting whether manipulation-compatible patterns exist in AI-generated text, and if so, quantifying their structural characteristics. Whether such patterns reflect intentional design, emergent training dynamics, or measurement artifacts cannot be determined through external lexical analysis alone. R8 does not claim to resolve this question; it proposes to make the question empirically tractable for the first time.</w:t>
      </w:r>
    </w:p>
    <w:p>
      <w:pPr>
        <w:pStyle w:val="BodyText"/>
      </w:pPr>
      <w:r>
        <w:t xml:space="preserve">The application remains exploratory and is explicitly distinct from the ethical questions surrounding AI alignment and intentional design, which fall outside R8’s scope as a structural linguistic analysis tool.</w:t>
      </w:r>
    </w:p>
    <w:p>
      <w:pPr>
        <w:pStyle w:val="BodyText"/>
      </w:pPr>
      <w:r>
        <w:rPr>
          <w:i/>
          <w:iCs/>
        </w:rPr>
        <w:t xml:space="preserve">Supplementary Note: A preliminary probe using standardized prompts across three LLMs (Claude, Anthropic; GPT-4o, OpenAI; Gemini, Google) applied to a fictional persona scenario (Tanaka Makoto, pseudonym; network business scheme NBS, pseudonym) yielded CMI variation across framing conditions (positive/neutral/negative), suggesting that R8 may be applicable to AI-generated text analysis. Observed CMI ranges were: Claude 31.1–44.0, GPT 24.0–47.5, Gemini 18.0–30.0. However, the current prompt design is insufficiently controlled for confounding variables including emotional loading of framing language and persona attributes. Refined prompt sets — developed through prior theoretical analysis before multi-model implementation — are identified as a priority for future investigation. This application remains exploratory and distinct from the ethical questions surrounding AI alignment and intentional design, which fall outside R8’s scope as a structural linguistic analysis tool.</w:t>
      </w:r>
    </w:p>
    <w:bookmarkEnd w:id="45"/>
    <w:bookmarkStart w:id="46" w:name="Xad01aa05ca5ec7ac59bb393acc05a533b51ce8d"/>
    <w:p>
      <w:pPr>
        <w:pStyle w:val="Heading3"/>
      </w:pPr>
      <w:r>
        <w:t xml:space="preserve">6.6 Phase 3: AI-Assisted Peer Review Application</w:t>
      </w:r>
    </w:p>
    <w:p>
      <w:pPr>
        <w:pStyle w:val="FirstParagraph"/>
      </w:pPr>
      <w:r>
        <w:t xml:space="preserve">An exploratory application of R8’s framework to academic peer review processes has been identified as a longer-term research direction. The structural patterns of manipulative communication — false authority, logical misdirection, statistical manipulation — are not absent from academic discourse, and a tool capable of flagging these patterns in submitted manuscripts or reviewer comments could contribute to research integrity infrastructure. This application is presented as speculative and requires substantial theoretical and empirical development before implementation.</w:t>
      </w:r>
    </w:p>
    <w:p>
      <w:r>
        <w:pict>
          <v:rect style="width:0;height:1.5pt" o:hralign="center" o:hrstd="t" o:hr="t"/>
        </w:pict>
      </w:r>
    </w:p>
    <w:bookmarkEnd w:id="46"/>
    <w:bookmarkEnd w:id="47"/>
    <w:bookmarkStart w:id="48" w:name="conclusion"/>
    <w:p>
      <w:pPr>
        <w:pStyle w:val="Heading2"/>
      </w:pPr>
      <w:r>
        <w:t xml:space="preserve">7. Conclusion</w:t>
      </w:r>
    </w:p>
    <w:p>
      <w:pPr>
        <w:pStyle w:val="FirstParagraph"/>
      </w:pPr>
      <w:r>
        <w:t xml:space="preserve">R8 presents a first-generation lexical framework for the quantitative detection of cognitive manipulation risk in Japanese-language text. By operationalizing 12 theoretically grounded risk categories into a single composite index — the Cognitive Manipulation Index (CMI) — the system extends a qualitative tradition of organizational failure analysis into a real-time, reproducible measurement instrument.</w:t>
      </w:r>
    </w:p>
    <w:p>
      <w:pPr>
        <w:pStyle w:val="BodyText"/>
      </w:pPr>
      <w:r>
        <w:t xml:space="preserve">The theoretical contribution of R8 lies in its integration of Japanese organizational sociology (Tobe et al., 1984; Yamamoto, 1977; Nakane, 1967), clinical psychology of manipulation (Symington, 1993), psychometric measurement methodology (MMPI, Rorschach Comprehensive System), and cognitive linguistics (Arai, 2018; Toyama, 1983) into a unified detection architecture. This cross-disciplinary integration reflects the author’s position that cognitive manipulation is not a single-discipline problem: it is simultaneously a linguistic, psychological, organizational, and geopolitical phenomenon that requires correspondingly multi-layered analytical tools.</w:t>
      </w:r>
    </w:p>
    <w:p>
      <w:pPr>
        <w:pStyle w:val="BodyText"/>
      </w:pPr>
      <w:r>
        <w:t xml:space="preserve">The limitations of the current implementation are substantial and explicitly acknowledged. Surface-level lexical matching without contextual disambiguation, a validation corpus of insufficient scale, and dictionary construction without corpus-based induction all constrain the strength of claims that can currently be made. R8 is presented not as a validated instrument but as a transparent, reproducible, and theoretically grounded baseline — one that is designed to be extended, critiqued, and improved through open collaborative development.</w:t>
      </w:r>
    </w:p>
    <w:p>
      <w:pPr>
        <w:pStyle w:val="BodyText"/>
      </w:pPr>
      <w:r>
        <w:t xml:space="preserve">The decision to release R8 as open-source software under CC BY 4.0 reflects a commitment to the principle that cognitive transparency — the ability to audit the structural conditions under which communication operates — should itself be a public good. In an information environment increasingly characterized by sophisticated manipulation at scale, the capacity to detect manipulation is as important as the capacity to produce it.</w:t>
      </w:r>
    </w:p>
    <w:p>
      <w:r>
        <w:pict>
          <v:rect style="width:0;height:1.5pt" o:hralign="center" o:hrstd="t" o:hr="t"/>
        </w:pict>
      </w:r>
    </w:p>
    <w:bookmarkEnd w:id="48"/>
    <w:bookmarkStart w:id="53" w:name="Xd531cd0bdea533da9afac24ca3117c4597e9324"/>
    <w:p>
      <w:pPr>
        <w:pStyle w:val="Heading2"/>
      </w:pPr>
      <w:r>
        <w:t xml:space="preserve">Appendix A: Expert Judgment Rubric for Ground Truth Classification</w:t>
      </w:r>
    </w:p>
    <w:bookmarkStart w:id="49" w:name="a.1-rubric-design-rationale"/>
    <w:p>
      <w:pPr>
        <w:pStyle w:val="Heading3"/>
      </w:pPr>
      <w:r>
        <w:t xml:space="preserve">A.1 Rubric Design Rationale</w:t>
      </w:r>
    </w:p>
    <w:p>
      <w:pPr>
        <w:pStyle w:val="FirstParagraph"/>
      </w:pPr>
      <w:r>
        <w:t xml:space="preserve">Ground truth labels were assigned using a structured rubric derived from established frameworks in persuasion research, clinical psychology of manipulation, and media literacy assessment. The rubric operationalizes three dimensions of cognitive manipulation risk, each scored 0-2, yielding a composite expert score of 0-6.</w:t>
      </w:r>
    </w:p>
    <w:p>
      <w:pPr>
        <w:pStyle w:val="BodyText"/>
      </w:pPr>
      <w:r>
        <w:t xml:space="preserve">The three dimensions are grounded in Cialdini’s (1984) principles of influence, which identify authority, scarcity, social proof, and emotional appeal as the primary vectors of persuasive manipulation. The clinical distinction between persuasion and manipulation proposed by Symington (1993) further informs the rubric: manipulation is defined by the systematic denial of the recipient’s autonomous evaluative capacity — a criterion directly operationalized in Dimension 2 (Impairment of Recipient Autonomy). The verifiability dimension (Dimension 3) draws on media literacy frameworks that identify source transparency and claim falsifiability as core indicators of informational integrity (Hobbs, 2010).</w:t>
      </w:r>
    </w:p>
    <w:bookmarkEnd w:id="49"/>
    <w:bookmarkStart w:id="50" w:name="a.2-scoring-dimensions"/>
    <w:p>
      <w:pPr>
        <w:pStyle w:val="Heading3"/>
      </w:pPr>
      <w:r>
        <w:t xml:space="preserve">A.2 Scoring Dimensions</w:t>
      </w:r>
    </w:p>
    <w:p>
      <w:pPr>
        <w:pStyle w:val="FirstParagraph"/>
      </w:pPr>
      <w:r>
        <w:rPr>
          <w:b/>
          <w:bCs/>
        </w:rPr>
        <w:t xml:space="preserve">Dimension 1: Evidence of Manipulative Intent in Language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Criterion</w:t>
            </w:r>
          </w:p>
        </w:tc>
      </w:tr>
      <w:tr>
        <w:tc>
          <w:tcPr/>
          <w:p>
            <w:pPr>
              <w:pStyle w:val="Compact"/>
            </w:pPr>
            <w:r>
              <w:t xml:space="preserve">0</w:t>
            </w:r>
          </w:p>
        </w:tc>
        <w:tc>
          <w:tcPr/>
          <w:p>
            <w:pPr>
              <w:pStyle w:val="Compact"/>
            </w:pPr>
            <w:r>
              <w:t xml:space="preserve">No identifiable linguistic markers of persuasive intent beyond informational presentation</w:t>
            </w:r>
          </w:p>
        </w:tc>
      </w:tr>
      <w:tr>
        <w:tc>
          <w:tcPr/>
          <w:p>
            <w:pPr>
              <w:pStyle w:val="Compact"/>
            </w:pPr>
            <w:r>
              <w:t xml:space="preserve">1</w:t>
            </w:r>
          </w:p>
        </w:tc>
        <w:tc>
          <w:tcPr/>
          <w:p>
            <w:pPr>
              <w:pStyle w:val="Compact"/>
            </w:pPr>
            <w:r>
              <w:t xml:space="preserve">Presence of persuasive framing; some urgency, emotional, or authority markers present but contextualized</w:t>
            </w:r>
          </w:p>
        </w:tc>
      </w:tr>
      <w:tr>
        <w:tc>
          <w:tcPr/>
          <w:p>
            <w:pPr>
              <w:pStyle w:val="Compact"/>
            </w:pPr>
            <w:r>
              <w:t xml:space="preserve">2</w:t>
            </w:r>
          </w:p>
        </w:tc>
        <w:tc>
          <w:tcPr/>
          <w:p>
            <w:pPr>
              <w:pStyle w:val="Compact"/>
            </w:pPr>
            <w:r>
              <w:t xml:space="preserve">Systematic deployment of multiple manipulation categories; markers appear designed to bypass critical evaluation</w:t>
            </w:r>
          </w:p>
        </w:tc>
      </w:tr>
    </w:tbl>
    <w:p>
      <w:pPr>
        <w:pStyle w:val="BodyText"/>
      </w:pPr>
      <w:r>
        <w:rPr>
          <w:b/>
          <w:bCs/>
        </w:rPr>
        <w:t xml:space="preserve">Dimension 2: Impairment of Recipient Autonomy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Criterion</w:t>
            </w:r>
          </w:p>
        </w:tc>
      </w:tr>
      <w:tr>
        <w:tc>
          <w:tcPr/>
          <w:p>
            <w:pPr>
              <w:pStyle w:val="Compact"/>
            </w:pPr>
            <w:r>
              <w:t xml:space="preserve">0</w:t>
            </w:r>
          </w:p>
        </w:tc>
        <w:tc>
          <w:tcPr/>
          <w:p>
            <w:pPr>
              <w:pStyle w:val="Compact"/>
            </w:pPr>
            <w:r>
              <w:t xml:space="preserve">Content invites independent verification; sources cited; conclusions presented as provisional</w:t>
            </w:r>
          </w:p>
        </w:tc>
      </w:tr>
      <w:tr>
        <w:tc>
          <w:tcPr/>
          <w:p>
            <w:pPr>
              <w:pStyle w:val="Compact"/>
            </w:pPr>
            <w:r>
              <w:t xml:space="preserve">1</w:t>
            </w:r>
          </w:p>
        </w:tc>
        <w:tc>
          <w:tcPr/>
          <w:p>
            <w:pPr>
              <w:pStyle w:val="Compact"/>
            </w:pPr>
            <w:r>
              <w:t xml:space="preserve">Partial inhibition of critical evaluation; some claims presented as settled without full evidentiary support</w:t>
            </w:r>
          </w:p>
        </w:tc>
      </w:tr>
      <w:tr>
        <w:tc>
          <w:tcPr/>
          <w:p>
            <w:pPr>
              <w:pStyle w:val="Compact"/>
            </w:pPr>
            <w:r>
              <w:t xml:space="preserve">2</w:t>
            </w:r>
          </w:p>
        </w:tc>
        <w:tc>
          <w:tcPr/>
          <w:p>
            <w:pPr>
              <w:pStyle w:val="Compact"/>
            </w:pPr>
            <w:r>
              <w:t xml:space="preserve">Systematic inhibition of independent judgment; urgency, authority, or emotional pressure forecloses evaluation</w:t>
            </w:r>
          </w:p>
        </w:tc>
      </w:tr>
    </w:tbl>
    <w:p>
      <w:pPr>
        <w:pStyle w:val="BodyText"/>
      </w:pPr>
      <w:r>
        <w:rPr>
          <w:b/>
          <w:bCs/>
        </w:rPr>
        <w:t xml:space="preserve">Dimension 3: Verifiability of Claims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Criterion</w:t>
            </w:r>
          </w:p>
        </w:tc>
      </w:tr>
      <w:tr>
        <w:tc>
          <w:tcPr/>
          <w:p>
            <w:pPr>
              <w:pStyle w:val="Compact"/>
            </w:pPr>
            <w:r>
              <w:t xml:space="preserve">0</w:t>
            </w:r>
          </w:p>
        </w:tc>
        <w:tc>
          <w:tcPr/>
          <w:p>
            <w:pPr>
              <w:pStyle w:val="Compact"/>
            </w:pPr>
            <w:r>
              <w:t xml:space="preserve">All major claims are verifiable through cited sources or publicly accessible evidence</w:t>
            </w:r>
          </w:p>
        </w:tc>
      </w:tr>
      <w:tr>
        <w:tc>
          <w:tcPr/>
          <w:p>
            <w:pPr>
              <w:pStyle w:val="Compact"/>
            </w:pPr>
            <w:r>
              <w:t xml:space="preserve">1</w:t>
            </w:r>
          </w:p>
        </w:tc>
        <w:tc>
          <w:tcPr/>
          <w:p>
            <w:pPr>
              <w:pStyle w:val="Compact"/>
            </w:pPr>
            <w:r>
              <w:t xml:space="preserve">Some claims lack citation; numerical claims present without source attribution</w:t>
            </w:r>
          </w:p>
        </w:tc>
      </w:tr>
      <w:tr>
        <w:tc>
          <w:tcPr/>
          <w:p>
            <w:pPr>
              <w:pStyle w:val="Compact"/>
            </w:pPr>
            <w:r>
              <w:t xml:space="preserve">2</w:t>
            </w:r>
          </w:p>
        </w:tc>
        <w:tc>
          <w:tcPr/>
          <w:p>
            <w:pPr>
              <w:pStyle w:val="Compact"/>
            </w:pPr>
            <w:r>
              <w:t xml:space="preserve">Core claims are unverifiable by design; anonymous authority, naked numbers, or unfalsifiable assertions</w:t>
            </w:r>
          </w:p>
        </w:tc>
      </w:tr>
    </w:tbl>
    <w:bookmarkEnd w:id="50"/>
    <w:bookmarkStart w:id="51" w:name="a.3-classification-thresholds"/>
    <w:p>
      <w:pPr>
        <w:pStyle w:val="Heading3"/>
      </w:pPr>
      <w:r>
        <w:t xml:space="preserve">A.3 Classification Thresholds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Expert Score</w:t>
            </w:r>
          </w:p>
        </w:tc>
        <w:tc>
          <w:tcPr/>
          <w:p>
            <w:pPr>
              <w:pStyle w:val="Compact"/>
            </w:pPr>
            <w:r>
              <w:t xml:space="preserve">Risk Label</w:t>
            </w:r>
          </w:p>
        </w:tc>
      </w:tr>
      <w:tr>
        <w:tc>
          <w:tcPr/>
          <w:p>
            <w:pPr>
              <w:pStyle w:val="Compact"/>
            </w:pPr>
            <w:r>
              <w:t xml:space="preserve">0-2</w:t>
            </w:r>
          </w:p>
        </w:tc>
        <w:tc>
          <w:tcPr/>
          <w:p>
            <w:pPr>
              <w:pStyle w:val="Compact"/>
            </w:pPr>
            <w:r>
              <w:t xml:space="preserve">LOW</w:t>
            </w:r>
          </w:p>
        </w:tc>
      </w:tr>
      <w:tr>
        <w:tc>
          <w:tcPr/>
          <w:p>
            <w:pPr>
              <w:pStyle w:val="Compact"/>
            </w:pPr>
            <w:r>
              <w:t xml:space="preserve">3-4</w:t>
            </w:r>
          </w:p>
        </w:tc>
        <w:tc>
          <w:tcPr/>
          <w:p>
            <w:pPr>
              <w:pStyle w:val="Compact"/>
            </w:pPr>
            <w:r>
              <w:t xml:space="preserve">MEDIUM</w:t>
            </w:r>
          </w:p>
        </w:tc>
      </w:tr>
      <w:tr>
        <w:tc>
          <w:tcPr/>
          <w:p>
            <w:pPr>
              <w:pStyle w:val="Compact"/>
            </w:pPr>
            <w:r>
              <w:t xml:space="preserve">5-6</w:t>
            </w:r>
          </w:p>
        </w:tc>
        <w:tc>
          <w:tcPr/>
          <w:p>
            <w:pPr>
              <w:pStyle w:val="Compact"/>
            </w:pPr>
            <w:r>
              <w:t xml:space="preserve">HIGH</w:t>
            </w:r>
          </w:p>
        </w:tc>
      </w:tr>
    </w:tbl>
    <w:bookmarkEnd w:id="51"/>
    <w:bookmarkStart w:id="52" w:name="a.4-corpus-labels-with-rubric-scores"/>
    <w:p>
      <w:pPr>
        <w:pStyle w:val="Heading3"/>
      </w:pPr>
      <w:r>
        <w:t xml:space="preserve">A.4 Corpus Labels with Rubric Scores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Source</w:t>
            </w:r>
          </w:p>
        </w:tc>
        <w:tc>
          <w:tcPr/>
          <w:p>
            <w:pPr>
              <w:pStyle w:val="Compact"/>
            </w:pPr>
            <w:r>
              <w:t xml:space="preserve">D1</w:t>
            </w:r>
          </w:p>
        </w:tc>
        <w:tc>
          <w:tcPr/>
          <w:p>
            <w:pPr>
              <w:pStyle w:val="Compact"/>
            </w:pPr>
            <w:r>
              <w:t xml:space="preserve">D2</w:t>
            </w:r>
          </w:p>
        </w:tc>
        <w:tc>
          <w:tcPr/>
          <w:p>
            <w:pPr>
              <w:pStyle w:val="Compact"/>
            </w:pPr>
            <w:r>
              <w:t xml:space="preserve">D3</w:t>
            </w:r>
          </w:p>
        </w:tc>
        <w:tc>
          <w:tcPr/>
          <w:p>
            <w:pPr>
              <w:pStyle w:val="Compact"/>
            </w:pPr>
            <w:r>
              <w:t xml:space="preserve">Total</w:t>
            </w:r>
          </w:p>
        </w:tc>
        <w:tc>
          <w:tcPr/>
          <w:p>
            <w:pPr>
              <w:pStyle w:val="Compact"/>
            </w:pPr>
            <w:r>
              <w:t xml:space="preserve">Label</w:t>
            </w:r>
          </w:p>
        </w:tc>
      </w:tr>
      <w:tr>
        <w:tc>
          <w:tcPr/>
          <w:p>
            <w:pPr>
              <w:pStyle w:val="Compact"/>
            </w:pPr>
            <w:r>
              <w:rPr>
                <w:rFonts w:hint="eastAsia"/>
              </w:rPr>
              <w:t xml:space="preserve">文科省PDF</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LOW</w:t>
            </w:r>
          </w:p>
        </w:tc>
      </w:tr>
      <w:tr>
        <w:tc>
          <w:tcPr/>
          <w:p>
            <w:pPr>
              <w:pStyle w:val="Compact"/>
            </w:pPr>
            <w:r>
              <w:rPr>
                <w:rFonts w:hint="eastAsia"/>
              </w:rPr>
              <w:t xml:space="preserve">虚構新聞</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LOW</w:t>
            </w:r>
          </w:p>
        </w:tc>
      </w:tr>
      <w:tr>
        <w:tc>
          <w:tcPr/>
          <w:p>
            <w:pPr>
              <w:pStyle w:val="Compact"/>
            </w:pPr>
            <w:r>
              <w:rPr>
                <w:rFonts w:hint="eastAsia"/>
              </w:rPr>
              <w:t xml:space="preserve">スピリチュアル系</w:t>
            </w:r>
          </w:p>
        </w:tc>
        <w:tc>
          <w:tcPr/>
          <w:p>
            <w:pPr>
              <w:pStyle w:val="Compact"/>
            </w:pPr>
            <w:r>
              <w:t xml:space="preserve">1</w:t>
            </w:r>
          </w:p>
        </w:tc>
        <w:tc>
          <w:tcPr/>
          <w:p>
            <w:pPr>
              <w:pStyle w:val="Compact"/>
            </w:pPr>
            <w:r>
              <w:t xml:space="preserve">1</w:t>
            </w:r>
          </w:p>
        </w:tc>
        <w:tc>
          <w:tcPr/>
          <w:p>
            <w:pPr>
              <w:pStyle w:val="Compact"/>
            </w:pPr>
            <w:r>
              <w:t xml:space="preserve">2</w:t>
            </w:r>
          </w:p>
        </w:tc>
        <w:tc>
          <w:tcPr/>
          <w:p>
            <w:pPr>
              <w:pStyle w:val="Compact"/>
            </w:pPr>
            <w:r>
              <w:t xml:space="preserve">4</w:t>
            </w:r>
          </w:p>
        </w:tc>
        <w:tc>
          <w:tcPr/>
          <w:p>
            <w:pPr>
              <w:pStyle w:val="Compact"/>
            </w:pPr>
            <w:r>
              <w:t xml:space="preserve">MEDIUM</w:t>
            </w:r>
          </w:p>
        </w:tc>
      </w:tr>
      <w:tr>
        <w:tc>
          <w:tcPr/>
          <w:p>
            <w:pPr>
              <w:pStyle w:val="Compact"/>
            </w:pPr>
            <w:r>
              <w:t xml:space="preserve">micropreneur</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3</w:t>
            </w:r>
          </w:p>
        </w:tc>
        <w:tc>
          <w:tcPr/>
          <w:p>
            <w:pPr>
              <w:pStyle w:val="Compact"/>
            </w:pPr>
            <w:r>
              <w:t xml:space="preserve">MEDIUM</w:t>
            </w:r>
          </w:p>
        </w:tc>
      </w:tr>
      <w:tr>
        <w:tc>
          <w:tcPr/>
          <w:p>
            <w:pPr>
              <w:pStyle w:val="Compact"/>
            </w:pPr>
            <w:r>
              <w:rPr>
                <w:rFonts w:hint="eastAsia"/>
              </w:rPr>
              <w:t xml:space="preserve">FX投資系</w:t>
            </w:r>
          </w:p>
        </w:tc>
        <w:tc>
          <w:tcPr/>
          <w:p>
            <w:pPr>
              <w:pStyle w:val="Compact"/>
            </w:pPr>
            <w:r>
              <w:t xml:space="preserve">2</w:t>
            </w:r>
          </w:p>
        </w:tc>
        <w:tc>
          <w:tcPr/>
          <w:p>
            <w:pPr>
              <w:pStyle w:val="Compact"/>
            </w:pPr>
            <w:r>
              <w:t xml:space="preserve">1</w:t>
            </w:r>
          </w:p>
        </w:tc>
        <w:tc>
          <w:tcPr/>
          <w:p>
            <w:pPr>
              <w:pStyle w:val="Compact"/>
            </w:pPr>
            <w:r>
              <w:t xml:space="preserve">2</w:t>
            </w:r>
          </w:p>
        </w:tc>
        <w:tc>
          <w:tcPr/>
          <w:p>
            <w:pPr>
              <w:pStyle w:val="Compact"/>
            </w:pPr>
            <w:r>
              <w:t xml:space="preserve">5</w:t>
            </w:r>
          </w:p>
        </w:tc>
        <w:tc>
          <w:tcPr/>
          <w:p>
            <w:pPr>
              <w:pStyle w:val="Compact"/>
            </w:pPr>
            <w:r>
              <w:t xml:space="preserve">HIGH</w:t>
            </w:r>
          </w:p>
        </w:tc>
      </w:tr>
      <w:tr>
        <w:tc>
          <w:tcPr/>
          <w:p>
            <w:pPr>
              <w:pStyle w:val="Compact"/>
            </w:pPr>
            <w:r>
              <w:rPr>
                <w:rFonts w:hint="eastAsia"/>
              </w:rPr>
              <w:t xml:space="preserve">楽天ダイエット</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3</w:t>
            </w:r>
          </w:p>
        </w:tc>
        <w:tc>
          <w:tcPr/>
          <w:p>
            <w:pPr>
              <w:pStyle w:val="Compact"/>
            </w:pPr>
            <w:r>
              <w:t xml:space="preserve">MEDIUM</w:t>
            </w:r>
          </w:p>
        </w:tc>
      </w:tr>
    </w:tbl>
    <w:p>
      <w:r>
        <w:pict>
          <v:rect style="width:0;height:1.5pt" o:hralign="center" o:hrstd="t" o:hr="t"/>
        </w:pict>
      </w:r>
    </w:p>
    <w:bookmarkEnd w:id="52"/>
    <w:bookmarkEnd w:id="53"/>
    <w:bookmarkStart w:id="54" w:name="references"/>
    <w:p>
      <w:pPr>
        <w:pStyle w:val="Heading2"/>
      </w:pPr>
      <w:r>
        <w:t xml:space="preserve">References</w:t>
      </w:r>
    </w:p>
    <w:p>
      <w:pPr>
        <w:pStyle w:val="FirstParagraph"/>
      </w:pPr>
      <w:r>
        <w:t xml:space="preserve">Arai, N. (2018).</w:t>
      </w:r>
      <w:r>
        <w:t xml:space="preserve"> </w:t>
      </w:r>
      <w:r>
        <w:rPr>
          <w:i/>
          <w:iCs/>
        </w:rPr>
        <w:t xml:space="preserve">Robotto wa toudai ni haireruka</w:t>
      </w:r>
      <w:r>
        <w:t xml:space="preserve"> </w:t>
      </w:r>
      <w:r>
        <w:t xml:space="preserve">[Can a robot get into Tokyo University?]. Toyo Keizai.</w:t>
      </w:r>
    </w:p>
    <w:p>
      <w:pPr>
        <w:pStyle w:val="BodyText"/>
      </w:pPr>
      <w:r>
        <w:t xml:space="preserve">Arai, N. (2020).</w:t>
      </w:r>
      <w:r>
        <w:t xml:space="preserve"> </w:t>
      </w:r>
      <w:r>
        <w:rPr>
          <w:i/>
          <w:iCs/>
        </w:rPr>
        <w:t xml:space="preserve">Suugaku wa kotoba</w:t>
      </w:r>
      <w:r>
        <w:t xml:space="preserve"> </w:t>
      </w:r>
      <w:r>
        <w:t xml:space="preserve">[Mathematics is language]. Toyo Keizai.</w:t>
      </w:r>
    </w:p>
    <w:p>
      <w:pPr>
        <w:pStyle w:val="BodyText"/>
      </w:pPr>
      <w:r>
        <w:t xml:space="preserve">Cialdini, R. B. (1984).</w:t>
      </w:r>
      <w:r>
        <w:t xml:space="preserve"> </w:t>
      </w:r>
      <w:r>
        <w:rPr>
          <w:i/>
          <w:iCs/>
        </w:rPr>
        <w:t xml:space="preserve">Influence: The psychology of persuasion</w:t>
      </w:r>
      <w:r>
        <w:t xml:space="preserve">. Harper Business.</w:t>
      </w:r>
    </w:p>
    <w:p>
      <w:pPr>
        <w:pStyle w:val="BodyText"/>
      </w:pPr>
      <w:r>
        <w:t xml:space="preserve">DeVellis, R. F. (2016).</w:t>
      </w:r>
      <w:r>
        <w:t xml:space="preserve"> </w:t>
      </w:r>
      <w:r>
        <w:rPr>
          <w:i/>
          <w:iCs/>
        </w:rPr>
        <w:t xml:space="preserve">Scale development: Theory and applications</w:t>
      </w:r>
      <w:r>
        <w:t xml:space="preserve"> </w:t>
      </w:r>
      <w:r>
        <w:t xml:space="preserve">(4th ed.). SAGE Publications.</w:t>
      </w:r>
    </w:p>
    <w:p>
      <w:pPr>
        <w:pStyle w:val="BodyText"/>
      </w:pPr>
      <w:r>
        <w:t xml:space="preserve">Exner, J. E. (1993).</w:t>
      </w:r>
      <w:r>
        <w:t xml:space="preserve"> </w:t>
      </w:r>
      <w:r>
        <w:rPr>
          <w:i/>
          <w:iCs/>
        </w:rPr>
        <w:t xml:space="preserve">The Rorschach: A comprehensive system</w:t>
      </w:r>
      <w:r>
        <w:t xml:space="preserve"> </w:t>
      </w:r>
      <w:r>
        <w:t xml:space="preserve">(3rd ed.). Wiley.</w:t>
      </w:r>
    </w:p>
    <w:p>
      <w:pPr>
        <w:pStyle w:val="BodyText"/>
      </w:pPr>
      <w:r>
        <w:t xml:space="preserve">Ferrara, E., Varol, O., Davis, C., Menczer, F., &amp; Flammini, A. (2016). The rise of social bots.</w:t>
      </w:r>
      <w:r>
        <w:t xml:space="preserve"> </w:t>
      </w:r>
      <w:r>
        <w:rPr>
          <w:i/>
          <w:iCs/>
        </w:rPr>
        <w:t xml:space="preserve">Communications of the ACM, 59</w:t>
      </w:r>
      <w:r>
        <w:t xml:space="preserve">(7), 96-104.</w:t>
      </w:r>
    </w:p>
    <w:p>
      <w:pPr>
        <w:pStyle w:val="BodyText"/>
      </w:pPr>
      <w:r>
        <w:t xml:space="preserve">Hathaway, S. R., &amp; McKinley, J. C. (1943).</w:t>
      </w:r>
      <w:r>
        <w:t xml:space="preserve"> </w:t>
      </w:r>
      <w:r>
        <w:rPr>
          <w:i/>
          <w:iCs/>
        </w:rPr>
        <w:t xml:space="preserve">The Minnesota Multiphasic Personality Inventory</w:t>
      </w:r>
      <w:r>
        <w:t xml:space="preserve">. University of Minnesota Press.</w:t>
      </w:r>
    </w:p>
    <w:p>
      <w:pPr>
        <w:pStyle w:val="BodyText"/>
      </w:pPr>
      <w:r>
        <w:t xml:space="preserve">Hobbs, R. (2010).</w:t>
      </w:r>
      <w:r>
        <w:t xml:space="preserve"> </w:t>
      </w:r>
      <w:r>
        <w:rPr>
          <w:i/>
          <w:iCs/>
        </w:rPr>
        <w:t xml:space="preserve">Digital and media literacy: A plan of action</w:t>
      </w:r>
      <w:r>
        <w:t xml:space="preserve">. Aspen Institute.</w:t>
      </w:r>
    </w:p>
    <w:p>
      <w:pPr>
        <w:pStyle w:val="BodyText"/>
      </w:pPr>
      <w:r>
        <w:t xml:space="preserve">Janis, I. L. (1972).</w:t>
      </w:r>
      <w:r>
        <w:t xml:space="preserve"> </w:t>
      </w:r>
      <w:r>
        <w:rPr>
          <w:i/>
          <w:iCs/>
        </w:rPr>
        <w:t xml:space="preserve">Victims of groupthink: A psychological study of foreign-policy decisions and fiascoes</w:t>
      </w:r>
      <w:r>
        <w:t xml:space="preserve">. Houghton Mifflin.</w:t>
      </w:r>
    </w:p>
    <w:p>
      <w:pPr>
        <w:pStyle w:val="BodyText"/>
      </w:pPr>
      <w:r>
        <w:t xml:space="preserve">Kahneman, D. (2011).</w:t>
      </w:r>
      <w:r>
        <w:t xml:space="preserve"> </w:t>
      </w:r>
      <w:r>
        <w:rPr>
          <w:i/>
          <w:iCs/>
        </w:rPr>
        <w:t xml:space="preserve">Thinking, fast and slow</w:t>
      </w:r>
      <w:r>
        <w:t xml:space="preserve">. Farrar, Straus and Giroux.</w:t>
      </w:r>
    </w:p>
    <w:p>
      <w:pPr>
        <w:pStyle w:val="BodyText"/>
      </w:pPr>
      <w:r>
        <w:t xml:space="preserve">Milgram, S. (1963). Behavioral study of obedience.</w:t>
      </w:r>
      <w:r>
        <w:t xml:space="preserve"> </w:t>
      </w:r>
      <w:r>
        <w:rPr>
          <w:i/>
          <w:iCs/>
        </w:rPr>
        <w:t xml:space="preserve">Journal of Abnormal and Social Psychology, 67</w:t>
      </w:r>
      <w:r>
        <w:t xml:space="preserve">(4), 371-378.</w:t>
      </w:r>
    </w:p>
    <w:p>
      <w:pPr>
        <w:pStyle w:val="BodyText"/>
      </w:pPr>
      <w:r>
        <w:t xml:space="preserve">Nakane, C. (1967).</w:t>
      </w:r>
      <w:r>
        <w:t xml:space="preserve"> </w:t>
      </w:r>
      <w:r>
        <w:rPr>
          <w:i/>
          <w:iCs/>
        </w:rPr>
        <w:t xml:space="preserve">Tate-shakai no ningen kankei</w:t>
      </w:r>
      <w:r>
        <w:t xml:space="preserve"> </w:t>
      </w:r>
      <w:r>
        <w:t xml:space="preserve">[Human relations in a vertical society]. Kodansha.</w:t>
      </w:r>
    </w:p>
    <w:p>
      <w:pPr>
        <w:pStyle w:val="BodyText"/>
      </w:pPr>
      <w:r>
        <w:t xml:space="preserve">Du Cluzel, F. (2021).</w:t>
      </w:r>
      <w:r>
        <w:t xml:space="preserve"> </w:t>
      </w:r>
      <w:r>
        <w:rPr>
          <w:i/>
          <w:iCs/>
        </w:rPr>
        <w:t xml:space="preserve">Cognitive warfare: A battle for the brain</w:t>
      </w:r>
      <w:r>
        <w:t xml:space="preserve">. NATO ACT Innovation Hub. (STO-MP-HFM-334)</w:t>
      </w:r>
    </w:p>
    <w:p>
      <w:pPr>
        <w:pStyle w:val="BodyText"/>
      </w:pPr>
      <w:r>
        <w:t xml:space="preserve">Symington, N. (1993).</w:t>
      </w:r>
      <w:r>
        <w:t xml:space="preserve"> </w:t>
      </w:r>
      <w:r>
        <w:rPr>
          <w:i/>
          <w:iCs/>
        </w:rPr>
        <w:t xml:space="preserve">Narcissism: A new theory</w:t>
      </w:r>
      <w:r>
        <w:t xml:space="preserve">. Karnac Books.</w:t>
      </w:r>
    </w:p>
    <w:p>
      <w:pPr>
        <w:pStyle w:val="BodyText"/>
      </w:pPr>
      <w:r>
        <w:t xml:space="preserve">Tobe, R., Teramoto, Y., Kamata, S., Suginoo, Y., Murai, T., &amp; Nonaka, I. (1984).</w:t>
      </w:r>
      <w:r>
        <w:t xml:space="preserve"> </w:t>
      </w:r>
      <w:r>
        <w:rPr>
          <w:i/>
          <w:iCs/>
        </w:rPr>
        <w:t xml:space="preserve">Shippai no honshitsu</w:t>
      </w:r>
      <w:r>
        <w:t xml:space="preserve"> </w:t>
      </w:r>
      <w:r>
        <w:t xml:space="preserve">[The essence of failure]. Diamond.</w:t>
      </w:r>
    </w:p>
    <w:p>
      <w:pPr>
        <w:pStyle w:val="BodyText"/>
      </w:pPr>
      <w:r>
        <w:t xml:space="preserve">Toyama, S. (1983).</w:t>
      </w:r>
      <w:r>
        <w:t xml:space="preserve"> </w:t>
      </w:r>
      <w:r>
        <w:rPr>
          <w:i/>
          <w:iCs/>
        </w:rPr>
        <w:t xml:space="preserve">Shikou no seirigaku</w:t>
      </w:r>
      <w:r>
        <w:t xml:space="preserve"> </w:t>
      </w:r>
      <w:r>
        <w:t xml:space="preserve">[Lit.</w:t>
      </w:r>
      <w:r>
        <w:t xml:space="preserve"> </w:t>
      </w:r>
      <w:r>
        <w:t xml:space="preserve">“Physiology of Thinking”</w:t>
      </w:r>
      <w:r>
        <w:t xml:space="preserve">; trans. as</w:t>
      </w:r>
      <w:r>
        <w:t xml:space="preserve"> </w:t>
      </w:r>
      <w:r>
        <w:rPr>
          <w:i/>
          <w:iCs/>
        </w:rPr>
        <w:t xml:space="preserve">The Art of Thought Organization</w:t>
      </w:r>
      <w:r>
        <w:t xml:space="preserve">]. Chikuma Shobo.</w:t>
      </w:r>
    </w:p>
    <w:p>
      <w:pPr>
        <w:pStyle w:val="BodyText"/>
      </w:pPr>
      <w:r>
        <w:t xml:space="preserve">Yamamoto, S. (1977).</w:t>
      </w:r>
      <w:r>
        <w:t xml:space="preserve"> </w:t>
      </w:r>
      <w:r>
        <w:rPr>
          <w:i/>
          <w:iCs/>
        </w:rPr>
        <w:t xml:space="preserve">Kuuki no kenkyuu</w:t>
      </w:r>
      <w:r>
        <w:t xml:space="preserve"> </w:t>
      </w:r>
      <w:r>
        <w:t xml:space="preserve">[A study of</w:t>
      </w:r>
      <w:r>
        <w:t xml:space="preserve"> </w:t>
      </w:r>
      <w:r>
        <w:t xml:space="preserve">“air”</w:t>
      </w:r>
      <w:r>
        <w:t xml:space="preserve">]. Bungeishunju.</w:t>
      </w:r>
    </w:p>
    <w:p>
      <w:r>
        <w:pict>
          <v:rect style="width:0;height:1.5pt" o:hralign="center" o:hrstd="t" o:hr="t"/>
        </w:pict>
      </w:r>
    </w:p>
    <w:p>
      <w:pPr>
        <w:pStyle w:val="FirstParagraph"/>
      </w:pPr>
      <w:r>
        <w:rPr>
          <w:i/>
          <w:iCs/>
        </w:rPr>
        <w:t xml:space="preserve">This paper was developed with AI assistance (Claude, Anthropic; Gemini, Google). The conceptual framework, theoretical integration, and research direction are the original work of the author. AI tools were used for drafting, translation, and code implementation support.</w:t>
      </w:r>
    </w:p>
    <w:p>
      <w:pPr>
        <w:pStyle w:val="BodyText"/>
      </w:pPr>
      <w:r>
        <w:rPr>
          <w:rFonts w:hint="eastAsia"/>
          <w:i/>
          <w:iCs/>
        </w:rPr>
        <w:t xml:space="preserve">AI使用開示:</w:t>
      </w:r>
      <w:r>
        <w:rPr>
          <w:i/>
          <w:iCs/>
        </w:rPr>
        <w:t xml:space="preserve"> </w:t>
      </w:r>
      <w:r>
        <w:rPr>
          <w:rFonts w:hint="eastAsia"/>
          <w:i/>
          <w:iCs/>
        </w:rPr>
        <w:t xml:space="preserve">本論文はClaude（Anthropic）およびGemini（Google）のAI支援のもとで執筆された。概念的枠組み、理論統合、研究方向性は著者のオリジナルである。AIツールは草稿作成、翻訳、コード実装支援に使用された。</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2026-03-15T11:54:24Z</dcterms:created>
  <dcterms:modified xsi:type="dcterms:W3CDTF">2026-03-15T11:54:24Z</dcterms:modified>
</cp:coreProperties>
</file>

<file path=docProps/custom.xml><?xml version="1.0" encoding="utf-8"?>
<Properties xmlns="http://schemas.openxmlformats.org/officeDocument/2006/custom-properties" xmlns:vt="http://schemas.openxmlformats.org/officeDocument/2006/docPropsVTypes"/>
</file>