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062716" w14:textId="77777777" w:rsidR="00BD362E" w:rsidRDefault="00FC63C8">
      <w:pPr>
        <w:pStyle w:val="Heading1"/>
        <w:jc w:val="center"/>
      </w:pPr>
      <w:bookmarkStart w:id="0" w:name="_gjdgxs" w:colFirst="0" w:colLast="0"/>
      <w:bookmarkEnd w:id="0"/>
      <w:r>
        <w:rPr>
          <w:u w:val="single"/>
        </w:rPr>
        <w:t>Project: Analyzing a Market Test</w:t>
      </w:r>
    </w:p>
    <w:p w14:paraId="12062718" w14:textId="77777777" w:rsidR="00BD362E" w:rsidRDefault="00FC63C8">
      <w:pPr>
        <w:pStyle w:val="Heading2"/>
        <w:keepNext w:val="0"/>
        <w:keepLines w:val="0"/>
        <w:spacing w:before="240" w:after="40"/>
      </w:pPr>
      <w:r>
        <w:t>Step 1: Plan Your Analysis</w:t>
      </w:r>
    </w:p>
    <w:p w14:paraId="572FC1C0" w14:textId="303320DF" w:rsidR="00322D40" w:rsidRDefault="00FC63C8" w:rsidP="002A470E">
      <w:pPr>
        <w:numPr>
          <w:ilvl w:val="0"/>
          <w:numId w:val="3"/>
        </w:numPr>
        <w:spacing w:line="240" w:lineRule="auto"/>
        <w:ind w:hanging="360"/>
      </w:pPr>
      <w:r>
        <w:t>What is the performance metric you’ll use to evaluate the results of your test?</w:t>
      </w:r>
    </w:p>
    <w:p w14:paraId="3480D288" w14:textId="77777777" w:rsidR="002A470E" w:rsidRDefault="002A470E" w:rsidP="002A470E">
      <w:pPr>
        <w:spacing w:line="240" w:lineRule="auto"/>
        <w:ind w:left="720"/>
      </w:pPr>
    </w:p>
    <w:p w14:paraId="65BE4524" w14:textId="2217BDE6" w:rsidR="002A470E" w:rsidRDefault="002A470E" w:rsidP="002A470E">
      <w:pPr>
        <w:spacing w:line="240" w:lineRule="auto"/>
        <w:ind w:left="720"/>
      </w:pPr>
      <w:r>
        <w:t xml:space="preserve">The unit </w:t>
      </w:r>
      <w:r w:rsidR="00D367EA">
        <w:t xml:space="preserve">for the analysis is </w:t>
      </w:r>
      <w:r w:rsidR="00C46A43">
        <w:t>roaster</w:t>
      </w:r>
      <w:r w:rsidR="000D6D76">
        <w:t>.  T</w:t>
      </w:r>
      <w:r w:rsidR="00E32625">
        <w:t xml:space="preserve">he </w:t>
      </w:r>
      <w:r w:rsidR="007F434A">
        <w:t>performance metric</w:t>
      </w:r>
      <w:r w:rsidR="001F76B2">
        <w:t xml:space="preserve"> is the growth in </w:t>
      </w:r>
      <w:r w:rsidR="00177BE2">
        <w:t xml:space="preserve">weekly gross </w:t>
      </w:r>
      <w:r w:rsidR="008014A8">
        <w:t xml:space="preserve">margin per </w:t>
      </w:r>
      <w:r w:rsidR="00C15D84">
        <w:t>roaster</w:t>
      </w:r>
      <w:r w:rsidR="00676D2F">
        <w:t>.</w:t>
      </w:r>
      <w:r w:rsidR="00F1144A">
        <w:t xml:space="preserve">  The percent improvement in </w:t>
      </w:r>
      <w:r w:rsidR="00F10CD8">
        <w:t>gross margin</w:t>
      </w:r>
      <w:r w:rsidR="001449CC">
        <w:t xml:space="preserve"> is the criterion </w:t>
      </w:r>
      <w:r w:rsidR="00AD4D34">
        <w:t xml:space="preserve">to decide whether the new menu and the </w:t>
      </w:r>
      <w:r w:rsidR="000B5DE8">
        <w:t xml:space="preserve">TV Ad campaign should be launched for all the </w:t>
      </w:r>
      <w:r w:rsidR="00131ADC">
        <w:t>roasters.</w:t>
      </w:r>
    </w:p>
    <w:p w14:paraId="0C55E1A8" w14:textId="77777777" w:rsidR="00676D2F" w:rsidRDefault="00676D2F" w:rsidP="002A470E">
      <w:pPr>
        <w:spacing w:line="240" w:lineRule="auto"/>
        <w:ind w:left="720"/>
      </w:pPr>
    </w:p>
    <w:p w14:paraId="1206271C" w14:textId="55BEA779" w:rsidR="00BD362E" w:rsidRDefault="00FC63C8">
      <w:pPr>
        <w:numPr>
          <w:ilvl w:val="0"/>
          <w:numId w:val="3"/>
        </w:numPr>
        <w:spacing w:line="240" w:lineRule="auto"/>
        <w:ind w:hanging="360"/>
      </w:pPr>
      <w:r>
        <w:t>What is the test period?</w:t>
      </w:r>
    </w:p>
    <w:p w14:paraId="0E2BBBB2" w14:textId="3ECC51B0" w:rsidR="00676D2F" w:rsidRDefault="00676D2F" w:rsidP="00676D2F">
      <w:pPr>
        <w:spacing w:line="240" w:lineRule="auto"/>
        <w:ind w:left="720"/>
      </w:pPr>
    </w:p>
    <w:p w14:paraId="3F66A55A" w14:textId="3605508D" w:rsidR="00676D2F" w:rsidRDefault="00D416AC" w:rsidP="00676D2F">
      <w:pPr>
        <w:spacing w:line="240" w:lineRule="auto"/>
        <w:ind w:left="720"/>
      </w:pPr>
      <w:r>
        <w:t xml:space="preserve">The test period </w:t>
      </w:r>
      <w:r w:rsidR="000C0D02">
        <w:t>is 12 weeks.</w:t>
      </w:r>
    </w:p>
    <w:p w14:paraId="04EFFA6E" w14:textId="77777777" w:rsidR="000C0D02" w:rsidRDefault="000C0D02" w:rsidP="00676D2F">
      <w:pPr>
        <w:spacing w:line="240" w:lineRule="auto"/>
        <w:ind w:left="720"/>
      </w:pPr>
    </w:p>
    <w:p w14:paraId="1206271D" w14:textId="03E7EDAB" w:rsidR="00BD362E" w:rsidRDefault="00FC63C8">
      <w:pPr>
        <w:numPr>
          <w:ilvl w:val="0"/>
          <w:numId w:val="3"/>
        </w:numPr>
        <w:spacing w:after="40" w:line="240" w:lineRule="auto"/>
        <w:ind w:hanging="360"/>
      </w:pPr>
      <w:r>
        <w:t>At what level (day, week, month, etc.) should the data be aggregated?</w:t>
      </w:r>
    </w:p>
    <w:p w14:paraId="73955A63" w14:textId="43B97AAE" w:rsidR="00836745" w:rsidRDefault="00836745" w:rsidP="00836745">
      <w:pPr>
        <w:spacing w:after="40" w:line="240" w:lineRule="auto"/>
        <w:ind w:left="720"/>
      </w:pPr>
    </w:p>
    <w:p w14:paraId="3DA442A6" w14:textId="58F1BFB2" w:rsidR="00836745" w:rsidRDefault="00836745" w:rsidP="00836745">
      <w:pPr>
        <w:spacing w:after="40" w:line="240" w:lineRule="auto"/>
        <w:ind w:left="720"/>
      </w:pPr>
      <w:r>
        <w:t xml:space="preserve">The data should be aggregated </w:t>
      </w:r>
      <w:r w:rsidR="008D73DF">
        <w:t>weekly basis</w:t>
      </w:r>
      <w:r w:rsidR="005E11D9">
        <w:t xml:space="preserve"> because the test period is defined in </w:t>
      </w:r>
      <w:r w:rsidR="00FC63C8">
        <w:t xml:space="preserve">the number of weeks.  </w:t>
      </w:r>
    </w:p>
    <w:p w14:paraId="1206271E" w14:textId="77777777" w:rsidR="00BD362E" w:rsidRDefault="00FC63C8">
      <w:pPr>
        <w:pStyle w:val="Heading2"/>
        <w:keepNext w:val="0"/>
        <w:keepLines w:val="0"/>
        <w:spacing w:before="240" w:after="40"/>
      </w:pPr>
      <w:r>
        <w:t xml:space="preserve">Step 2: Clean Up Your Data </w:t>
      </w:r>
    </w:p>
    <w:p w14:paraId="1206271F" w14:textId="77777777" w:rsidR="00BD362E" w:rsidRDefault="00FC63C8">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12062720" w14:textId="77777777" w:rsidR="00BD362E" w:rsidRDefault="00FC63C8">
      <w:pPr>
        <w:pStyle w:val="Heading2"/>
        <w:keepNext w:val="0"/>
        <w:keepLines w:val="0"/>
        <w:spacing w:before="240" w:after="40"/>
      </w:pPr>
      <w:r>
        <w:t>Step 3: Match Treatment and Control Units</w:t>
      </w:r>
    </w:p>
    <w:p w14:paraId="1D9E8A89" w14:textId="66355FDE" w:rsidR="00787617" w:rsidRDefault="00787617" w:rsidP="00787617">
      <w:pPr>
        <w:spacing w:line="240" w:lineRule="auto"/>
        <w:ind w:left="720"/>
      </w:pPr>
    </w:p>
    <w:p w14:paraId="6375A20F" w14:textId="77777777" w:rsidR="005B05FD" w:rsidRDefault="00787617" w:rsidP="0085311C">
      <w:pPr>
        <w:spacing w:line="240" w:lineRule="auto"/>
      </w:pPr>
      <w:r>
        <w:t xml:space="preserve">Apart </w:t>
      </w:r>
      <w:r w:rsidR="00B05C25">
        <w:t>from</w:t>
      </w:r>
      <w:r>
        <w:t xml:space="preserve"> trend and seasonality,</w:t>
      </w:r>
      <w:r w:rsidR="00B05C25">
        <w:t xml:space="preserve"> region, </w:t>
      </w:r>
      <w:r w:rsidR="00A4796F">
        <w:t>square footag</w:t>
      </w:r>
      <w:r w:rsidR="00B05C25">
        <w:t>e</w:t>
      </w:r>
      <w:r w:rsidR="00A14D8B">
        <w:t xml:space="preserve"> (Sq_Ft)</w:t>
      </w:r>
      <w:r w:rsidR="00A4796F">
        <w:t xml:space="preserve">, and </w:t>
      </w:r>
      <w:r w:rsidR="00890352">
        <w:t xml:space="preserve">monthly </w:t>
      </w:r>
      <w:r w:rsidR="00A4796F">
        <w:t>average sale</w:t>
      </w:r>
      <w:r w:rsidR="00890352">
        <w:t>s</w:t>
      </w:r>
      <w:r w:rsidR="007627C2">
        <w:t xml:space="preserve"> </w:t>
      </w:r>
      <w:r w:rsidR="00A14D8B">
        <w:t xml:space="preserve">(AvgMonthSales) </w:t>
      </w:r>
      <w:r w:rsidR="007627C2">
        <w:t xml:space="preserve">have been </w:t>
      </w:r>
      <w:r w:rsidR="005B28A8">
        <w:t>considered</w:t>
      </w:r>
      <w:r w:rsidR="00382614">
        <w:t xml:space="preserve"> </w:t>
      </w:r>
      <w:r w:rsidR="008D6A3B">
        <w:t xml:space="preserve">to </w:t>
      </w:r>
      <w:r w:rsidR="00B84F6E">
        <w:t>match</w:t>
      </w:r>
      <w:r w:rsidR="00C5331E">
        <w:t xml:space="preserve"> control</w:t>
      </w:r>
      <w:r w:rsidR="000C5057">
        <w:t xml:space="preserve"> </w:t>
      </w:r>
      <w:r w:rsidR="00816A6B">
        <w:t>roasters</w:t>
      </w:r>
      <w:r w:rsidR="00B84F6E">
        <w:t xml:space="preserve"> to a treatment roaster</w:t>
      </w:r>
      <w:r w:rsidR="00816A6B">
        <w:t>.</w:t>
      </w:r>
      <w:r w:rsidR="00651E78">
        <w:t xml:space="preserve"> </w:t>
      </w:r>
      <w:r w:rsidR="00FF24BB">
        <w:t>Trend</w:t>
      </w:r>
      <w:r w:rsidR="00D009FE">
        <w:t xml:space="preserve">, </w:t>
      </w:r>
      <w:r w:rsidR="00FF24BB">
        <w:t>seasonality</w:t>
      </w:r>
      <w:r w:rsidR="00D009FE">
        <w:t xml:space="preserve">, and the </w:t>
      </w:r>
      <w:r w:rsidR="005E358F">
        <w:t>monthly average sales</w:t>
      </w:r>
      <w:r w:rsidR="00FF24BB">
        <w:t xml:space="preserve"> are important parameters to consider </w:t>
      </w:r>
      <w:r w:rsidR="00AA2562">
        <w:t xml:space="preserve">because </w:t>
      </w:r>
      <w:r w:rsidR="00BD5D09">
        <w:t xml:space="preserve">the performance of the units should be comparable prior to </w:t>
      </w:r>
      <w:r w:rsidR="007F2D8A">
        <w:t>a test</w:t>
      </w:r>
      <w:r w:rsidR="009C0CF5">
        <w:t xml:space="preserve">. </w:t>
      </w:r>
      <w:r w:rsidR="00567750">
        <w:t>Region parameter often reflects</w:t>
      </w:r>
      <w:r w:rsidR="0075149B">
        <w:t xml:space="preserve"> the demography and the culture</w:t>
      </w:r>
      <w:r w:rsidR="001973D9">
        <w:t xml:space="preserve"> of the customers</w:t>
      </w:r>
      <w:r w:rsidR="004D6B0E">
        <w:t xml:space="preserve">.  </w:t>
      </w:r>
      <w:r w:rsidR="00FB5847">
        <w:t>Including the squ</w:t>
      </w:r>
      <w:r w:rsidR="006D6BF6">
        <w:t xml:space="preserve">are footage of the unit </w:t>
      </w:r>
      <w:r w:rsidR="0079618D">
        <w:t xml:space="preserve">makes sense </w:t>
      </w:r>
      <w:r w:rsidR="00F2657D">
        <w:t xml:space="preserve">because </w:t>
      </w:r>
      <w:r w:rsidR="00D31410">
        <w:t>the number of the customer</w:t>
      </w:r>
      <w:r w:rsidR="005E5CF5">
        <w:t xml:space="preserve">s the roaster can </w:t>
      </w:r>
      <w:r w:rsidR="00B4344F">
        <w:t>seat</w:t>
      </w:r>
      <w:r w:rsidR="00AE0F42">
        <w:t xml:space="preserve"> is impacted by the </w:t>
      </w:r>
      <w:r w:rsidR="006C1013">
        <w:t xml:space="preserve">size of the roaster.  </w:t>
      </w:r>
    </w:p>
    <w:p w14:paraId="7F36E1E6" w14:textId="77777777" w:rsidR="005B05FD" w:rsidRDefault="005B05FD" w:rsidP="0085311C">
      <w:pPr>
        <w:spacing w:line="240" w:lineRule="auto"/>
      </w:pPr>
    </w:p>
    <w:p w14:paraId="28ABA709" w14:textId="32D70DBD" w:rsidR="00787617" w:rsidRDefault="00651E78" w:rsidP="0085311C">
      <w:pPr>
        <w:spacing w:line="240" w:lineRule="auto"/>
      </w:pPr>
      <w:r w:rsidRPr="00651E78">
        <w:t xml:space="preserve">As it is shown in the table below, </w:t>
      </w:r>
      <w:r w:rsidR="007428FF">
        <w:t xml:space="preserve">the </w:t>
      </w:r>
      <w:r w:rsidRPr="00651E78">
        <w:t>square footage and</w:t>
      </w:r>
      <w:r w:rsidR="00631D4B">
        <w:t xml:space="preserve"> </w:t>
      </w:r>
      <w:r w:rsidR="007428FF">
        <w:t xml:space="preserve">the </w:t>
      </w:r>
      <w:r w:rsidR="00631D4B">
        <w:t xml:space="preserve">average </w:t>
      </w:r>
      <w:r w:rsidR="00087934">
        <w:t>monthly sale</w:t>
      </w:r>
      <w:r w:rsidR="006854D7">
        <w:t>s</w:t>
      </w:r>
      <w:r w:rsidR="007428FF">
        <w:t xml:space="preserve"> variables have a low </w:t>
      </w:r>
      <w:r w:rsidR="00013A9A">
        <w:t>correlation with each other.</w:t>
      </w:r>
      <w:r w:rsidR="00E14069">
        <w:t xml:space="preserve">  </w:t>
      </w:r>
      <w:r w:rsidR="007A6653">
        <w:t>The region variable</w:t>
      </w:r>
      <w:r w:rsidR="00F323AA">
        <w:t xml:space="preserve"> </w:t>
      </w:r>
      <w:r w:rsidR="009C7533">
        <w:t xml:space="preserve">is a </w:t>
      </w:r>
      <w:r w:rsidR="00BD18A0">
        <w:t>categorical variable</w:t>
      </w:r>
      <w:r w:rsidR="008D43B3">
        <w:t xml:space="preserve">, therefore, </w:t>
      </w:r>
      <w:r w:rsidR="00F323AA">
        <w:t xml:space="preserve">could not be </w:t>
      </w:r>
      <w:r w:rsidR="008D43B3">
        <w:t xml:space="preserve">analyzed using </w:t>
      </w:r>
      <w:r w:rsidR="00993058">
        <w:t>correlation.</w:t>
      </w:r>
    </w:p>
    <w:p w14:paraId="2DC7008B" w14:textId="466C94A2" w:rsidR="00ED577B" w:rsidRDefault="00ED577B" w:rsidP="00ED577B">
      <w:pPr>
        <w:spacing w:line="240" w:lineRule="auto"/>
      </w:pPr>
    </w:p>
    <w:p w14:paraId="4E8EF746" w14:textId="421EB6C4" w:rsidR="00ED577B" w:rsidRDefault="00ED577B" w:rsidP="00ED577B">
      <w:pPr>
        <w:spacing w:line="240" w:lineRule="auto"/>
        <w:ind w:left="360"/>
      </w:pPr>
      <w:r w:rsidRPr="00D07E11">
        <w:rPr>
          <w:b/>
          <w:bCs/>
        </w:rPr>
        <w:lastRenderedPageBreak/>
        <w:drawing>
          <wp:anchor distT="0" distB="0" distL="114300" distR="114300" simplePos="0" relativeHeight="251658240" behindDoc="0" locked="0" layoutInCell="1" allowOverlap="1" wp14:anchorId="38407546" wp14:editId="5B019578">
            <wp:simplePos x="0" y="0"/>
            <wp:positionH relativeFrom="column">
              <wp:align>center</wp:align>
            </wp:positionH>
            <wp:positionV relativeFrom="paragraph">
              <wp:posOffset>0</wp:posOffset>
            </wp:positionV>
            <wp:extent cx="4590288" cy="1335024"/>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0288" cy="1335024"/>
                    </a:xfrm>
                    <a:prstGeom prst="rect">
                      <a:avLst/>
                    </a:prstGeom>
                  </pic:spPr>
                </pic:pic>
              </a:graphicData>
            </a:graphic>
            <wp14:sizeRelH relativeFrom="margin">
              <wp14:pctWidth>0</wp14:pctWidth>
            </wp14:sizeRelH>
            <wp14:sizeRelV relativeFrom="margin">
              <wp14:pctHeight>0</wp14:pctHeight>
            </wp14:sizeRelV>
          </wp:anchor>
        </w:drawing>
      </w:r>
      <w:r w:rsidR="009D0382" w:rsidRPr="00D07E11">
        <w:rPr>
          <w:b/>
          <w:bCs/>
        </w:rPr>
        <w:t>Table 1:</w:t>
      </w:r>
      <w:r w:rsidR="009D0382">
        <w:t xml:space="preserve"> </w:t>
      </w:r>
      <w:r w:rsidR="006A565A">
        <w:t xml:space="preserve">Pearson Correlation Analysis for the control variables (the Square footage of the roaster and </w:t>
      </w:r>
      <w:r w:rsidR="003A687E">
        <w:t>the Average Monthly Sale</w:t>
      </w:r>
      <w:r w:rsidR="009538AC">
        <w:t>s).</w:t>
      </w:r>
    </w:p>
    <w:p w14:paraId="2F5667D4" w14:textId="77777777" w:rsidR="009538AC" w:rsidRDefault="009538AC" w:rsidP="00ED577B">
      <w:pPr>
        <w:spacing w:line="240" w:lineRule="auto"/>
        <w:ind w:left="360"/>
      </w:pPr>
    </w:p>
    <w:p w14:paraId="0A9A7A45" w14:textId="77777777" w:rsidR="00A76093" w:rsidRDefault="00A76093" w:rsidP="003242FD">
      <w:pPr>
        <w:spacing w:line="240" w:lineRule="auto"/>
        <w:ind w:left="720"/>
      </w:pPr>
      <w:bookmarkStart w:id="1" w:name="_30j0zll" w:colFirst="0" w:colLast="0"/>
      <w:bookmarkEnd w:id="1"/>
    </w:p>
    <w:p w14:paraId="12062727" w14:textId="558C7374" w:rsidR="00BD362E" w:rsidRDefault="003242FD" w:rsidP="00203E6A">
      <w:pPr>
        <w:spacing w:line="240" w:lineRule="auto"/>
      </w:pPr>
      <w:r>
        <w:t>T</w:t>
      </w:r>
      <w:r w:rsidR="00FC63C8">
        <w:t xml:space="preserve">he treatment and </w:t>
      </w:r>
      <w:r w:rsidR="00AF3622">
        <w:t xml:space="preserve">the </w:t>
      </w:r>
      <w:r w:rsidR="00FC63C8">
        <w:t xml:space="preserve">control </w:t>
      </w:r>
      <w:r w:rsidR="00AF3622">
        <w:t>roaster</w:t>
      </w:r>
      <w:r w:rsidR="00FC63C8">
        <w:t>s pairs</w:t>
      </w:r>
      <w:r w:rsidR="00AF31E4">
        <w:t xml:space="preserve"> are shown in the table below</w:t>
      </w:r>
      <w:r w:rsidR="00FC63C8">
        <w:t>:</w:t>
      </w:r>
    </w:p>
    <w:p w14:paraId="12062728" w14:textId="77777777" w:rsidR="00BD362E" w:rsidRDefault="00BD362E">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BD362E" w14:paraId="1206272C" w14:textId="77777777">
        <w:trPr>
          <w:trHeight w:val="260"/>
          <w:jc w:val="center"/>
        </w:trPr>
        <w:tc>
          <w:tcPr>
            <w:tcW w:w="1897" w:type="dxa"/>
          </w:tcPr>
          <w:p w14:paraId="12062729" w14:textId="77777777" w:rsidR="00BD362E" w:rsidRDefault="00FC63C8">
            <w:pPr>
              <w:contextualSpacing w:val="0"/>
              <w:jc w:val="center"/>
            </w:pPr>
            <w:r>
              <w:t>Treatment Store</w:t>
            </w:r>
          </w:p>
        </w:tc>
        <w:tc>
          <w:tcPr>
            <w:tcW w:w="1898" w:type="dxa"/>
          </w:tcPr>
          <w:p w14:paraId="1206272A" w14:textId="77777777" w:rsidR="00BD362E" w:rsidRDefault="00FC63C8">
            <w:pPr>
              <w:contextualSpacing w:val="0"/>
              <w:jc w:val="center"/>
            </w:pPr>
            <w:r>
              <w:t>Control Store 1</w:t>
            </w:r>
          </w:p>
        </w:tc>
        <w:tc>
          <w:tcPr>
            <w:tcW w:w="1898" w:type="dxa"/>
          </w:tcPr>
          <w:p w14:paraId="1206272B" w14:textId="77777777" w:rsidR="00BD362E" w:rsidRDefault="00FC63C8">
            <w:pPr>
              <w:contextualSpacing w:val="0"/>
              <w:jc w:val="center"/>
            </w:pPr>
            <w:r>
              <w:t>Control Store 2</w:t>
            </w:r>
          </w:p>
        </w:tc>
      </w:tr>
      <w:tr w:rsidR="00BD362E" w14:paraId="12062730" w14:textId="77777777">
        <w:trPr>
          <w:trHeight w:val="260"/>
          <w:jc w:val="center"/>
        </w:trPr>
        <w:tc>
          <w:tcPr>
            <w:tcW w:w="1897" w:type="dxa"/>
            <w:vAlign w:val="bottom"/>
          </w:tcPr>
          <w:p w14:paraId="1206272D" w14:textId="043F0438" w:rsidR="00BD362E" w:rsidRDefault="00E00359">
            <w:pPr>
              <w:contextualSpacing w:val="0"/>
              <w:jc w:val="center"/>
            </w:pPr>
            <w:r>
              <w:t>1664</w:t>
            </w:r>
          </w:p>
        </w:tc>
        <w:tc>
          <w:tcPr>
            <w:tcW w:w="1898" w:type="dxa"/>
            <w:vAlign w:val="bottom"/>
          </w:tcPr>
          <w:p w14:paraId="1206272E" w14:textId="66103A8A" w:rsidR="00BD362E" w:rsidRDefault="00EB5DB1">
            <w:pPr>
              <w:contextualSpacing w:val="0"/>
              <w:jc w:val="center"/>
            </w:pPr>
            <w:r>
              <w:t>7162</w:t>
            </w:r>
          </w:p>
        </w:tc>
        <w:tc>
          <w:tcPr>
            <w:tcW w:w="1898" w:type="dxa"/>
            <w:vAlign w:val="bottom"/>
          </w:tcPr>
          <w:p w14:paraId="1206272F" w14:textId="2C264D39" w:rsidR="00BD362E" w:rsidRDefault="00C05A42">
            <w:pPr>
              <w:contextualSpacing w:val="0"/>
              <w:jc w:val="center"/>
            </w:pPr>
            <w:r>
              <w:t>7484</w:t>
            </w:r>
          </w:p>
        </w:tc>
      </w:tr>
      <w:tr w:rsidR="00BD362E" w14:paraId="12062734" w14:textId="77777777">
        <w:trPr>
          <w:trHeight w:val="280"/>
          <w:jc w:val="center"/>
        </w:trPr>
        <w:tc>
          <w:tcPr>
            <w:tcW w:w="1897" w:type="dxa"/>
            <w:vAlign w:val="bottom"/>
          </w:tcPr>
          <w:p w14:paraId="12062731" w14:textId="03515634" w:rsidR="00BD362E" w:rsidRDefault="00437097">
            <w:pPr>
              <w:contextualSpacing w:val="0"/>
              <w:jc w:val="center"/>
            </w:pPr>
            <w:r>
              <w:t>1675</w:t>
            </w:r>
          </w:p>
        </w:tc>
        <w:tc>
          <w:tcPr>
            <w:tcW w:w="1898" w:type="dxa"/>
            <w:vAlign w:val="bottom"/>
          </w:tcPr>
          <w:p w14:paraId="12062732" w14:textId="36A4EADC" w:rsidR="00BD362E" w:rsidRDefault="00437097">
            <w:pPr>
              <w:contextualSpacing w:val="0"/>
              <w:jc w:val="center"/>
            </w:pPr>
            <w:r>
              <w:t>1580</w:t>
            </w:r>
          </w:p>
        </w:tc>
        <w:tc>
          <w:tcPr>
            <w:tcW w:w="1898" w:type="dxa"/>
            <w:vAlign w:val="bottom"/>
          </w:tcPr>
          <w:p w14:paraId="12062733" w14:textId="501577EB" w:rsidR="00BD362E" w:rsidRDefault="00BD6BC5">
            <w:pPr>
              <w:contextualSpacing w:val="0"/>
              <w:jc w:val="center"/>
            </w:pPr>
            <w:r>
              <w:t>7584</w:t>
            </w:r>
          </w:p>
        </w:tc>
      </w:tr>
      <w:tr w:rsidR="00BD362E" w14:paraId="12062738" w14:textId="77777777">
        <w:trPr>
          <w:trHeight w:val="260"/>
          <w:jc w:val="center"/>
        </w:trPr>
        <w:tc>
          <w:tcPr>
            <w:tcW w:w="1897" w:type="dxa"/>
            <w:vAlign w:val="bottom"/>
          </w:tcPr>
          <w:p w14:paraId="12062735" w14:textId="056212CA" w:rsidR="00BD362E" w:rsidRDefault="0012340E" w:rsidP="0012340E">
            <w:pPr>
              <w:jc w:val="center"/>
            </w:pPr>
            <w:r>
              <w:t>1696</w:t>
            </w:r>
          </w:p>
        </w:tc>
        <w:tc>
          <w:tcPr>
            <w:tcW w:w="1898" w:type="dxa"/>
            <w:vAlign w:val="bottom"/>
          </w:tcPr>
          <w:p w14:paraId="12062736" w14:textId="04B75D88" w:rsidR="00BD362E" w:rsidRDefault="00914DD2">
            <w:pPr>
              <w:contextualSpacing w:val="0"/>
              <w:jc w:val="center"/>
            </w:pPr>
            <w:r>
              <w:t>7334</w:t>
            </w:r>
          </w:p>
        </w:tc>
        <w:tc>
          <w:tcPr>
            <w:tcW w:w="1898" w:type="dxa"/>
            <w:vAlign w:val="bottom"/>
          </w:tcPr>
          <w:p w14:paraId="12062737" w14:textId="6762EAC3" w:rsidR="00BD362E" w:rsidRDefault="00914DD2">
            <w:pPr>
              <w:contextualSpacing w:val="0"/>
              <w:jc w:val="center"/>
            </w:pPr>
            <w:r>
              <w:t>7534</w:t>
            </w:r>
          </w:p>
        </w:tc>
      </w:tr>
      <w:tr w:rsidR="00BD362E" w14:paraId="1206273C" w14:textId="77777777">
        <w:trPr>
          <w:trHeight w:val="280"/>
          <w:jc w:val="center"/>
        </w:trPr>
        <w:tc>
          <w:tcPr>
            <w:tcW w:w="1897" w:type="dxa"/>
            <w:vAlign w:val="bottom"/>
          </w:tcPr>
          <w:p w14:paraId="12062739" w14:textId="625E57BA" w:rsidR="00BD362E" w:rsidRDefault="0012340E" w:rsidP="0012340E">
            <w:pPr>
              <w:jc w:val="center"/>
            </w:pPr>
            <w:r>
              <w:t>1700</w:t>
            </w:r>
          </w:p>
        </w:tc>
        <w:tc>
          <w:tcPr>
            <w:tcW w:w="1898" w:type="dxa"/>
            <w:vAlign w:val="bottom"/>
          </w:tcPr>
          <w:p w14:paraId="1206273A" w14:textId="2BA8E82E" w:rsidR="00BD362E" w:rsidRDefault="00914DD2">
            <w:pPr>
              <w:contextualSpacing w:val="0"/>
              <w:jc w:val="center"/>
            </w:pPr>
            <w:r>
              <w:t>1508</w:t>
            </w:r>
          </w:p>
        </w:tc>
        <w:tc>
          <w:tcPr>
            <w:tcW w:w="1898" w:type="dxa"/>
            <w:vAlign w:val="bottom"/>
          </w:tcPr>
          <w:p w14:paraId="1206273B" w14:textId="0E631BD2" w:rsidR="00BD362E" w:rsidRDefault="00476959">
            <w:pPr>
              <w:contextualSpacing w:val="0"/>
              <w:jc w:val="center"/>
            </w:pPr>
            <w:r>
              <w:t>1630</w:t>
            </w:r>
          </w:p>
        </w:tc>
      </w:tr>
      <w:tr w:rsidR="00BD362E" w14:paraId="12062740" w14:textId="77777777">
        <w:trPr>
          <w:trHeight w:val="260"/>
          <w:jc w:val="center"/>
        </w:trPr>
        <w:tc>
          <w:tcPr>
            <w:tcW w:w="1897" w:type="dxa"/>
            <w:vAlign w:val="bottom"/>
          </w:tcPr>
          <w:p w14:paraId="1206273D" w14:textId="23FE1979" w:rsidR="00BD362E" w:rsidRDefault="0012340E" w:rsidP="0012340E">
            <w:pPr>
              <w:jc w:val="center"/>
            </w:pPr>
            <w:r>
              <w:t>1712</w:t>
            </w:r>
          </w:p>
        </w:tc>
        <w:tc>
          <w:tcPr>
            <w:tcW w:w="1898" w:type="dxa"/>
            <w:vAlign w:val="bottom"/>
          </w:tcPr>
          <w:p w14:paraId="1206273E" w14:textId="08BCD5E8" w:rsidR="00BD362E" w:rsidRDefault="00476959">
            <w:pPr>
              <w:contextualSpacing w:val="0"/>
              <w:jc w:val="center"/>
            </w:pPr>
            <w:r>
              <w:t>74</w:t>
            </w:r>
            <w:r w:rsidR="004911A7">
              <w:t>34</w:t>
            </w:r>
          </w:p>
        </w:tc>
        <w:tc>
          <w:tcPr>
            <w:tcW w:w="1898" w:type="dxa"/>
            <w:vAlign w:val="bottom"/>
          </w:tcPr>
          <w:p w14:paraId="1206273F" w14:textId="47A245C9" w:rsidR="00BD362E" w:rsidRDefault="004911A7">
            <w:pPr>
              <w:contextualSpacing w:val="0"/>
              <w:jc w:val="center"/>
            </w:pPr>
            <w:r>
              <w:t>72</w:t>
            </w:r>
            <w:r w:rsidR="00AA1D4D">
              <w:t>84</w:t>
            </w:r>
          </w:p>
        </w:tc>
      </w:tr>
      <w:tr w:rsidR="00BD362E" w14:paraId="12062744" w14:textId="77777777">
        <w:trPr>
          <w:trHeight w:val="280"/>
          <w:jc w:val="center"/>
        </w:trPr>
        <w:tc>
          <w:tcPr>
            <w:tcW w:w="1897" w:type="dxa"/>
            <w:vAlign w:val="bottom"/>
          </w:tcPr>
          <w:p w14:paraId="12062741" w14:textId="67E001C7" w:rsidR="00BD362E" w:rsidRDefault="0012340E" w:rsidP="0012340E">
            <w:pPr>
              <w:jc w:val="center"/>
            </w:pPr>
            <w:r>
              <w:t>2288</w:t>
            </w:r>
          </w:p>
        </w:tc>
        <w:tc>
          <w:tcPr>
            <w:tcW w:w="1898" w:type="dxa"/>
            <w:vAlign w:val="bottom"/>
          </w:tcPr>
          <w:p w14:paraId="12062742" w14:textId="779B177A" w:rsidR="00BD362E" w:rsidRDefault="00AA1D4D">
            <w:pPr>
              <w:contextualSpacing w:val="0"/>
              <w:jc w:val="center"/>
            </w:pPr>
            <w:r>
              <w:t>8817</w:t>
            </w:r>
          </w:p>
        </w:tc>
        <w:tc>
          <w:tcPr>
            <w:tcW w:w="1898" w:type="dxa"/>
            <w:vAlign w:val="bottom"/>
          </w:tcPr>
          <w:p w14:paraId="12062743" w14:textId="545FB276" w:rsidR="00BD362E" w:rsidRDefault="002676A9">
            <w:pPr>
              <w:contextualSpacing w:val="0"/>
              <w:jc w:val="center"/>
            </w:pPr>
            <w:r>
              <w:t>9081</w:t>
            </w:r>
          </w:p>
        </w:tc>
      </w:tr>
      <w:tr w:rsidR="00BD362E" w14:paraId="12062748" w14:textId="77777777">
        <w:trPr>
          <w:trHeight w:val="280"/>
          <w:jc w:val="center"/>
        </w:trPr>
        <w:tc>
          <w:tcPr>
            <w:tcW w:w="1897" w:type="dxa"/>
            <w:vAlign w:val="bottom"/>
          </w:tcPr>
          <w:p w14:paraId="12062745" w14:textId="0DC0C935" w:rsidR="00BD362E" w:rsidRDefault="0012340E" w:rsidP="0012340E">
            <w:pPr>
              <w:jc w:val="center"/>
            </w:pPr>
            <w:r>
              <w:t>2293</w:t>
            </w:r>
          </w:p>
        </w:tc>
        <w:tc>
          <w:tcPr>
            <w:tcW w:w="1898" w:type="dxa"/>
            <w:vAlign w:val="bottom"/>
          </w:tcPr>
          <w:p w14:paraId="12062746" w14:textId="15238A6A" w:rsidR="00BD362E" w:rsidRDefault="00D9555F">
            <w:pPr>
              <w:contextualSpacing w:val="0"/>
              <w:jc w:val="center"/>
            </w:pPr>
            <w:r>
              <w:t>12219</w:t>
            </w:r>
          </w:p>
        </w:tc>
        <w:tc>
          <w:tcPr>
            <w:tcW w:w="1898" w:type="dxa"/>
            <w:vAlign w:val="bottom"/>
          </w:tcPr>
          <w:p w14:paraId="12062747" w14:textId="1384DE9F" w:rsidR="00BD362E" w:rsidRDefault="00D9555F">
            <w:pPr>
              <w:contextualSpacing w:val="0"/>
              <w:jc w:val="center"/>
            </w:pPr>
            <w:r>
              <w:t>9639</w:t>
            </w:r>
          </w:p>
        </w:tc>
      </w:tr>
      <w:tr w:rsidR="00BD362E" w14:paraId="1206274C" w14:textId="77777777">
        <w:trPr>
          <w:trHeight w:val="260"/>
          <w:jc w:val="center"/>
        </w:trPr>
        <w:tc>
          <w:tcPr>
            <w:tcW w:w="1897" w:type="dxa"/>
            <w:vAlign w:val="bottom"/>
          </w:tcPr>
          <w:p w14:paraId="12062749" w14:textId="44E632FF" w:rsidR="00BD362E" w:rsidRDefault="0012340E" w:rsidP="0012340E">
            <w:pPr>
              <w:jc w:val="center"/>
            </w:pPr>
            <w:r>
              <w:t>2301</w:t>
            </w:r>
          </w:p>
        </w:tc>
        <w:tc>
          <w:tcPr>
            <w:tcW w:w="1898" w:type="dxa"/>
            <w:vAlign w:val="bottom"/>
          </w:tcPr>
          <w:p w14:paraId="1206274A" w14:textId="60D834FD" w:rsidR="00BD362E" w:rsidRDefault="00EB7C0E">
            <w:pPr>
              <w:contextualSpacing w:val="0"/>
              <w:jc w:val="center"/>
            </w:pPr>
            <w:r>
              <w:t>3102</w:t>
            </w:r>
          </w:p>
        </w:tc>
        <w:tc>
          <w:tcPr>
            <w:tcW w:w="1898" w:type="dxa"/>
            <w:vAlign w:val="bottom"/>
          </w:tcPr>
          <w:p w14:paraId="1206274B" w14:textId="38B5F666" w:rsidR="00BD362E" w:rsidRDefault="00EB7C0E">
            <w:pPr>
              <w:contextualSpacing w:val="0"/>
              <w:jc w:val="center"/>
            </w:pPr>
            <w:r>
              <w:t>11668</w:t>
            </w:r>
          </w:p>
        </w:tc>
      </w:tr>
      <w:tr w:rsidR="00BD362E" w14:paraId="12062750" w14:textId="77777777">
        <w:trPr>
          <w:trHeight w:val="280"/>
          <w:jc w:val="center"/>
        </w:trPr>
        <w:tc>
          <w:tcPr>
            <w:tcW w:w="1897" w:type="dxa"/>
            <w:vAlign w:val="bottom"/>
          </w:tcPr>
          <w:p w14:paraId="1206274D" w14:textId="6AE4D8F5" w:rsidR="00BD362E" w:rsidRDefault="0012340E" w:rsidP="0012340E">
            <w:pPr>
              <w:jc w:val="center"/>
            </w:pPr>
            <w:r>
              <w:t>2322</w:t>
            </w:r>
          </w:p>
        </w:tc>
        <w:tc>
          <w:tcPr>
            <w:tcW w:w="1898" w:type="dxa"/>
            <w:vAlign w:val="bottom"/>
          </w:tcPr>
          <w:p w14:paraId="1206274E" w14:textId="6CB5794A" w:rsidR="00BD362E" w:rsidRDefault="008407B1">
            <w:pPr>
              <w:contextualSpacing w:val="0"/>
              <w:jc w:val="center"/>
            </w:pPr>
            <w:r>
              <w:t>2409</w:t>
            </w:r>
          </w:p>
        </w:tc>
        <w:tc>
          <w:tcPr>
            <w:tcW w:w="1898" w:type="dxa"/>
            <w:vAlign w:val="bottom"/>
          </w:tcPr>
          <w:p w14:paraId="1206274F" w14:textId="5C544757" w:rsidR="00BD362E" w:rsidRDefault="008407B1">
            <w:pPr>
              <w:contextualSpacing w:val="0"/>
              <w:jc w:val="center"/>
            </w:pPr>
            <w:r>
              <w:t>3002</w:t>
            </w:r>
          </w:p>
        </w:tc>
      </w:tr>
      <w:tr w:rsidR="00BD362E" w14:paraId="12062754" w14:textId="77777777">
        <w:trPr>
          <w:trHeight w:val="260"/>
          <w:jc w:val="center"/>
        </w:trPr>
        <w:tc>
          <w:tcPr>
            <w:tcW w:w="1897" w:type="dxa"/>
            <w:vAlign w:val="bottom"/>
          </w:tcPr>
          <w:p w14:paraId="12062751" w14:textId="09B7BBED" w:rsidR="00BD362E" w:rsidRDefault="0012340E">
            <w:pPr>
              <w:contextualSpacing w:val="0"/>
              <w:jc w:val="center"/>
            </w:pPr>
            <w:r>
              <w:t>2341</w:t>
            </w:r>
          </w:p>
        </w:tc>
        <w:tc>
          <w:tcPr>
            <w:tcW w:w="1898" w:type="dxa"/>
            <w:vAlign w:val="bottom"/>
          </w:tcPr>
          <w:p w14:paraId="12062752" w14:textId="12FB3D90" w:rsidR="00BD362E" w:rsidRDefault="00B77C1E">
            <w:pPr>
              <w:contextualSpacing w:val="0"/>
              <w:jc w:val="center"/>
            </w:pPr>
            <w:r>
              <w:t>2333</w:t>
            </w:r>
          </w:p>
        </w:tc>
        <w:tc>
          <w:tcPr>
            <w:tcW w:w="1898" w:type="dxa"/>
            <w:vAlign w:val="bottom"/>
          </w:tcPr>
          <w:p w14:paraId="12062753" w14:textId="6FCE13F8" w:rsidR="00BD362E" w:rsidRDefault="00B77C1E">
            <w:pPr>
              <w:contextualSpacing w:val="0"/>
              <w:jc w:val="center"/>
            </w:pPr>
            <w:r>
              <w:t>23</w:t>
            </w:r>
            <w:r w:rsidR="008407B1">
              <w:t>83</w:t>
            </w:r>
          </w:p>
        </w:tc>
      </w:tr>
    </w:tbl>
    <w:p w14:paraId="12062755" w14:textId="5E50F52B" w:rsidR="00BD362E" w:rsidRDefault="00BD362E">
      <w:pPr>
        <w:spacing w:line="240" w:lineRule="auto"/>
      </w:pPr>
    </w:p>
    <w:p w14:paraId="62DA4C02" w14:textId="257B2772" w:rsidR="00811279" w:rsidRDefault="00811279" w:rsidP="00D07E11">
      <w:pPr>
        <w:spacing w:line="240" w:lineRule="auto"/>
        <w:jc w:val="center"/>
      </w:pPr>
      <w:r w:rsidRPr="00D07E11">
        <w:rPr>
          <w:b/>
          <w:bCs/>
        </w:rPr>
        <w:t>Table</w:t>
      </w:r>
      <w:r w:rsidR="009B3EAB" w:rsidRPr="00D07E11">
        <w:rPr>
          <w:b/>
          <w:bCs/>
        </w:rPr>
        <w:t xml:space="preserve"> 2:</w:t>
      </w:r>
      <w:r w:rsidR="009B3EAB">
        <w:t xml:space="preserve"> The Treatment and the</w:t>
      </w:r>
      <w:r w:rsidR="00AF3622">
        <w:t xml:space="preserve"> Control Roasters </w:t>
      </w:r>
      <w:r w:rsidR="00D07E11">
        <w:t>P</w:t>
      </w:r>
      <w:r w:rsidR="00AF3622">
        <w:t>airs</w:t>
      </w:r>
    </w:p>
    <w:p w14:paraId="14AA187B" w14:textId="31C9ED4C" w:rsidR="00981805" w:rsidRDefault="00FC63C8" w:rsidP="005C54F6">
      <w:pPr>
        <w:pStyle w:val="Heading2"/>
      </w:pPr>
      <w:r>
        <w:t>Step 4: Analysis and Writeup</w:t>
      </w:r>
    </w:p>
    <w:p w14:paraId="5F358A7D" w14:textId="69427616" w:rsidR="005171E9" w:rsidRDefault="005171E9" w:rsidP="005171E9">
      <w:pPr>
        <w:spacing w:line="240" w:lineRule="auto"/>
        <w:ind w:left="720"/>
      </w:pPr>
    </w:p>
    <w:p w14:paraId="35B92925" w14:textId="405CF8D3" w:rsidR="005C4201" w:rsidRDefault="005C4201" w:rsidP="005171E9">
      <w:pPr>
        <w:spacing w:line="240" w:lineRule="auto"/>
        <w:ind w:left="720"/>
      </w:pPr>
      <w:r>
        <w:t>West:</w:t>
      </w:r>
    </w:p>
    <w:p w14:paraId="49C28268" w14:textId="77777777" w:rsidR="006854D7" w:rsidRDefault="006854D7" w:rsidP="005171E9">
      <w:pPr>
        <w:spacing w:line="240" w:lineRule="auto"/>
        <w:ind w:left="720"/>
      </w:pPr>
    </w:p>
    <w:p w14:paraId="7DCD7F1C" w14:textId="1F2F46D4" w:rsidR="00FE52F2" w:rsidRDefault="00FE52F2" w:rsidP="005171E9">
      <w:pPr>
        <w:spacing w:line="240" w:lineRule="auto"/>
        <w:ind w:left="720"/>
      </w:pPr>
      <w:r>
        <w:t>The list</w:t>
      </w:r>
      <w:r w:rsidR="00085532">
        <w:t xml:space="preserve"> is 42.6% with 99.7% statistical significance.</w:t>
      </w:r>
      <w:r w:rsidR="002511B0">
        <w:t xml:space="preserve">  The expected impact</w:t>
      </w:r>
      <w:r w:rsidR="00D07713">
        <w:t xml:space="preserve"> is </w:t>
      </w:r>
      <w:r w:rsidR="00426612">
        <w:t>$</w:t>
      </w:r>
      <w:r w:rsidR="00E96B20">
        <w:t xml:space="preserve">589.6 </w:t>
      </w:r>
      <w:r w:rsidR="00225AA9">
        <w:t xml:space="preserve">gross margin </w:t>
      </w:r>
      <w:r w:rsidR="008A3E9D">
        <w:t xml:space="preserve">increase </w:t>
      </w:r>
      <w:r w:rsidR="00E96B20">
        <w:t>per week per roaster</w:t>
      </w:r>
      <w:r w:rsidR="008C0954">
        <w:t>.</w:t>
      </w:r>
    </w:p>
    <w:p w14:paraId="54910679" w14:textId="5AB23CE7" w:rsidR="005C4201" w:rsidRDefault="005C4201" w:rsidP="005171E9">
      <w:pPr>
        <w:spacing w:line="240" w:lineRule="auto"/>
        <w:ind w:left="720"/>
      </w:pPr>
    </w:p>
    <w:p w14:paraId="02D747CF" w14:textId="46119BC2" w:rsidR="005C4201" w:rsidRDefault="005C4201" w:rsidP="005171E9">
      <w:pPr>
        <w:spacing w:line="240" w:lineRule="auto"/>
        <w:ind w:left="720"/>
      </w:pPr>
      <w:r>
        <w:t>Central:</w:t>
      </w:r>
    </w:p>
    <w:p w14:paraId="2C91425C" w14:textId="77777777" w:rsidR="006854D7" w:rsidRDefault="006854D7" w:rsidP="005171E9">
      <w:pPr>
        <w:spacing w:line="240" w:lineRule="auto"/>
        <w:ind w:left="720"/>
      </w:pPr>
    </w:p>
    <w:p w14:paraId="06AC5029" w14:textId="1A1856A0" w:rsidR="005C4201" w:rsidRDefault="0006274A" w:rsidP="005171E9">
      <w:pPr>
        <w:spacing w:line="240" w:lineRule="auto"/>
        <w:ind w:left="720"/>
      </w:pPr>
      <w:r>
        <w:t>The lift is 40.1%</w:t>
      </w:r>
      <w:r w:rsidR="0006774E">
        <w:t xml:space="preserve"> with 99.3% statistical significance</w:t>
      </w:r>
      <w:r w:rsidR="00940DD0">
        <w:t>.</w:t>
      </w:r>
      <w:r w:rsidR="00207B10">
        <w:t xml:space="preserve">  </w:t>
      </w:r>
      <w:r w:rsidR="00207B10">
        <w:t>The expected impact</w:t>
      </w:r>
      <w:r w:rsidR="00D07713">
        <w:t xml:space="preserve"> </w:t>
      </w:r>
      <w:r w:rsidR="00207B10">
        <w:t>is $</w:t>
      </w:r>
      <w:r w:rsidR="00207B10">
        <w:t xml:space="preserve">754.8 </w:t>
      </w:r>
      <w:r w:rsidR="00D07713">
        <w:t xml:space="preserve">gross margin </w:t>
      </w:r>
      <w:r w:rsidR="00207B10">
        <w:t>increase</w:t>
      </w:r>
      <w:r w:rsidR="00207B10">
        <w:t xml:space="preserve"> per week per roaster.</w:t>
      </w:r>
    </w:p>
    <w:p w14:paraId="5D3E5009" w14:textId="3A913E3D" w:rsidR="00237EBB" w:rsidRDefault="00237EBB" w:rsidP="005171E9">
      <w:pPr>
        <w:spacing w:line="240" w:lineRule="auto"/>
        <w:ind w:left="720"/>
      </w:pPr>
    </w:p>
    <w:p w14:paraId="710D833F" w14:textId="2D878BAA" w:rsidR="00237EBB" w:rsidRDefault="00237EBB" w:rsidP="005171E9">
      <w:pPr>
        <w:spacing w:line="240" w:lineRule="auto"/>
        <w:ind w:left="720"/>
      </w:pPr>
      <w:r>
        <w:t>Overall:</w:t>
      </w:r>
    </w:p>
    <w:p w14:paraId="4405C88E" w14:textId="2CEBDA96" w:rsidR="00237EBB" w:rsidRDefault="00237EBB" w:rsidP="005171E9">
      <w:pPr>
        <w:spacing w:line="240" w:lineRule="auto"/>
        <w:ind w:left="720"/>
      </w:pPr>
    </w:p>
    <w:p w14:paraId="6F2D6EA7" w14:textId="1B3270DF" w:rsidR="00237EBB" w:rsidRDefault="00237EBB" w:rsidP="005171E9">
      <w:pPr>
        <w:spacing w:line="240" w:lineRule="auto"/>
        <w:ind w:left="720"/>
      </w:pPr>
      <w:r>
        <w:t>The list is 41.4% with 100% statistical significance</w:t>
      </w:r>
      <w:r w:rsidR="00730E0B">
        <w:t xml:space="preserve"> (Fig.1)</w:t>
      </w:r>
    </w:p>
    <w:p w14:paraId="5346CFC9" w14:textId="2AA145E4" w:rsidR="00237EBB" w:rsidRDefault="00237EBB" w:rsidP="005171E9">
      <w:pPr>
        <w:spacing w:line="240" w:lineRule="auto"/>
        <w:ind w:left="720"/>
      </w:pPr>
    </w:p>
    <w:p w14:paraId="08030809" w14:textId="3A3431F2" w:rsidR="005C54F6" w:rsidRDefault="005C54F6" w:rsidP="005171E9">
      <w:pPr>
        <w:spacing w:line="240" w:lineRule="auto"/>
        <w:ind w:left="720"/>
      </w:pPr>
      <w:r w:rsidRPr="005C54F6">
        <w:t>The company should roll out the updated menu to all stores.  The treatment group consistently outperformed the control group during the test overall (Fig.</w:t>
      </w:r>
      <w:r w:rsidR="00730E0B">
        <w:t>2</w:t>
      </w:r>
      <w:r w:rsidRPr="005C54F6">
        <w:t xml:space="preserve"> and Fig.</w:t>
      </w:r>
      <w:r w:rsidR="00730E0B">
        <w:t>3</w:t>
      </w:r>
      <w:r w:rsidRPr="005C54F6">
        <w:t>)</w:t>
      </w:r>
      <w:r w:rsidR="006854D7">
        <w:t>.</w:t>
      </w:r>
      <w:r w:rsidRPr="005C54F6">
        <w:t xml:space="preserve">  The AB test supports the case for introducing the updated menu</w:t>
      </w:r>
      <w:r w:rsidR="006B077D">
        <w:t xml:space="preserve"> with </w:t>
      </w:r>
      <w:r w:rsidR="00A5197B">
        <w:t xml:space="preserve">the </w:t>
      </w:r>
      <w:r w:rsidR="00511615">
        <w:t xml:space="preserve">expected </w:t>
      </w:r>
      <w:r w:rsidR="00A5197B">
        <w:t xml:space="preserve">percent </w:t>
      </w:r>
      <w:r w:rsidR="00511615">
        <w:t xml:space="preserve">sales </w:t>
      </w:r>
      <w:r w:rsidR="00A5197B">
        <w:t>increase</w:t>
      </w:r>
      <w:r w:rsidR="00511615">
        <w:t xml:space="preserve"> of 41.4% overall</w:t>
      </w:r>
      <w:r w:rsidRPr="005C54F6">
        <w:t>.</w:t>
      </w:r>
      <w:bookmarkStart w:id="2" w:name="_GoBack"/>
      <w:bookmarkEnd w:id="2"/>
    </w:p>
    <w:p w14:paraId="5DBD5624" w14:textId="439E7D38" w:rsidR="00F914E7" w:rsidRDefault="00F914E7" w:rsidP="00506398">
      <w:pPr>
        <w:spacing w:line="240" w:lineRule="auto"/>
        <w:ind w:left="720"/>
        <w:rPr>
          <w:b/>
          <w:bCs/>
        </w:rPr>
      </w:pPr>
    </w:p>
    <w:p w14:paraId="204EE9CA" w14:textId="58C59674" w:rsidR="00F914E7" w:rsidRDefault="00F914E7" w:rsidP="00506398">
      <w:pPr>
        <w:spacing w:line="240" w:lineRule="auto"/>
        <w:ind w:left="720"/>
        <w:rPr>
          <w:b/>
          <w:bCs/>
        </w:rPr>
      </w:pPr>
      <w:r w:rsidRPr="00EB1BC8">
        <w:rPr>
          <w:b/>
          <w:bCs/>
        </w:rPr>
        <w:drawing>
          <wp:anchor distT="0" distB="0" distL="114300" distR="114300" simplePos="0" relativeHeight="251661312" behindDoc="0" locked="0" layoutInCell="1" allowOverlap="1" wp14:anchorId="0B677190" wp14:editId="2F29BE7A">
            <wp:simplePos x="0" y="0"/>
            <wp:positionH relativeFrom="margin">
              <wp:align>center</wp:align>
            </wp:positionH>
            <wp:positionV relativeFrom="paragraph">
              <wp:posOffset>17145</wp:posOffset>
            </wp:positionV>
            <wp:extent cx="4855464" cy="448056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55464" cy="4480560"/>
                    </a:xfrm>
                    <a:prstGeom prst="rect">
                      <a:avLst/>
                    </a:prstGeom>
                  </pic:spPr>
                </pic:pic>
              </a:graphicData>
            </a:graphic>
            <wp14:sizeRelH relativeFrom="margin">
              <wp14:pctWidth>0</wp14:pctWidth>
            </wp14:sizeRelH>
            <wp14:sizeRelV relativeFrom="margin">
              <wp14:pctHeight>0</wp14:pctHeight>
            </wp14:sizeRelV>
          </wp:anchor>
        </w:drawing>
      </w:r>
    </w:p>
    <w:p w14:paraId="0E6B9E3D" w14:textId="2DABB364" w:rsidR="00F914E7" w:rsidRDefault="00F914E7" w:rsidP="00F914E7">
      <w:r w:rsidRPr="00EB1BC8">
        <w:rPr>
          <w:b/>
          <w:bCs/>
        </w:rPr>
        <w:t>Fig.</w:t>
      </w:r>
      <w:r>
        <w:rPr>
          <w:b/>
          <w:bCs/>
        </w:rPr>
        <w:t>1</w:t>
      </w:r>
      <w:r w:rsidRPr="00EB1BC8">
        <w:rPr>
          <w:b/>
          <w:bCs/>
        </w:rPr>
        <w:t>:</w:t>
      </w:r>
      <w:r>
        <w:t xml:space="preserve"> Box and Whisker Plot of the Percentage Change in Sum_Gross Margin Between the Test Period and the Same Period Last Year</w:t>
      </w:r>
    </w:p>
    <w:p w14:paraId="3C3455FD" w14:textId="5560FFD0" w:rsidR="00857447" w:rsidRDefault="00F914E7">
      <w:r w:rsidRPr="00EB1BC8">
        <w:rPr>
          <w:b/>
          <w:bCs/>
        </w:rPr>
        <w:lastRenderedPageBreak/>
        <w:drawing>
          <wp:anchor distT="0" distB="0" distL="114300" distR="114300" simplePos="0" relativeHeight="251660288" behindDoc="0" locked="0" layoutInCell="1" allowOverlap="1" wp14:anchorId="7B90634D" wp14:editId="08DB7575">
            <wp:simplePos x="0" y="0"/>
            <wp:positionH relativeFrom="margin">
              <wp:align>right</wp:align>
            </wp:positionH>
            <wp:positionV relativeFrom="paragraph">
              <wp:posOffset>0</wp:posOffset>
            </wp:positionV>
            <wp:extent cx="5632704" cy="33832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32704" cy="3383280"/>
                    </a:xfrm>
                    <a:prstGeom prst="rect">
                      <a:avLst/>
                    </a:prstGeom>
                  </pic:spPr>
                </pic:pic>
              </a:graphicData>
            </a:graphic>
            <wp14:sizeRelH relativeFrom="margin">
              <wp14:pctWidth>0</wp14:pctWidth>
            </wp14:sizeRelH>
            <wp14:sizeRelV relativeFrom="margin">
              <wp14:pctHeight>0</wp14:pctHeight>
            </wp14:sizeRelV>
          </wp:anchor>
        </w:drawing>
      </w:r>
    </w:p>
    <w:p w14:paraId="1B338973" w14:textId="0E76EFB6" w:rsidR="00F914E7" w:rsidRDefault="00F914E7" w:rsidP="00F914E7">
      <w:pPr>
        <w:spacing w:line="240" w:lineRule="auto"/>
      </w:pPr>
      <w:r w:rsidRPr="00090448">
        <w:drawing>
          <wp:anchor distT="0" distB="0" distL="114300" distR="114300" simplePos="0" relativeHeight="251659264" behindDoc="0" locked="0" layoutInCell="1" allowOverlap="1" wp14:anchorId="6C733162" wp14:editId="655E0B37">
            <wp:simplePos x="0" y="0"/>
            <wp:positionH relativeFrom="margin">
              <wp:align>right</wp:align>
            </wp:positionH>
            <wp:positionV relativeFrom="paragraph">
              <wp:posOffset>628650</wp:posOffset>
            </wp:positionV>
            <wp:extent cx="5942330" cy="354774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2330" cy="3547745"/>
                    </a:xfrm>
                    <a:prstGeom prst="rect">
                      <a:avLst/>
                    </a:prstGeom>
                  </pic:spPr>
                </pic:pic>
              </a:graphicData>
            </a:graphic>
            <wp14:sizeRelH relativeFrom="margin">
              <wp14:pctWidth>0</wp14:pctWidth>
            </wp14:sizeRelH>
            <wp14:sizeRelV relativeFrom="margin">
              <wp14:pctHeight>0</wp14:pctHeight>
            </wp14:sizeRelV>
          </wp:anchor>
        </w:drawing>
      </w:r>
      <w:r w:rsidRPr="00EB1BC8">
        <w:rPr>
          <w:b/>
          <w:bCs/>
        </w:rPr>
        <w:t xml:space="preserve">Fig. </w:t>
      </w:r>
      <w:r w:rsidR="002905FD">
        <w:rPr>
          <w:b/>
          <w:bCs/>
        </w:rPr>
        <w:t>2</w:t>
      </w:r>
      <w:r w:rsidRPr="00EB1BC8">
        <w:rPr>
          <w:b/>
          <w:bCs/>
        </w:rPr>
        <w:t>:</w:t>
      </w:r>
      <w:r>
        <w:t xml:space="preserve"> Dot Plot of the Percentage Change in Sum_Gross Margin Between the Test Period and the Same Period Last Year </w:t>
      </w:r>
      <w:bookmarkStart w:id="3" w:name="_Hlk36040768"/>
      <w:r>
        <w:t>compared between treatment roaster and the corresponding control roasters</w:t>
      </w:r>
      <w:bookmarkEnd w:id="3"/>
      <w:r>
        <w:t>.</w:t>
      </w:r>
    </w:p>
    <w:p w14:paraId="55619239" w14:textId="01AEA1A5" w:rsidR="00F914E7" w:rsidRDefault="00F914E7"/>
    <w:p w14:paraId="12062762" w14:textId="2D783AF8" w:rsidR="00BD362E" w:rsidRDefault="004D59C8">
      <w:r w:rsidRPr="00EB1BC8">
        <w:rPr>
          <w:b/>
          <w:bCs/>
        </w:rPr>
        <w:t xml:space="preserve">Fig. </w:t>
      </w:r>
      <w:r w:rsidR="002905FD">
        <w:rPr>
          <w:b/>
          <w:bCs/>
        </w:rPr>
        <w:t>3</w:t>
      </w:r>
      <w:r w:rsidRPr="00EB1BC8">
        <w:rPr>
          <w:b/>
          <w:bCs/>
        </w:rPr>
        <w:t>:</w:t>
      </w:r>
      <w:r>
        <w:t xml:space="preserve"> </w:t>
      </w:r>
      <w:r w:rsidR="00E57A0A">
        <w:t>Time Comparison</w:t>
      </w:r>
      <w:r w:rsidR="000B703F">
        <w:t xml:space="preserve"> Plot of Sum_Gross Margin </w:t>
      </w:r>
      <w:r w:rsidR="00FE6AB7">
        <w:t>for all treatment and control roasters.</w:t>
      </w:r>
      <w:bookmarkStart w:id="4" w:name="_1fob9te" w:colFirst="0" w:colLast="0"/>
      <w:bookmarkEnd w:id="4"/>
    </w:p>
    <w:sectPr w:rsidR="00BD362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96BD" w14:textId="77777777" w:rsidR="002905FD" w:rsidRDefault="002905FD" w:rsidP="002905FD">
      <w:pPr>
        <w:spacing w:line="240" w:lineRule="auto"/>
      </w:pPr>
      <w:r>
        <w:separator/>
      </w:r>
    </w:p>
  </w:endnote>
  <w:endnote w:type="continuationSeparator" w:id="0">
    <w:p w14:paraId="5E23ABB6" w14:textId="77777777" w:rsidR="002905FD" w:rsidRDefault="002905FD" w:rsidP="002905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B522" w14:textId="77777777" w:rsidR="002905FD" w:rsidRDefault="002905FD" w:rsidP="002905FD">
      <w:pPr>
        <w:spacing w:line="240" w:lineRule="auto"/>
      </w:pPr>
      <w:r>
        <w:separator/>
      </w:r>
    </w:p>
  </w:footnote>
  <w:footnote w:type="continuationSeparator" w:id="0">
    <w:p w14:paraId="167A7373" w14:textId="77777777" w:rsidR="002905FD" w:rsidRDefault="002905FD" w:rsidP="002905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1AC9"/>
    <w:multiLevelType w:val="multilevel"/>
    <w:tmpl w:val="94EE1B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ADF6935"/>
    <w:multiLevelType w:val="multilevel"/>
    <w:tmpl w:val="C52E07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8DE5780"/>
    <w:multiLevelType w:val="multilevel"/>
    <w:tmpl w:val="3A38CE1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E"/>
    <w:rsid w:val="00005A09"/>
    <w:rsid w:val="00013A9A"/>
    <w:rsid w:val="0006274A"/>
    <w:rsid w:val="0006774E"/>
    <w:rsid w:val="00085532"/>
    <w:rsid w:val="00087934"/>
    <w:rsid w:val="00090448"/>
    <w:rsid w:val="000A57EE"/>
    <w:rsid w:val="000B5DE8"/>
    <w:rsid w:val="000B703F"/>
    <w:rsid w:val="000C0D02"/>
    <w:rsid w:val="000C5057"/>
    <w:rsid w:val="000D2CA3"/>
    <w:rsid w:val="000D6D76"/>
    <w:rsid w:val="00112205"/>
    <w:rsid w:val="001220C9"/>
    <w:rsid w:val="0012340E"/>
    <w:rsid w:val="00131ADC"/>
    <w:rsid w:val="001449CC"/>
    <w:rsid w:val="001656CB"/>
    <w:rsid w:val="001724F3"/>
    <w:rsid w:val="00173F53"/>
    <w:rsid w:val="00177BE2"/>
    <w:rsid w:val="001973D9"/>
    <w:rsid w:val="001C3710"/>
    <w:rsid w:val="001F6E59"/>
    <w:rsid w:val="001F76B2"/>
    <w:rsid w:val="00203E6A"/>
    <w:rsid w:val="00204A1D"/>
    <w:rsid w:val="00207B10"/>
    <w:rsid w:val="00225AA9"/>
    <w:rsid w:val="00237EBB"/>
    <w:rsid w:val="002511B0"/>
    <w:rsid w:val="00256FFC"/>
    <w:rsid w:val="002676A9"/>
    <w:rsid w:val="002741E5"/>
    <w:rsid w:val="002905FD"/>
    <w:rsid w:val="002A470E"/>
    <w:rsid w:val="002C6415"/>
    <w:rsid w:val="00315644"/>
    <w:rsid w:val="00322D40"/>
    <w:rsid w:val="003242FD"/>
    <w:rsid w:val="00330587"/>
    <w:rsid w:val="0036519F"/>
    <w:rsid w:val="00371993"/>
    <w:rsid w:val="00382614"/>
    <w:rsid w:val="003A687E"/>
    <w:rsid w:val="003F2B22"/>
    <w:rsid w:val="00426612"/>
    <w:rsid w:val="00437097"/>
    <w:rsid w:val="00476959"/>
    <w:rsid w:val="004911A7"/>
    <w:rsid w:val="004A20B7"/>
    <w:rsid w:val="004A4765"/>
    <w:rsid w:val="004D59C8"/>
    <w:rsid w:val="004D6B0E"/>
    <w:rsid w:val="00506398"/>
    <w:rsid w:val="0051116B"/>
    <w:rsid w:val="00511615"/>
    <w:rsid w:val="005171E9"/>
    <w:rsid w:val="00527471"/>
    <w:rsid w:val="00567750"/>
    <w:rsid w:val="00585D15"/>
    <w:rsid w:val="005953F1"/>
    <w:rsid w:val="005B05FD"/>
    <w:rsid w:val="005B0A21"/>
    <w:rsid w:val="005B28A8"/>
    <w:rsid w:val="005C4201"/>
    <w:rsid w:val="005C53FC"/>
    <w:rsid w:val="005C54F6"/>
    <w:rsid w:val="005E11D9"/>
    <w:rsid w:val="005E358F"/>
    <w:rsid w:val="005E5CF5"/>
    <w:rsid w:val="00631D4B"/>
    <w:rsid w:val="00651E78"/>
    <w:rsid w:val="00676D2F"/>
    <w:rsid w:val="006854D7"/>
    <w:rsid w:val="00687E02"/>
    <w:rsid w:val="006A565A"/>
    <w:rsid w:val="006B077D"/>
    <w:rsid w:val="006C1013"/>
    <w:rsid w:val="006C1F6E"/>
    <w:rsid w:val="006D6BF6"/>
    <w:rsid w:val="007003E8"/>
    <w:rsid w:val="00712DA0"/>
    <w:rsid w:val="00730E0B"/>
    <w:rsid w:val="007428FF"/>
    <w:rsid w:val="00743C6E"/>
    <w:rsid w:val="0075149B"/>
    <w:rsid w:val="007627C2"/>
    <w:rsid w:val="00764A13"/>
    <w:rsid w:val="00787617"/>
    <w:rsid w:val="0079618D"/>
    <w:rsid w:val="007A6653"/>
    <w:rsid w:val="007F2D8A"/>
    <w:rsid w:val="007F434A"/>
    <w:rsid w:val="008014A8"/>
    <w:rsid w:val="00805652"/>
    <w:rsid w:val="00811279"/>
    <w:rsid w:val="00816A6B"/>
    <w:rsid w:val="0082385E"/>
    <w:rsid w:val="00836745"/>
    <w:rsid w:val="008407B1"/>
    <w:rsid w:val="0085311C"/>
    <w:rsid w:val="00857447"/>
    <w:rsid w:val="00877AE1"/>
    <w:rsid w:val="00890352"/>
    <w:rsid w:val="008A3E9D"/>
    <w:rsid w:val="008B1D64"/>
    <w:rsid w:val="008C0954"/>
    <w:rsid w:val="008C7066"/>
    <w:rsid w:val="008D43B3"/>
    <w:rsid w:val="008D6A3B"/>
    <w:rsid w:val="008D73DF"/>
    <w:rsid w:val="009030EF"/>
    <w:rsid w:val="00914DD2"/>
    <w:rsid w:val="00940DD0"/>
    <w:rsid w:val="009538AC"/>
    <w:rsid w:val="00970B20"/>
    <w:rsid w:val="00981805"/>
    <w:rsid w:val="00993058"/>
    <w:rsid w:val="009B3EAB"/>
    <w:rsid w:val="009C0CF5"/>
    <w:rsid w:val="009C5985"/>
    <w:rsid w:val="009C7533"/>
    <w:rsid w:val="009D0382"/>
    <w:rsid w:val="00A04F83"/>
    <w:rsid w:val="00A14D8B"/>
    <w:rsid w:val="00A4796F"/>
    <w:rsid w:val="00A5064B"/>
    <w:rsid w:val="00A5197B"/>
    <w:rsid w:val="00A636C4"/>
    <w:rsid w:val="00A76093"/>
    <w:rsid w:val="00AA1D4D"/>
    <w:rsid w:val="00AA2562"/>
    <w:rsid w:val="00AA4651"/>
    <w:rsid w:val="00AB01E8"/>
    <w:rsid w:val="00AB41D9"/>
    <w:rsid w:val="00AD4D34"/>
    <w:rsid w:val="00AE0F42"/>
    <w:rsid w:val="00AF31E4"/>
    <w:rsid w:val="00AF3622"/>
    <w:rsid w:val="00B05C25"/>
    <w:rsid w:val="00B33E72"/>
    <w:rsid w:val="00B4344F"/>
    <w:rsid w:val="00B50A91"/>
    <w:rsid w:val="00B67658"/>
    <w:rsid w:val="00B77C1E"/>
    <w:rsid w:val="00B84F6E"/>
    <w:rsid w:val="00B92EA5"/>
    <w:rsid w:val="00BD18A0"/>
    <w:rsid w:val="00BD362E"/>
    <w:rsid w:val="00BD5D09"/>
    <w:rsid w:val="00BD6BC5"/>
    <w:rsid w:val="00C05A42"/>
    <w:rsid w:val="00C11708"/>
    <w:rsid w:val="00C15D84"/>
    <w:rsid w:val="00C46A43"/>
    <w:rsid w:val="00C5331E"/>
    <w:rsid w:val="00CB1A98"/>
    <w:rsid w:val="00D009FE"/>
    <w:rsid w:val="00D07713"/>
    <w:rsid w:val="00D07E11"/>
    <w:rsid w:val="00D31410"/>
    <w:rsid w:val="00D367EA"/>
    <w:rsid w:val="00D416AC"/>
    <w:rsid w:val="00D70A31"/>
    <w:rsid w:val="00D9555F"/>
    <w:rsid w:val="00DC6A6F"/>
    <w:rsid w:val="00DE0248"/>
    <w:rsid w:val="00DF6019"/>
    <w:rsid w:val="00E00359"/>
    <w:rsid w:val="00E14069"/>
    <w:rsid w:val="00E32625"/>
    <w:rsid w:val="00E57A0A"/>
    <w:rsid w:val="00E84E79"/>
    <w:rsid w:val="00E869D8"/>
    <w:rsid w:val="00E96B20"/>
    <w:rsid w:val="00EB1BC8"/>
    <w:rsid w:val="00EB5DB1"/>
    <w:rsid w:val="00EB7C0E"/>
    <w:rsid w:val="00EC6AA7"/>
    <w:rsid w:val="00ED577B"/>
    <w:rsid w:val="00F10CD8"/>
    <w:rsid w:val="00F1144A"/>
    <w:rsid w:val="00F2657D"/>
    <w:rsid w:val="00F323AA"/>
    <w:rsid w:val="00F7087B"/>
    <w:rsid w:val="00F86F8E"/>
    <w:rsid w:val="00F914E7"/>
    <w:rsid w:val="00FB5847"/>
    <w:rsid w:val="00FC63C8"/>
    <w:rsid w:val="00FD7F4F"/>
    <w:rsid w:val="00FE52F2"/>
    <w:rsid w:val="00FE6AB7"/>
    <w:rsid w:val="00FF2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2716"/>
  <w15:docId w15:val="{9E44AE04-B04C-4B3C-B7BA-5A3AF8CD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905FD"/>
    <w:pPr>
      <w:tabs>
        <w:tab w:val="center" w:pos="4680"/>
        <w:tab w:val="right" w:pos="9360"/>
      </w:tabs>
      <w:spacing w:line="240" w:lineRule="auto"/>
    </w:pPr>
  </w:style>
  <w:style w:type="character" w:customStyle="1" w:styleId="HeaderChar">
    <w:name w:val="Header Char"/>
    <w:basedOn w:val="DefaultParagraphFont"/>
    <w:link w:val="Header"/>
    <w:uiPriority w:val="99"/>
    <w:rsid w:val="002905FD"/>
  </w:style>
  <w:style w:type="paragraph" w:styleId="Footer">
    <w:name w:val="footer"/>
    <w:basedOn w:val="Normal"/>
    <w:link w:val="FooterChar"/>
    <w:uiPriority w:val="99"/>
    <w:unhideWhenUsed/>
    <w:rsid w:val="002905FD"/>
    <w:pPr>
      <w:tabs>
        <w:tab w:val="center" w:pos="4680"/>
        <w:tab w:val="right" w:pos="9360"/>
      </w:tabs>
      <w:spacing w:line="240" w:lineRule="auto"/>
    </w:pPr>
  </w:style>
  <w:style w:type="character" w:customStyle="1" w:styleId="FooterChar">
    <w:name w:val="Footer Char"/>
    <w:basedOn w:val="DefaultParagraphFont"/>
    <w:link w:val="Footer"/>
    <w:uiPriority w:val="99"/>
    <w:rsid w:val="00290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Makiko Takahashi</dc:creator>
  <cp:lastModifiedBy>Makiko Takahashi</cp:lastModifiedBy>
  <cp:revision>197</cp:revision>
  <dcterms:created xsi:type="dcterms:W3CDTF">2020-03-24T14:33:00Z</dcterms:created>
  <dcterms:modified xsi:type="dcterms:W3CDTF">2020-03-25T19:54:00Z</dcterms:modified>
</cp:coreProperties>
</file>