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400"/>
        <w:jc w:val="center"/>
      </w:pPr>
      <w:r>
        <w:rPr>
          <w:b/>
          <w:bCs/>
          <w:color w:val="D4764E"/>
          <w:sz w:val="60"/>
          <w:szCs w:val="60"/>
        </w:rPr>
        <w:t xml:space="preserve">YALLA.HOUSE</w:t>
      </w:r>
    </w:p>
    <w:p>
      <w:r>
        <w:t xml:space="preserve"/>
      </w:r>
    </w:p>
    <w:p>
      <w:pPr>
        <w:spacing w:after="200" w:before="200"/>
        <w:jc w:val="center"/>
      </w:pPr>
      <w:r>
        <w:rPr>
          <w:b/>
          <w:bCs/>
          <w:color w:val="000000"/>
          <w:sz w:val="36"/>
          <w:szCs w:val="36"/>
        </w:rPr>
        <w:t xml:space="preserve">Agent Platform Agreement</w:t>
      </w:r>
    </w:p>
    <w:p>
      <w:pPr>
        <w:spacing w:after="400" w:before="400"/>
        <w:jc w:val="center"/>
      </w:pPr>
      <w:r>
        <w:rPr>
          <w:i/>
          <w:iCs/>
          <w:color w:val="656565"/>
          <w:sz w:val="24"/>
          <w:szCs w:val="24"/>
        </w:rPr>
        <w:t xml:space="preserve">Draft — For Review</w:t>
      </w:r>
    </w:p>
    <w:p>
      <w:r>
        <w:t xml:space="preserve"/>
      </w:r>
    </w:p>
    <w:p>
      <w:r>
        <w:t xml:space="preserve"/>
      </w:r>
    </w:p>
    <w:p>
      <w:pPr>
        <w:spacing w:before="500"/>
        <w:jc w:val="center"/>
      </w:pPr>
      <w:r>
        <w:rPr>
          <w:color w:val="656565"/>
          <w:sz w:val="24"/>
          <w:szCs w:val="24"/>
        </w:rPr>
        <w:t xml:space="preserve">April 2026</w:t>
      </w:r>
    </w:p>
    <w:p>
      <w:pPr>
        <w:pageBreakBefore/>
      </w:pPr>
      <w:r>
        <w:t xml:space="preserve"/>
      </w:r>
    </w:p>
    <w:p>
      <w:pPr>
        <w:pStyle w:val="Heading1"/>
      </w:pPr>
      <w:r>
        <w:t xml:space="preserve">Preamble</w:t>
      </w:r>
    </w:p>
    <w:p>
      <w:pPr>
        <w:spacing w:line="360"/>
      </w:pPr>
      <w:r>
        <w:t xml:space="preserve">This Agreement is made between:</w:t>
      </w:r>
    </w:p>
    <w:p>
      <w:pPr>
        <w:pStyle w:val="ListParagraph"/>
        <w:numPr>
          <w:ilvl w:val="0"/>
          <w:numId w:val="2"/>
        </w:numPr>
        <w:spacing w:line="360"/>
      </w:pPr>
      <w:r>
        <w:rPr>
          <w:b/>
          <w:bCs/>
        </w:rPr>
        <w:t xml:space="preserve">YALLA.HOUSE LTD</w:t>
      </w:r>
      <w:r>
        <w:t xml:space="preserve"> (company registration number TBC, registered in England and Wales) (the "Platform"); and</w:t>
      </w:r>
    </w:p>
    <w:p>
      <w:pPr>
        <w:pStyle w:val="ListParagraph"/>
        <w:numPr>
          <w:ilvl w:val="0"/>
          <w:numId w:val="2"/>
        </w:numPr>
        <w:spacing w:line="360"/>
      </w:pPr>
      <w:r>
        <w:rPr>
          <w:b/>
          <w:bCs/>
        </w:rPr>
        <w:t xml:space="preserve">The estate agent or property agency whose details appear on the signature page</w:t>
      </w:r>
      <w:r>
        <w:t xml:space="preserve"> (the "Agent").</w:t>
      </w:r>
    </w:p>
    <w:p>
      <w:pPr>
        <w:spacing w:before="240" w:line="360"/>
      </w:pPr>
      <w:r>
        <w:rPr>
          <w:b/>
          <w:bCs/>
        </w:rPr>
        <w:t xml:space="preserve">Whereas:</w:t>
      </w:r>
    </w:p>
    <w:p>
      <w:pPr>
        <w:spacing w:line="360"/>
      </w:pPr>
      <w:r>
        <w:t xml:space="preserve">(A)	The Platform operates a property listing service that enables homeowners to send property briefs to estate agents, who then submit proposals for the right to sell the property;</w:t>
      </w:r>
    </w:p>
    <w:p>
      <w:pPr>
        <w:spacing w:line="360"/>
      </w:pPr>
      <w:r>
        <w:t xml:space="preserve">(B)	The Agent wishes to register as a user of the Platform to receive property briefs from owners and submit proposals;</w:t>
      </w:r>
    </w:p>
    <w:p>
      <w:pPr>
        <w:spacing w:line="360"/>
      </w:pPr>
      <w:r>
        <w:t xml:space="preserve">(C)	The Platform wishes to set out the terms and conditions under which the Agent may access and use the Platform.</w:t>
      </w:r>
    </w:p>
    <w:p>
      <w:pPr>
        <w:spacing w:before="240" w:line="360"/>
      </w:pPr>
      <w:r>
        <w:rPr>
          <w:b/>
          <w:bCs/>
        </w:rPr>
        <w:t xml:space="preserve">Now it is agreed as follows:</w:t>
      </w:r>
    </w:p>
    <w:p>
      <w:pPr>
        <w:pStyle w:val="Heading1"/>
      </w:pPr>
      <w:r>
        <w:t xml:space="preserve">1. Definitions</w:t>
      </w:r>
    </w:p>
    <w:p>
      <w:pPr>
        <w:spacing w:line="360"/>
      </w:pPr>
      <w:r>
        <w:t xml:space="preserve">In this Agreement, unless the context otherwise requires:</w:t>
      </w:r>
    </w:p>
    <w:p>
      <w:pPr>
        <w:spacing w:before="120" w:line="360"/>
      </w:pPr>
      <w:r>
        <w:rPr>
          <w:b/>
          <w:bCs/>
        </w:rPr>
        <w:t xml:space="preserve">"Agent"</w:t>
      </w:r>
      <w:r>
        <w:t xml:space="preserve"> means the estate agent or property agency party to this Agreement, including their employees and representatives.</w:t>
      </w:r>
    </w:p>
    <w:p>
      <w:pPr>
        <w:spacing w:before="120" w:line="360"/>
      </w:pPr>
      <w:r>
        <w:rPr>
          <w:b/>
          <w:bCs/>
        </w:rPr>
        <w:t xml:space="preserve">"Agent Dashboard"</w:t>
      </w:r>
      <w:r>
        <w:t xml:space="preserve"> means the secure portal through which the Agent accesses Briefs, manages Proposals, and communicates with Owners.</w:t>
      </w:r>
    </w:p>
    <w:p>
      <w:pPr>
        <w:spacing w:before="120" w:line="360"/>
      </w:pPr>
      <w:r>
        <w:rPr>
          <w:b/>
          <w:bCs/>
        </w:rPr>
        <w:t xml:space="preserve">"Brief"</w:t>
      </w:r>
      <w:r>
        <w:t xml:space="preserve"> means a property information request submitted by an Owner, including property details, desired timeline, and marketing preferences.</w:t>
      </w:r>
    </w:p>
    <w:p>
      <w:pPr>
        <w:spacing w:before="120" w:line="360"/>
      </w:pPr>
      <w:r>
        <w:rPr>
          <w:b/>
          <w:bCs/>
        </w:rPr>
        <w:t xml:space="preserve">"Commission"</w:t>
      </w:r>
      <w:r>
        <w:t xml:space="preserve"> means the Agent's proposed fee for selling the property, expressed as a percentage of the final sale price.</w:t>
      </w:r>
    </w:p>
    <w:p>
      <w:pPr>
        <w:spacing w:before="120" w:line="360"/>
      </w:pPr>
      <w:r>
        <w:rPr>
          <w:b/>
          <w:bCs/>
        </w:rPr>
        <w:t xml:space="preserve">"Confidential Information"</w:t>
      </w:r>
      <w:r>
        <w:t xml:space="preserve"> means all non-public information shared through the Platform, including Owner details, Brief content, and Proposal terms.</w:t>
      </w:r>
    </w:p>
    <w:p>
      <w:pPr>
        <w:spacing w:before="120" w:line="360"/>
      </w:pPr>
      <w:r>
        <w:rPr>
          <w:b/>
          <w:bCs/>
        </w:rPr>
        <w:t xml:space="preserve">"Connection"</w:t>
      </w:r>
      <w:r>
        <w:t xml:space="preserve"> means an arrangement where an Owner has selected the Agent's Proposal and released their contact details to the Agent.</w:t>
      </w:r>
    </w:p>
    <w:p>
      <w:pPr>
        <w:spacing w:before="120" w:line="360"/>
      </w:pPr>
      <w:r>
        <w:rPr>
          <w:b/>
          <w:bCs/>
        </w:rPr>
        <w:t xml:space="preserve">"Connection Fee"</w:t>
      </w:r>
      <w:r>
        <w:t xml:space="preserve"> means the fee payable by the Agent each time an Owner initiates a Connection (currently £199 + VAT, waived during the launch period).</w:t>
      </w:r>
    </w:p>
    <w:p>
      <w:pPr>
        <w:spacing w:before="120" w:line="360"/>
      </w:pPr>
      <w:r>
        <w:rPr>
          <w:b/>
          <w:bCs/>
        </w:rPr>
        <w:t xml:space="preserve">"CRM Integration"</w:t>
      </w:r>
      <w:r>
        <w:t xml:space="preserve"> means the optional service by which the Platform synchronises lead data with the Agent's customer relationship management system.</w:t>
      </w:r>
    </w:p>
    <w:p>
      <w:pPr>
        <w:spacing w:before="120" w:line="360"/>
      </w:pPr>
      <w:r>
        <w:rPr>
          <w:b/>
          <w:bCs/>
        </w:rPr>
        <w:t xml:space="preserve">"Owner"</w:t>
      </w:r>
      <w:r>
        <w:t xml:space="preserve"> means any homeowner registered on the Platform who wishes to sell their property.</w:t>
      </w:r>
    </w:p>
    <w:p>
      <w:pPr>
        <w:spacing w:before="120" w:line="360"/>
      </w:pPr>
      <w:r>
        <w:rPr>
          <w:b/>
          <w:bCs/>
        </w:rPr>
        <w:t xml:space="preserve">"Platform"</w:t>
      </w:r>
      <w:r>
        <w:t xml:space="preserve"> means the Yalla.House service, including the website, Agent Dashboard, and all associated systems and communications.</w:t>
      </w:r>
    </w:p>
    <w:p>
      <w:pPr>
        <w:spacing w:before="120" w:line="360"/>
      </w:pPr>
      <w:r>
        <w:rPr>
          <w:b/>
          <w:bCs/>
        </w:rPr>
        <w:t xml:space="preserve">"Proposal"</w:t>
      </w:r>
      <w:r>
        <w:t xml:space="preserve"> means a formal submission by the Agent in response to a Brief, containing the Agent's Commission percentage, valuation, sales strategy, and proposed timeline.</w:t>
      </w:r>
    </w:p>
    <w:p>
      <w:pPr>
        <w:spacing w:before="120" w:line="360"/>
      </w:pPr>
      <w:r>
        <w:rPr>
          <w:b/>
          <w:bCs/>
        </w:rPr>
        <w:t xml:space="preserve">"Transaction"</w:t>
      </w:r>
      <w:r>
        <w:t xml:space="preserve"> means a property sale that originates from a Brief received through the Platform.</w:t>
      </w:r>
    </w:p>
    <w:p>
      <w:pPr>
        <w:pStyle w:val="Heading1"/>
      </w:pPr>
      <w:r>
        <w:t xml:space="preserve">2. Platform Access and Registration</w:t>
      </w:r>
    </w:p>
    <w:p>
      <w:pPr>
        <w:pStyle w:val="Heading2"/>
      </w:pPr>
      <w:r>
        <w:t xml:space="preserve">2.1 Free Registration</w:t>
      </w:r>
    </w:p>
    <w:p>
      <w:pPr>
        <w:spacing w:line="360"/>
      </w:pPr>
      <w:r>
        <w:t xml:space="preserve">The Agent may register on the Platform free of charge. Registration entitles the Agent to:</w:t>
      </w:r>
    </w:p>
    <w:p>
      <w:pPr>
        <w:pStyle w:val="ListParagraph"/>
        <w:numPr>
          <w:ilvl w:val="0"/>
          <w:numId w:val="3"/>
        </w:numPr>
        <w:spacing w:line="360"/>
      </w:pPr>
      <w:r>
        <w:t xml:space="preserve">Receive and review property Briefs from Owners;</w:t>
      </w:r>
    </w:p>
    <w:p>
      <w:pPr>
        <w:pStyle w:val="ListParagraph"/>
        <w:numPr>
          <w:ilvl w:val="0"/>
          <w:numId w:val="3"/>
        </w:numPr>
        <w:spacing w:line="360"/>
      </w:pPr>
      <w:r>
        <w:t xml:space="preserve">Submit Proposals in response to Briefs;</w:t>
      </w:r>
    </w:p>
    <w:p>
      <w:pPr>
        <w:pStyle w:val="ListParagraph"/>
        <w:numPr>
          <w:ilvl w:val="0"/>
          <w:numId w:val="3"/>
        </w:numPr>
        <w:spacing w:line="360"/>
      </w:pPr>
      <w:r>
        <w:t xml:space="preserve">Communicate with Owners through the Platform messaging system.</w:t>
      </w:r>
    </w:p>
    <w:p>
      <w:pPr>
        <w:pStyle w:val="Heading2"/>
      </w:pPr>
      <w:r>
        <w:t xml:space="preserve">2.2 Required Information</w:t>
      </w:r>
    </w:p>
    <w:p>
      <w:pPr>
        <w:spacing w:line="360"/>
      </w:pPr>
      <w:r>
        <w:t xml:space="preserve">To register, the Agent must provide:</w:t>
      </w:r>
    </w:p>
    <w:p>
      <w:pPr>
        <w:pStyle w:val="ListParagraph"/>
        <w:numPr>
          <w:ilvl w:val="0"/>
          <w:numId w:val="3"/>
        </w:numPr>
        <w:spacing w:line="360"/>
      </w:pPr>
      <w:r>
        <w:t xml:space="preserve">Agency name and registration details (FCA regulation number or equivalent);</w:t>
      </w:r>
    </w:p>
    <w:p>
      <w:pPr>
        <w:pStyle w:val="ListParagraph"/>
        <w:numPr>
          <w:ilvl w:val="0"/>
          <w:numId w:val="3"/>
        </w:numPr>
        <w:spacing w:line="360"/>
      </w:pPr>
      <w:r>
        <w:t xml:space="preserve">Professional indemnity insurance certificate (current and valid);</w:t>
      </w:r>
    </w:p>
    <w:p>
      <w:pPr>
        <w:pStyle w:val="ListParagraph"/>
        <w:numPr>
          <w:ilvl w:val="0"/>
          <w:numId w:val="3"/>
        </w:numPr>
        <w:spacing w:line="360"/>
      </w:pPr>
      <w:r>
        <w:t xml:space="preserve">Proof of membership in a government-approved property redress scheme (TPO, NAEA, ARLA, or equivalent).</w:t>
      </w:r>
    </w:p>
    <w:p>
      <w:pPr>
        <w:pStyle w:val="Heading2"/>
      </w:pPr>
      <w:r>
        <w:t xml:space="preserve">2.3 Verification and Suspension</w:t>
      </w:r>
    </w:p>
    <w:p>
      <w:pPr>
        <w:spacing w:line="360"/>
      </w:pPr>
      <w:r>
        <w:t xml:space="preserve">The Platform reserves the right to verify the Agent's credentials before and during the term of this Agreement. The Platform may suspend or terminate the Agent's access if:</w:t>
      </w:r>
    </w:p>
    <w:p>
      <w:pPr>
        <w:pStyle w:val="ListParagraph"/>
        <w:numPr>
          <w:ilvl w:val="0"/>
          <w:numId w:val="3"/>
        </w:numPr>
        <w:spacing w:line="360"/>
      </w:pPr>
      <w:r>
        <w:t xml:space="preserve">The Agent's professional indemnity insurance has lapsed;</w:t>
      </w:r>
    </w:p>
    <w:p>
      <w:pPr>
        <w:pStyle w:val="ListParagraph"/>
        <w:numPr>
          <w:ilvl w:val="0"/>
          <w:numId w:val="3"/>
        </w:numPr>
        <w:spacing w:line="360"/>
      </w:pPr>
      <w:r>
        <w:t xml:space="preserve">The Agent's regulatory status has been compromised;</w:t>
      </w:r>
    </w:p>
    <w:p>
      <w:pPr>
        <w:pStyle w:val="ListParagraph"/>
        <w:numPr>
          <w:ilvl w:val="0"/>
          <w:numId w:val="3"/>
        </w:numPr>
        <w:spacing w:line="360"/>
      </w:pPr>
      <w:r>
        <w:t xml:space="preserve">The Agent breaches the terms of this Agreement.</w:t>
      </w:r>
    </w:p>
    <w:p>
      <w:pPr>
        <w:pageBreakBefore/>
      </w:pPr>
      <w:r>
        <w:t xml:space="preserve"/>
      </w:r>
    </w:p>
    <w:p>
      <w:pPr>
        <w:pStyle w:val="Heading1"/>
      </w:pPr>
      <w:r>
        <w:t xml:space="preserve">3. Non-Negotiable Platform Rules</w:t>
      </w:r>
    </w:p>
    <w:p>
      <w:pPr>
        <w:pStyle w:val="Heading2"/>
      </w:pPr>
      <w:r>
        <w:t xml:space="preserve">3.1 All Communication Must Occur Through the Platform</w:t>
      </w:r>
    </w:p>
    <w:p>
      <w:pPr>
        <w:spacing w:line="360"/>
      </w:pPr>
      <w:r>
        <w:t xml:space="preserve">The Agent acknowledges and agrees that </w:t>
      </w:r>
    </w:p>
    <w:p>
      <w:pPr>
        <w:spacing w:before="0" w:line="360"/>
      </w:pPr>
      <w:r>
        <w:rPr>
          <w:b/>
          <w:bCs/>
        </w:rPr>
        <w:t xml:space="preserve">ALL</w:t>
      </w:r>
      <w:r>
        <w:t xml:space="preserve"> communication between the Agent and the Owner must occur exclusively through the Platform's built-in messaging system, until a Connection has been established AND the Owner has explicitly shared their contact details through the Platform.</w:t>
      </w:r>
    </w:p>
    <w:p>
      <w:pPr>
        <w:spacing w:before="120" w:line="360"/>
      </w:pPr>
      <w:r>
        <w:t xml:space="preserve">The Agent shall NOT contact the Owner via:</w:t>
      </w:r>
    </w:p>
    <w:p>
      <w:pPr>
        <w:pStyle w:val="ListParagraph"/>
        <w:numPr>
          <w:ilvl w:val="0"/>
          <w:numId w:val="3"/>
        </w:numPr>
        <w:spacing w:line="360"/>
      </w:pPr>
      <w:r>
        <w:t xml:space="preserve">Direct email;</w:t>
      </w:r>
    </w:p>
    <w:p>
      <w:pPr>
        <w:pStyle w:val="ListParagraph"/>
        <w:numPr>
          <w:ilvl w:val="0"/>
          <w:numId w:val="3"/>
        </w:numPr>
        <w:spacing w:line="360"/>
      </w:pPr>
      <w:r>
        <w:t xml:space="preserve">Telephone or mobile;</w:t>
      </w:r>
    </w:p>
    <w:p>
      <w:pPr>
        <w:pStyle w:val="ListParagraph"/>
        <w:numPr>
          <w:ilvl w:val="0"/>
          <w:numId w:val="3"/>
        </w:numPr>
        <w:spacing w:line="360"/>
      </w:pPr>
      <w:r>
        <w:t xml:space="preserve">Social media (LinkedIn, Facebook, WhatsApp, etc.);</w:t>
      </w:r>
    </w:p>
    <w:p>
      <w:pPr>
        <w:pStyle w:val="ListParagraph"/>
        <w:numPr>
          <w:ilvl w:val="0"/>
          <w:numId w:val="3"/>
        </w:numPr>
        <w:spacing w:line="360"/>
      </w:pPr>
      <w:r>
        <w:t xml:space="preserve">Any other channel outside the Platform.</w:t>
      </w:r>
    </w:p>
    <w:p>
      <w:pPr>
        <w:spacing w:before="120" w:line="360"/>
      </w:pPr>
      <w:r>
        <w:t xml:space="preserve">Breach of this rule may result in immediate suspension of the Agent's account and forfeiture of Platform access. The Platform may also refer the Agent to their regulator.</w:t>
      </w:r>
    </w:p>
    <w:p>
      <w:pPr>
        <w:pStyle w:val="Heading2"/>
      </w:pPr>
      <w:r>
        <w:t xml:space="preserve">3.2 No Exclusive or Sole Agency Arrangements</w:t>
      </w:r>
    </w:p>
    <w:p>
      <w:pPr>
        <w:spacing w:line="360"/>
      </w:pPr>
      <w:r>
        <w:t xml:space="preserve">The Agent acknowledges that:</w:t>
      </w:r>
    </w:p>
    <w:p>
      <w:pPr>
        <w:pStyle w:val="ListParagraph"/>
        <w:numPr>
          <w:ilvl w:val="0"/>
          <w:numId w:val="3"/>
        </w:numPr>
        <w:spacing w:line="360"/>
      </w:pPr>
      <w:r>
        <w:t xml:space="preserve">Owners may send the same Brief to multiple Agents simultaneously;</w:t>
      </w:r>
    </w:p>
    <w:p>
      <w:pPr>
        <w:pStyle w:val="ListParagraph"/>
        <w:numPr>
          <w:ilvl w:val="0"/>
          <w:numId w:val="3"/>
        </w:numPr>
        <w:spacing w:line="360"/>
      </w:pPr>
      <w:r>
        <w:t xml:space="preserve">The Agent shall NOT request, suggest, require, or pressure the Owner into any form of exclusive listing agreement, sole agency, or lock-in arrangement;</w:t>
      </w:r>
    </w:p>
    <w:p>
      <w:pPr>
        <w:pStyle w:val="ListParagraph"/>
        <w:numPr>
          <w:ilvl w:val="0"/>
          <w:numId w:val="3"/>
        </w:numPr>
        <w:spacing w:line="360"/>
      </w:pPr>
      <w:r>
        <w:t xml:space="preserve">Any attempt to circumvent Platform competition rules or move the Owner "off platform" to avoid Platform fees is a material breach of this Agreement.</w:t>
      </w:r>
    </w:p>
    <w:p>
      <w:pPr>
        <w:pStyle w:val="Heading2"/>
      </w:pPr>
      <w:r>
        <w:t xml:space="preserve">3.3 Transparent Pricing</w:t>
      </w:r>
    </w:p>
    <w:p>
      <w:pPr>
        <w:spacing w:line="360"/>
      </w:pPr>
      <w:r>
        <w:t xml:space="preserve">Every Proposal submitted by the Agent must include:</w:t>
      </w:r>
    </w:p>
    <w:p>
      <w:pPr>
        <w:pStyle w:val="ListParagraph"/>
        <w:numPr>
          <w:ilvl w:val="0"/>
          <w:numId w:val="3"/>
        </w:numPr>
        <w:spacing w:line="360"/>
      </w:pPr>
      <w:r>
        <w:rPr>
          <w:b/>
          <w:bCs/>
        </w:rPr>
        <w:t xml:space="preserve">Agent Commission percentage clearly stated</w:t>
      </w:r>
      <w:r>
        <w:t xml:space="preserve"> (e.g., "2.5% of sale price");</w:t>
      </w:r>
    </w:p>
    <w:p>
      <w:pPr>
        <w:pStyle w:val="ListParagraph"/>
        <w:numPr>
          <w:ilvl w:val="0"/>
          <w:numId w:val="3"/>
        </w:numPr>
        <w:spacing w:line="360"/>
      </w:pPr>
      <w:r>
        <w:t xml:space="preserve">A complete breakdown of any additional charges (if applicable).</w:t>
      </w:r>
    </w:p>
    <w:p>
      <w:pPr>
        <w:spacing w:before="120" w:line="360"/>
      </w:pPr>
      <w:r>
        <w:t xml:space="preserve">The Agent shall NOT:</w:t>
      </w:r>
    </w:p>
    <w:p>
      <w:pPr>
        <w:pStyle w:val="ListParagraph"/>
        <w:numPr>
          <w:ilvl w:val="0"/>
          <w:numId w:val="3"/>
        </w:numPr>
        <w:spacing w:line="360"/>
      </w:pPr>
      <w:r>
        <w:t xml:space="preserve">Add hidden fees, marketing levies, or administrative charges after the Proposal has been submitted;</w:t>
      </w:r>
    </w:p>
    <w:p>
      <w:pPr>
        <w:pStyle w:val="ListParagraph"/>
        <w:numPr>
          <w:ilvl w:val="0"/>
          <w:numId w:val="3"/>
        </w:numPr>
        <w:spacing w:line="360"/>
      </w:pPr>
      <w:r>
        <w:t xml:space="preserve">Alter the Commission percentage after the Owner has accepted the Proposal, unless the Owner explicitly agrees in writing through the Platform.</w:t>
      </w:r>
    </w:p>
    <w:p>
      <w:pPr>
        <w:pStyle w:val="Heading2"/>
      </w:pPr>
      <w:r>
        <w:t xml:space="preserve">3.4 Owner Identity Protection</w:t>
      </w:r>
    </w:p>
    <w:p>
      <w:pPr>
        <w:spacing w:line="360"/>
      </w:pPr>
      <w:r>
        <w:t xml:space="preserve">The Agent acknowledges that Owner personal information (name, email, phone number, residential address) is </w:t>
      </w:r>
    </w:p>
    <w:p>
      <w:pPr>
        <w:spacing w:before="0" w:line="360"/>
      </w:pPr>
      <w:r>
        <w:rPr>
          <w:b/>
          <w:bCs/>
        </w:rPr>
        <w:t xml:space="preserve">not disclosed</w:t>
      </w:r>
      <w:r>
        <w:t xml:space="preserve"> until the Owner initiates a Connection with the Agent.</w:t>
      </w:r>
    </w:p>
    <w:p>
      <w:pPr>
        <w:spacing w:before="120" w:line="360"/>
      </w:pPr>
      <w:r>
        <w:t xml:space="preserve">The Agent shall NOT attempt to identify the Owner through:</w:t>
      </w:r>
    </w:p>
    <w:p>
      <w:pPr>
        <w:pStyle w:val="ListParagraph"/>
        <w:numPr>
          <w:ilvl w:val="0"/>
          <w:numId w:val="3"/>
        </w:numPr>
        <w:spacing w:line="360"/>
      </w:pPr>
      <w:r>
        <w:t xml:space="preserve">Land Registry lookups;</w:t>
      </w:r>
    </w:p>
    <w:p>
      <w:pPr>
        <w:pStyle w:val="ListParagraph"/>
        <w:numPr>
          <w:ilvl w:val="0"/>
          <w:numId w:val="3"/>
        </w:numPr>
        <w:spacing w:line="360"/>
      </w:pPr>
      <w:r>
        <w:t xml:space="preserve">Property database searches;</w:t>
      </w:r>
    </w:p>
    <w:p>
      <w:pPr>
        <w:pStyle w:val="ListParagraph"/>
        <w:numPr>
          <w:ilvl w:val="0"/>
          <w:numId w:val="3"/>
        </w:numPr>
        <w:spacing w:line="360"/>
      </w:pPr>
      <w:r>
        <w:t xml:space="preserve">Social media research or reverse image searches;</w:t>
      </w:r>
    </w:p>
    <w:p>
      <w:pPr>
        <w:pStyle w:val="ListParagraph"/>
        <w:numPr>
          <w:ilvl w:val="0"/>
          <w:numId w:val="3"/>
        </w:numPr>
        <w:spacing w:line="360"/>
      </w:pPr>
      <w:r>
        <w:t xml:space="preserve">Any other means.</w:t>
      </w:r>
    </w:p>
    <w:p>
      <w:pPr>
        <w:spacing w:before="120" w:line="360"/>
      </w:pPr>
      <w:r>
        <w:t xml:space="preserve">Any breach of this rule may result in immediate account suspension and regulatory referral.</w:t>
      </w:r>
    </w:p>
    <w:p>
      <w:pPr>
        <w:pStyle w:val="Heading2"/>
      </w:pPr>
      <w:r>
        <w:t xml:space="preserve">3.5 Performance Standards and Response Times</w:t>
      </w:r>
    </w:p>
    <w:p>
      <w:pPr>
        <w:spacing w:line="360"/>
      </w:pPr>
      <w:r>
        <w:t xml:space="preserve">The Agent agrees to respond to all Briefs within </w:t>
      </w:r>
    </w:p>
    <w:p>
      <w:pPr>
        <w:spacing w:before="0" w:line="360"/>
      </w:pPr>
      <w:r>
        <w:rPr>
          <w:b/>
          <w:bCs/>
        </w:rPr>
        <w:t xml:space="preserve">48 hours</w:t>
      </w:r>
      <w:r>
        <w:t xml:space="preserve"> of receipt. Failure to respond within this timeframe may result in the Brief being marked as "expired" and removed from the Agent's active queue.</w:t>
      </w:r>
    </w:p>
    <w:p>
      <w:pPr>
        <w:spacing w:before="120" w:line="360"/>
      </w:pPr>
      <w:r>
        <w:t xml:space="preserve">The Platform tracks and displays to Owners:</w:t>
      </w:r>
    </w:p>
    <w:p>
      <w:pPr>
        <w:pStyle w:val="ListParagraph"/>
        <w:numPr>
          <w:ilvl w:val="0"/>
          <w:numId w:val="3"/>
        </w:numPr>
        <w:spacing w:line="360"/>
      </w:pPr>
      <w:r>
        <w:t xml:space="preserve">Average response time to Briefs;</w:t>
      </w:r>
    </w:p>
    <w:p>
      <w:pPr>
        <w:pStyle w:val="ListParagraph"/>
        <w:numPr>
          <w:ilvl w:val="0"/>
          <w:numId w:val="3"/>
        </w:numPr>
        <w:spacing w:line="360"/>
      </w:pPr>
      <w:r>
        <w:t xml:space="preserve">Proposal submission rate;</w:t>
      </w:r>
    </w:p>
    <w:p>
      <w:pPr>
        <w:pStyle w:val="ListParagraph"/>
        <w:numPr>
          <w:ilvl w:val="0"/>
          <w:numId w:val="3"/>
        </w:numPr>
        <w:spacing w:line="360"/>
      </w:pPr>
      <w:r>
        <w:t xml:space="preserve">Engagement metrics and feedback from Owners.</w:t>
      </w:r>
    </w:p>
    <w:p>
      <w:pPr>
        <w:pStyle w:val="Heading1"/>
      </w:pPr>
      <w:r>
        <w:t xml:space="preserve">4. Proposals and Connections</w:t>
      </w:r>
    </w:p>
    <w:p>
      <w:pPr>
        <w:pStyle w:val="Heading2"/>
      </w:pPr>
      <w:r>
        <w:t xml:space="preserve">4.1 Proposal Submission</w:t>
      </w:r>
    </w:p>
    <w:p>
      <w:pPr>
        <w:spacing w:line="360"/>
      </w:pPr>
      <w:r>
        <w:t xml:space="preserve">In response to each Brief, the Agent may submit a Proposal containing:</w:t>
      </w:r>
    </w:p>
    <w:p>
      <w:pPr>
        <w:pStyle w:val="ListParagraph"/>
        <w:numPr>
          <w:ilvl w:val="0"/>
          <w:numId w:val="3"/>
        </w:numPr>
        <w:spacing w:line="360"/>
      </w:pPr>
      <w:r>
        <w:t xml:space="preserve">Proposed Commission (as a percentage of the final sale price);</w:t>
      </w:r>
    </w:p>
    <w:p>
      <w:pPr>
        <w:pStyle w:val="ListParagraph"/>
        <w:numPr>
          <w:ilvl w:val="0"/>
          <w:numId w:val="3"/>
        </w:numPr>
        <w:spacing w:line="360"/>
      </w:pPr>
      <w:r>
        <w:t xml:space="preserve">Estimated property valuation range;</w:t>
      </w:r>
    </w:p>
    <w:p>
      <w:pPr>
        <w:pStyle w:val="ListParagraph"/>
        <w:numPr>
          <w:ilvl w:val="0"/>
          <w:numId w:val="3"/>
        </w:numPr>
        <w:spacing w:line="360"/>
      </w:pPr>
      <w:r>
        <w:t xml:space="preserve">Proposed sales strategy and marketing approach;</w:t>
      </w:r>
    </w:p>
    <w:p>
      <w:pPr>
        <w:pStyle w:val="ListParagraph"/>
        <w:numPr>
          <w:ilvl w:val="0"/>
          <w:numId w:val="3"/>
        </w:numPr>
        <w:spacing w:line="360"/>
      </w:pPr>
      <w:r>
        <w:t xml:space="preserve">Estimated timeline to sale.</w:t>
      </w:r>
    </w:p>
    <w:p>
      <w:pPr>
        <w:pStyle w:val="Heading2"/>
      </w:pPr>
      <w:r>
        <w:t xml:space="preserve">4.2 Owner Review and Selection</w:t>
      </w:r>
    </w:p>
    <w:p>
      <w:pPr>
        <w:spacing w:line="360"/>
      </w:pPr>
      <w:r>
        <w:t xml:space="preserve">Owners review all submitted Proposals side-by-side in their dashboard. Owners may choose to connect with one or more Agents.</w:t>
      </w:r>
    </w:p>
    <w:p>
      <w:pPr>
        <w:pStyle w:val="Heading2"/>
      </w:pPr>
      <w:r>
        <w:t xml:space="preserve">4.3 Connection</w:t>
      </w:r>
    </w:p>
    <w:p>
      <w:pPr>
        <w:spacing w:line="360"/>
      </w:pPr>
      <w:r>
        <w:t xml:space="preserve">When an Owner selects the Agent's Proposal to move forward, a Connection is established. The Platform then releases the Owner's contact details to the Agent, allowing direct communication outside the Platform.</w:t>
      </w:r>
    </w:p>
    <w:p>
      <w:pPr>
        <w:spacing w:before="120" w:line="360"/>
      </w:pPr>
      <w:r>
        <w:t xml:space="preserve">A Connection Fee is payable by the Agent at this point (see Section 5).</w:t>
      </w:r>
    </w:p>
    <w:p>
      <w:pPr>
        <w:pStyle w:val="Heading1"/>
      </w:pPr>
      <w:r>
        <w:t xml:space="preserve">5. Service Fees</w:t>
      </w:r>
    </w:p>
    <w:p>
      <w:pPr>
        <w:pStyle w:val="Heading2"/>
      </w:pPr>
      <w:r>
        <w:t xml:space="preserve">5.1 Free Tier</w:t>
      </w:r>
    </w:p>
    <w:p>
      <w:pPr>
        <w:spacing w:line="360"/>
      </w:pPr>
      <w:r>
        <w:t xml:space="preserve">Registration, receiving Briefs, and submitting Proposals are provided free of charge.</w:t>
      </w:r>
    </w:p>
    <w:p>
      <w:pPr>
        <w:pStyle w:val="Heading2"/>
      </w:pPr>
      <w:r>
        <w:t xml:space="preserve">5.2 Connection Fee</w:t>
      </w:r>
    </w:p>
    <w:p>
      <w:pPr>
        <w:spacing w:line="360"/>
      </w:pPr>
      <w:r>
        <w:t xml:space="preserve">Each time an Owner initiates a Connection with the Agent, a Connection Fee of </w:t>
      </w:r>
    </w:p>
    <w:p>
      <w:pPr>
        <w:spacing w:before="0" w:line="360"/>
      </w:pPr>
      <w:r>
        <w:rPr>
          <w:b/>
          <w:bCs/>
        </w:rPr>
        <w:t xml:space="preserve">£199.00 + VAT</w:t>
      </w:r>
      <w:r>
        <w:t xml:space="preserve"> is payable by the Agent to the Platform.</w:t>
      </w:r>
    </w:p>
    <w:p>
      <w:pPr>
        <w:spacing w:before="120" w:line="360"/>
      </w:pPr>
      <w:r>
        <w:t xml:space="preserve">The Connection Fee is </w:t>
      </w:r>
    </w:p>
    <w:p>
      <w:pPr>
        <w:spacing w:before="0" w:line="360"/>
      </w:pPr>
      <w:r>
        <w:rPr>
          <w:b/>
          <w:bCs/>
        </w:rPr>
        <w:t xml:space="preserve">currently waived</w:t>
      </w:r>
      <w:r>
        <w:t xml:space="preserve"> during the launch period (first 12 months). The Platform will provide a minimum of 60 days' written notice before activating Connection Fees.</w:t>
      </w:r>
    </w:p>
    <w:p>
      <w:pPr>
        <w:pStyle w:val="Heading2"/>
      </w:pPr>
      <w:r>
        <w:t xml:space="preserve">5.3 Premium Subscription (Optional)</w:t>
      </w:r>
    </w:p>
    <w:p>
      <w:pPr>
        <w:spacing w:line="360"/>
      </w:pPr>
      <w:r>
        <w:t xml:space="preserve">The Agent may subscribe to Platform Premium for an optional fee of </w:t>
      </w:r>
    </w:p>
    <w:p>
      <w:pPr>
        <w:spacing w:before="0" w:line="360"/>
      </w:pPr>
      <w:r>
        <w:rPr>
          <w:b/>
          <w:bCs/>
        </w:rPr>
        <w:t xml:space="preserve">£99.00 + VAT per month</w:t>
      </w:r>
      <w:r>
        <w:t xml:space="preserve">. Premium includes:</w:t>
      </w:r>
    </w:p>
    <w:p>
      <w:pPr>
        <w:pStyle w:val="ListParagraph"/>
        <w:numPr>
          <w:ilvl w:val="0"/>
          <w:numId w:val="3"/>
        </w:numPr>
        <w:spacing w:line="360"/>
      </w:pPr>
      <w:r>
        <w:t xml:space="preserve">CRM integration and lead synchronisation;</w:t>
      </w:r>
    </w:p>
    <w:p>
      <w:pPr>
        <w:pStyle w:val="ListParagraph"/>
        <w:numPr>
          <w:ilvl w:val="0"/>
          <w:numId w:val="3"/>
        </w:numPr>
        <w:spacing w:line="360"/>
      </w:pPr>
      <w:r>
        <w:t xml:space="preserve">Advanced analytics and reporting dashboard;</w:t>
      </w:r>
    </w:p>
    <w:p>
      <w:pPr>
        <w:pStyle w:val="ListParagraph"/>
        <w:numPr>
          <w:ilvl w:val="0"/>
          <w:numId w:val="3"/>
        </w:numPr>
        <w:spacing w:line="360"/>
      </w:pPr>
      <w:r>
        <w:t xml:space="preserve">Priority placement in Owner search results;</w:t>
      </w:r>
    </w:p>
    <w:p>
      <w:pPr>
        <w:pStyle w:val="ListParagraph"/>
        <w:numPr>
          <w:ilvl w:val="0"/>
          <w:numId w:val="3"/>
        </w:numPr>
        <w:spacing w:line="360"/>
      </w:pPr>
      <w:r>
        <w:t xml:space="preserve">Automated matching and smart notifications.</w:t>
      </w:r>
    </w:p>
    <w:p>
      <w:pPr>
        <w:spacing w:before="120" w:line="360"/>
      </w:pPr>
      <w:r>
        <w:t xml:space="preserve">Either party may cancel Premium at any time with 30 days' written notice. No refunds are available for partially used months.</w:t>
      </w:r>
    </w:p>
    <w:p>
      <w:pPr>
        <w:pStyle w:val="Heading2"/>
      </w:pPr>
      <w:r>
        <w:t xml:space="preserve">5.4 Success Fee (Future)</w:t>
      </w:r>
    </w:p>
    <w:p>
      <w:pPr>
        <w:spacing w:line="360"/>
      </w:pPr>
      <w:r>
        <w:t xml:space="preserve">The Platform reserves the right to introduce a Success Fee of up to </w:t>
      </w:r>
    </w:p>
    <w:p>
      <w:pPr>
        <w:spacing w:before="0" w:line="360"/>
      </w:pPr>
      <w:r>
        <w:rPr>
          <w:b/>
          <w:bCs/>
        </w:rPr>
        <w:t xml:space="preserve">0.25% of the total Transaction value</w:t>
      </w:r>
      <w:r>
        <w:t xml:space="preserve"> on Transactions originating from Platform Briefs.</w:t>
      </w:r>
    </w:p>
    <w:p>
      <w:pPr>
        <w:spacing w:before="120" w:line="360"/>
      </w:pPr>
      <w:r>
        <w:t xml:space="preserve">Any Success Fee will be introduced with a minimum of </w:t>
      </w:r>
    </w:p>
    <w:p>
      <w:pPr>
        <w:spacing w:before="0" w:line="360"/>
      </w:pPr>
      <w:r>
        <w:rPr>
          <w:b/>
          <w:bCs/>
        </w:rPr>
        <w:t xml:space="preserve">90 days' written notice</w:t>
      </w:r>
      <w:r>
        <w:t xml:space="preserve"> and will apply only to Briefs received </w:t>
      </w:r>
    </w:p>
    <w:p>
      <w:pPr>
        <w:spacing w:before="0" w:line="360"/>
      </w:pPr>
      <w:r>
        <w:rPr>
          <w:b/>
          <w:bCs/>
        </w:rPr>
        <w:t xml:space="preserve">after</w:t>
      </w:r>
      <w:r>
        <w:t xml:space="preserve"> the notice period has expired.</w:t>
      </w:r>
    </w:p>
    <w:p>
      <w:pPr>
        <w:pStyle w:val="Heading1"/>
      </w:pPr>
      <w:r>
        <w:t xml:space="preserve">6. Data and Privacy</w:t>
      </w:r>
    </w:p>
    <w:p>
      <w:pPr>
        <w:spacing w:line="360"/>
      </w:pPr>
      <w:r>
        <w:t xml:space="preserve">6.1 All Agent data is processed in accordance with the UK General Data Protection Regulation (GDPR) and the Data Protection Act 2018.</w:t>
      </w:r>
    </w:p>
    <w:p>
      <w:pPr>
        <w:spacing w:before="120" w:line="360"/>
      </w:pPr>
      <w:r>
        <w:t xml:space="preserve">6.2 The Agent consents to their performance metrics being displayed to Owners in real-time, including:</w:t>
      </w:r>
    </w:p>
    <w:p>
      <w:pPr>
        <w:pStyle w:val="ListParagraph"/>
        <w:numPr>
          <w:ilvl w:val="0"/>
          <w:numId w:val="3"/>
        </w:numPr>
        <w:spacing w:line="360"/>
      </w:pPr>
      <w:r>
        <w:t xml:space="preserve">Response time to Briefs;</w:t>
      </w:r>
    </w:p>
    <w:p>
      <w:pPr>
        <w:pStyle w:val="ListParagraph"/>
        <w:numPr>
          <w:ilvl w:val="0"/>
          <w:numId w:val="3"/>
        </w:numPr>
        <w:spacing w:line="360"/>
      </w:pPr>
      <w:r>
        <w:t xml:space="preserve">Number of Proposals submitted;</w:t>
      </w:r>
    </w:p>
    <w:p>
      <w:pPr>
        <w:pStyle w:val="ListParagraph"/>
        <w:numPr>
          <w:ilvl w:val="0"/>
          <w:numId w:val="3"/>
        </w:numPr>
        <w:spacing w:line="360"/>
      </w:pPr>
      <w:r>
        <w:t xml:space="preserve">Connection rate and Owner feedback ratings.</w:t>
      </w:r>
    </w:p>
    <w:p>
      <w:pPr>
        <w:spacing w:before="120" w:line="360"/>
      </w:pPr>
      <w:r>
        <w:t xml:space="preserve">6.3 The Commission percentage and other commercial terms in each Proposal are visible only to the relevant Owner, not to competing Agents.</w:t>
      </w:r>
    </w:p>
    <w:p>
      <w:pPr>
        <w:spacing w:before="120" w:line="360"/>
      </w:pPr>
      <w:r>
        <w:t xml:space="preserve">6.4 The Platform may aggregate and anonymise Agent data for market research and analytics purposes. No individual agent is identified in such reports.</w:t>
      </w:r>
    </w:p>
    <w:p>
      <w:pPr>
        <w:pStyle w:val="Heading1"/>
      </w:pPr>
      <w:r>
        <w:t xml:space="preserve">7. CRM Integration</w:t>
      </w:r>
    </w:p>
    <w:p>
      <w:pPr>
        <w:spacing w:line="360"/>
      </w:pPr>
      <w:r>
        <w:t xml:space="preserve">7.1 CRM Integration is available to Premium subscribers only.</w:t>
      </w:r>
    </w:p>
    <w:p>
      <w:pPr>
        <w:spacing w:before="120" w:line="360"/>
      </w:pPr>
      <w:r>
        <w:t xml:space="preserve">7.2 The Platform integrates with major CRM systems (Reapit, Alto, Xpressdocs, etc.). The Agent specifies their preferred CRM system when subscribing to Premium.</w:t>
      </w:r>
    </w:p>
    <w:p>
      <w:pPr>
        <w:spacing w:before="120" w:line="360"/>
      </w:pPr>
      <w:r>
        <w:t xml:space="preserve">7.3 Lead data from Connections is automatically pushed to the Agent's CRM system. Status updates from the Agent's CRM sync back to the Platform in real-time.</w:t>
      </w:r>
    </w:p>
    <w:p>
      <w:pPr>
        <w:spacing w:before="120" w:line="360"/>
      </w:pPr>
      <w:r>
        <w:t xml:space="preserve">7.4 Owner contact details are ONLY pushed to the Agent's CRM after a Connection has been established and the Owner has explicitly shared their details.</w:t>
      </w:r>
    </w:p>
    <w:p>
      <w:pPr>
        <w:spacing w:before="120" w:line="360"/>
      </w:pPr>
      <w:r>
        <w:t xml:space="preserve">7.5 The Agent is solely responsible for data security within their own CRM system. The Platform has no liability for CRM data breaches, unauthorised access, or misuse of Owner data within the Agent's systems.</w:t>
      </w:r>
    </w:p>
    <w:p>
      <w:pPr>
        <w:spacing w:before="120" w:line="360"/>
      </w:pPr>
      <w:r>
        <w:t xml:space="preserve">7.6 The Platform may suspend CRM Integration if the Agent breaches the communication rules in Section 3.1 or uses Owner data inappropriately.</w:t>
      </w:r>
    </w:p>
    <w:p>
      <w:pPr>
        <w:pStyle w:val="Heading1"/>
      </w:pPr>
      <w:r>
        <w:t xml:space="preserve">8. Intellectual Property</w:t>
      </w:r>
    </w:p>
    <w:p>
      <w:pPr>
        <w:spacing w:line="360"/>
      </w:pPr>
      <w:r>
        <w:t xml:space="preserve">8.1 All property photographs, descriptions, and other content uploaded by Owners remain the exclusive intellectual property of the Owner. The Platform grants the Agent a limited license to view and use such content solely for the purpose of preparing and submitting a Proposal in response to the relevant Brief.</w:t>
      </w:r>
    </w:p>
    <w:p>
      <w:pPr>
        <w:spacing w:before="120" w:line="360"/>
      </w:pPr>
      <w:r>
        <w:t xml:space="preserve">8.2 The Agent shall NOT:</w:t>
      </w:r>
    </w:p>
    <w:p>
      <w:pPr>
        <w:pStyle w:val="ListParagraph"/>
        <w:numPr>
          <w:ilvl w:val="0"/>
          <w:numId w:val="3"/>
        </w:numPr>
        <w:spacing w:line="360"/>
      </w:pPr>
      <w:r>
        <w:t xml:space="preserve">Use Owner content for social media marketing or promotional purposes;</w:t>
      </w:r>
    </w:p>
    <w:p>
      <w:pPr>
        <w:pStyle w:val="ListParagraph"/>
        <w:numPr>
          <w:ilvl w:val="0"/>
          <w:numId w:val="3"/>
        </w:numPr>
        <w:spacing w:line="360"/>
      </w:pPr>
      <w:r>
        <w:t xml:space="preserve">Repurpose or republish Owner photographs or descriptions on other websites or portals (e.g., Rightmove, Zoopla) without the Owner's explicit written consent;</w:t>
      </w:r>
    </w:p>
    <w:p>
      <w:pPr>
        <w:pStyle w:val="ListParagraph"/>
        <w:numPr>
          <w:ilvl w:val="0"/>
          <w:numId w:val="3"/>
        </w:numPr>
        <w:spacing w:line="360"/>
      </w:pPr>
      <w:r>
        <w:t xml:space="preserve">Use Owner content for any purpose outside the scope of preparing a Proposal for the relevant property.</w:t>
      </w:r>
    </w:p>
    <w:p>
      <w:pPr>
        <w:spacing w:before="120" w:line="360"/>
      </w:pPr>
      <w:r>
        <w:t xml:space="preserve">8.3 All Platform intellectual property (website design, dashboard interface, algorithms, branding) remains the exclusive property of Yalla.House Ltd.</w:t>
      </w:r>
    </w:p>
    <w:p>
      <w:pPr>
        <w:pageBreakBefore/>
      </w:pPr>
      <w:r>
        <w:t xml:space="preserve"/>
      </w:r>
    </w:p>
    <w:p>
      <w:pPr>
        <w:pStyle w:val="Heading1"/>
      </w:pPr>
      <w:r>
        <w:t xml:space="preserve">9. Termination</w:t>
      </w:r>
    </w:p>
    <w:p>
      <w:pPr>
        <w:spacing w:line="360"/>
      </w:pPr>
      <w:r>
        <w:t xml:space="preserve">9.1 Termination for Convenience: Either party may terminate this Agreement with 30 days' written notice to the other party.</w:t>
      </w:r>
    </w:p>
    <w:p>
      <w:pPr>
        <w:spacing w:before="120" w:line="360"/>
      </w:pPr>
      <w:r>
        <w:t xml:space="preserve">9.2 Termination for Cause: The Platform may terminate this Agreement immediately (without notice) if the Agent:</w:t>
      </w:r>
    </w:p>
    <w:p>
      <w:pPr>
        <w:pStyle w:val="ListParagraph"/>
        <w:numPr>
          <w:ilvl w:val="0"/>
          <w:numId w:val="3"/>
        </w:numPr>
        <w:spacing w:line="360"/>
      </w:pPr>
      <w:r>
        <w:t xml:space="preserve">Breaches Section 3 (Non-Negotiable Platform Rules);</w:t>
      </w:r>
    </w:p>
    <w:p>
      <w:pPr>
        <w:pStyle w:val="ListParagraph"/>
        <w:numPr>
          <w:ilvl w:val="0"/>
          <w:numId w:val="3"/>
        </w:numPr>
        <w:spacing w:line="360"/>
      </w:pPr>
      <w:r>
        <w:t xml:space="preserve">Fails to maintain valid professional indemnity insurance or regulatory status;</w:t>
      </w:r>
    </w:p>
    <w:p>
      <w:pPr>
        <w:pStyle w:val="ListParagraph"/>
        <w:numPr>
          <w:ilvl w:val="0"/>
          <w:numId w:val="3"/>
        </w:numPr>
        <w:spacing w:line="360"/>
      </w:pPr>
      <w:r>
        <w:t xml:space="preserve">Engages in illegal activity or misuse of Owner data;</w:t>
      </w:r>
    </w:p>
    <w:p>
      <w:pPr>
        <w:pStyle w:val="ListParagraph"/>
        <w:numPr>
          <w:ilvl w:val="0"/>
          <w:numId w:val="3"/>
        </w:numPr>
        <w:spacing w:line="360"/>
      </w:pPr>
      <w:r>
        <w:t xml:space="preserve">Violates intellectual property rights.</w:t>
      </w:r>
    </w:p>
    <w:p>
      <w:pPr>
        <w:spacing w:before="120" w:line="360"/>
      </w:pPr>
      <w:r>
        <w:t xml:space="preserve">9.3 Effect of Termination: Upon termination or expiration of this Agreement:</w:t>
      </w:r>
    </w:p>
    <w:p>
      <w:pPr>
        <w:pStyle w:val="ListParagraph"/>
        <w:numPr>
          <w:ilvl w:val="0"/>
          <w:numId w:val="3"/>
        </w:numPr>
        <w:spacing w:line="360"/>
      </w:pPr>
      <w:r>
        <w:t xml:space="preserve">The Agent immediately loses access to all Briefs, Proposals, and Owner communications;</w:t>
      </w:r>
    </w:p>
    <w:p>
      <w:pPr>
        <w:pStyle w:val="ListParagraph"/>
        <w:numPr>
          <w:ilvl w:val="0"/>
          <w:numId w:val="3"/>
        </w:numPr>
        <w:spacing w:line="360"/>
      </w:pPr>
      <w:r>
        <w:t xml:space="preserve">Any outstanding Connection Fees and Premium subscription fees remain payable;</w:t>
      </w:r>
    </w:p>
    <w:p>
      <w:pPr>
        <w:pStyle w:val="ListParagraph"/>
        <w:numPr>
          <w:ilvl w:val="0"/>
          <w:numId w:val="3"/>
        </w:numPr>
        <w:spacing w:line="360"/>
      </w:pPr>
      <w:r>
        <w:t xml:space="preserve">The Agent's dashboard login is deactivated.</w:t>
      </w:r>
    </w:p>
    <w:p>
      <w:pPr>
        <w:spacing w:before="120" w:line="360"/>
      </w:pPr>
      <w:r>
        <w:t xml:space="preserve">9.4 Data Retention: Agent data is retained for 6 years in accordance with regulatory requirements, then securely deleted.</w:t>
      </w:r>
    </w:p>
    <w:p>
      <w:pPr>
        <w:pStyle w:val="Heading1"/>
      </w:pPr>
      <w:r>
        <w:t xml:space="preserve">10. Liability and Indemnity</w:t>
      </w:r>
    </w:p>
    <w:p>
      <w:pPr>
        <w:spacing w:line="360"/>
      </w:pPr>
      <w:r>
        <w:t xml:space="preserve">10.1 The Platform acts as an intermediary only and does not guarantee the sale of any property. The Agent acknowledges that the Platform is not responsible for the valuation, condition, or eventual sale price of any property.</w:t>
      </w:r>
    </w:p>
    <w:p>
      <w:pPr>
        <w:spacing w:before="120" w:line="360"/>
      </w:pPr>
      <w:r>
        <w:t xml:space="preserve">10.2 The Agent indemnifies and holds harmless the Platform from any claims, losses, or damages arising from:</w:t>
      </w:r>
    </w:p>
    <w:p>
      <w:pPr>
        <w:pStyle w:val="ListParagraph"/>
        <w:numPr>
          <w:ilvl w:val="0"/>
          <w:numId w:val="3"/>
        </w:numPr>
        <w:spacing w:line="360"/>
      </w:pPr>
      <w:r>
        <w:t xml:space="preserve">The Agent's professional negligence or misconduct;</w:t>
      </w:r>
    </w:p>
    <w:p>
      <w:pPr>
        <w:pStyle w:val="ListParagraph"/>
        <w:numPr>
          <w:ilvl w:val="0"/>
          <w:numId w:val="3"/>
        </w:numPr>
        <w:spacing w:line="360"/>
      </w:pPr>
      <w:r>
        <w:t xml:space="preserve">Misuse or breach of Owner data;</w:t>
      </w:r>
    </w:p>
    <w:p>
      <w:pPr>
        <w:pStyle w:val="ListParagraph"/>
        <w:numPr>
          <w:ilvl w:val="0"/>
          <w:numId w:val="3"/>
        </w:numPr>
        <w:spacing w:line="360"/>
      </w:pPr>
      <w:r>
        <w:t xml:space="preserve">Violation of applicable law or regulatory requirements.</w:t>
      </w:r>
    </w:p>
    <w:p>
      <w:pPr>
        <w:spacing w:before="120" w:line="360"/>
      </w:pPr>
      <w:r>
        <w:t xml:space="preserve">10.3 The Platform's total liability to the Agent shall not exceed the fees paid by the Agent to the Platform in the preceding 12 months.</w:t>
      </w:r>
    </w:p>
    <w:p>
      <w:pPr>
        <w:spacing w:before="120" w:line="360"/>
      </w:pPr>
      <w:r>
        <w:t xml:space="preserve">10.4 Neither party is liable to the other for indirect, consequential, punitive, or special damages, including loss of profits or data, even if advised of the possibility of such damages.</w:t>
      </w:r>
    </w:p>
    <w:p>
      <w:pPr>
        <w:pStyle w:val="Heading1"/>
      </w:pPr>
      <w:r>
        <w:t xml:space="preserve">11. Dispute Resolution</w:t>
      </w:r>
    </w:p>
    <w:p>
      <w:pPr>
        <w:spacing w:line="360"/>
      </w:pPr>
      <w:r>
        <w:t xml:space="preserve">11.1 Good Faith Negotiation: If a dispute arises, the parties shall attempt to resolve it through good faith negotiation within 14 days of notice.</w:t>
      </w:r>
    </w:p>
    <w:p>
      <w:pPr>
        <w:spacing w:before="120" w:line="360"/>
      </w:pPr>
      <w:r>
        <w:t xml:space="preserve">11.2 Mediation: If negotiation fails, either party may refer the dispute to mediation via the Centre for Effective Dispute Resolution (CEDR). Both parties agree to participate in good faith in a single mediation session.</w:t>
      </w:r>
    </w:p>
    <w:p>
      <w:pPr>
        <w:spacing w:before="120" w:line="360"/>
      </w:pPr>
      <w:r>
        <w:t xml:space="preserve">11.3 Jurisdiction: This Agreement is governed by the laws of England and Wales. The courts of England and Wales have exclusive jurisdiction over any legal proceedings arising from this Agreement.</w:t>
      </w:r>
    </w:p>
    <w:p>
      <w:pPr>
        <w:pStyle w:val="Heading1"/>
      </w:pPr>
      <w:r>
        <w:t xml:space="preserve">12. General Provisions</w:t>
      </w:r>
    </w:p>
    <w:p>
      <w:pPr>
        <w:spacing w:line="360"/>
      </w:pPr>
      <w:r>
        <w:t xml:space="preserve">12.1 Entire Agreement: This Agreement (including any Schedules) constitutes the entire agreement between the parties and supersedes all prior negotiations, representations, and agreements.</w:t>
      </w:r>
    </w:p>
    <w:p>
      <w:pPr>
        <w:spacing w:before="120" w:line="360"/>
      </w:pPr>
      <w:r>
        <w:t xml:space="preserve">12.2 Severability: If any provision of this Agreement is found to be invalid or unenforceable, that provision shall be modified to the minimum extent necessary to make it valid, or if not possible, severed, and the remaining provisions shall continue in full force and effect.</w:t>
      </w:r>
    </w:p>
    <w:p>
      <w:pPr>
        <w:spacing w:before="120" w:line="360"/>
      </w:pPr>
      <w:r>
        <w:t xml:space="preserve">12.3 No Waiver: The failure of either party to enforce any right or provision shall not constitute a waiver of that right or provision. Any waiver must be in writing and signed by the waiving party.</w:t>
      </w:r>
    </w:p>
    <w:p>
      <w:pPr>
        <w:spacing w:before="120" w:line="360"/>
      </w:pPr>
      <w:r>
        <w:t xml:space="preserve">12.4 Assignment: The Platform may assign this Agreement to any third party, including a parent company, subsidiary, or any legal successor, upon written notice. The Agent may not assign this Agreement without the Platform's prior written consent.</w:t>
      </w:r>
    </w:p>
    <w:p>
      <w:pPr>
        <w:spacing w:before="120" w:line="360"/>
      </w:pPr>
      <w:r>
        <w:t xml:space="preserve">12.5 Notice: All notices shall be in writing and delivered via Platform messaging or email to the registered address provided at registration. Notices are effective when received.</w:t>
      </w:r>
    </w:p>
    <w:p>
      <w:pPr>
        <w:spacing w:before="120" w:line="360"/>
      </w:pPr>
      <w:r>
        <w:t xml:space="preserve">12.6 Amendments: Any material amendments to this Agreement require a minimum of 60 days' written notice to the Agent. Continued use of the Platform after the notice period constitutes acceptance of the amended terms.</w:t>
      </w:r>
    </w:p>
    <w:p>
      <w:pPr>
        <w:pageBreakBefore/>
      </w:pPr>
      <w:r>
        <w:t xml:space="preserve"/>
      </w:r>
    </w:p>
    <w:p>
      <w:pPr>
        <w:pStyle w:val="Heading1"/>
        <w:spacing w:before="400"/>
      </w:pPr>
      <w:r>
        <w:t xml:space="preserve">Signature Page</w:t>
      </w:r>
    </w:p>
    <w:p>
      <w:pPr>
        <w:spacing w:before="300" w:line="360"/>
      </w:pPr>
      <w:r>
        <w:t xml:space="preserve">In witness whereof the parties have executed this Agreement as of the date first written above.</w:t>
      </w:r>
    </w:p>
    <w:p>
      <w:pPr>
        <w:spacing w:before="400" w:line="360"/>
      </w:pPr>
      <w:r>
        <w:rPr>
          <w:b/>
          <w:bCs/>
        </w:rPr>
        <w:t xml:space="preserve">FOR AND ON BEHALF OF YALLA.HOUSE LTD:</w:t>
      </w:r>
    </w:p>
    <w:p>
      <w:pPr>
        <w:spacing w:before="280" w:line="360"/>
      </w:pPr>
      <w:r>
        <w:t xml:space="preserve">______________________________________________________________________</w:t>
      </w:r>
    </w:p>
    <w:p>
      <w:pPr>
        <w:spacing w:before="40" w:line="360"/>
      </w:pPr>
      <w:r>
        <w:t xml:space="preserve">Authorised Signatory</w:t>
      </w:r>
    </w:p>
    <w:p>
      <w:pPr>
        <w:spacing w:before="200" w:line="360"/>
      </w:pPr>
      <w:r>
        <w:t xml:space="preserve">Name (print): __________________________________________________</w:t>
      </w:r>
    </w:p>
    <w:p>
      <w:pPr>
        <w:spacing w:before="120" w:line="360"/>
      </w:pPr>
      <w:r>
        <w:t xml:space="preserve">Title: ____________________________________________________________</w:t>
      </w:r>
    </w:p>
    <w:p>
      <w:pPr>
        <w:spacing w:before="120" w:line="360"/>
      </w:pPr>
      <w:r>
        <w:t xml:space="preserve">Date: ____________________________________________________________</w:t>
      </w:r>
    </w:p>
    <w:p>
      <w:pPr>
        <w:spacing w:before="400" w:line="360"/>
      </w:pPr>
      <w:r>
        <w:rPr>
          <w:b/>
          <w:bCs/>
        </w:rPr>
        <w:t xml:space="preserve">FOR AND ON BEHALF OF THE AGENT:</w:t>
      </w:r>
    </w:p>
    <w:p>
      <w:pPr>
        <w:spacing w:before="280" w:line="360"/>
      </w:pPr>
      <w:r>
        <w:t xml:space="preserve">______________________________________________________________________</w:t>
      </w:r>
    </w:p>
    <w:p>
      <w:pPr>
        <w:spacing w:before="40" w:line="360"/>
      </w:pPr>
      <w:r>
        <w:t xml:space="preserve">Authorised Signatory</w:t>
      </w:r>
    </w:p>
    <w:p>
      <w:pPr>
        <w:spacing w:before="200" w:line="360"/>
      </w:pPr>
      <w:r>
        <w:t xml:space="preserve">Agency Name: __________________________________________________</w:t>
      </w:r>
    </w:p>
    <w:p>
      <w:pPr>
        <w:spacing w:before="120" w:line="360"/>
      </w:pPr>
      <w:r>
        <w:t xml:space="preserve">Name (print): __________________________________________________</w:t>
      </w:r>
    </w:p>
    <w:p>
      <w:pPr>
        <w:spacing w:before="120" w:line="360"/>
      </w:pPr>
      <w:r>
        <w:t xml:space="preserve">Title: ____________________________________________________________</w:t>
      </w:r>
    </w:p>
    <w:p>
      <w:pPr>
        <w:spacing w:before="120" w:line="360"/>
      </w:pPr>
      <w:r>
        <w:t xml:space="preserve">Date: ____________________________________________________________</w:t>
      </w:r>
    </w:p>
    <w:p>
      <w:pPr>
        <w:pageBreakBefore/>
      </w:pPr>
      <w:r>
        <w:t xml:space="preserve"/>
      </w:r>
    </w:p>
    <w:p>
      <w:pPr>
        <w:pStyle w:val="Heading1"/>
      </w:pPr>
      <w:r>
        <w:t xml:space="preserve">Schedule 1 — Fee Schedule</w:t>
      </w:r>
    </w:p>
    <w:p>
      <w:pPr>
        <w:spacing w:after="2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26"/>
      </w:tblGrid>
      <w:tr>
        <w:tc>
          <w:tcPr>
            <w:tcW w:type="dxa" w:w="3800"/>
            <w:tcBorders>
              <w:top w:val="single" w:color="D8DBE5" w:sz="1"/>
              <w:left w:val="single" w:color="D8DBE5" w:sz="1"/>
              <w:bottom w:val="single" w:color="D8DBE5" w:sz="1"/>
              <w:right w:val="single" w:color="D8DBE5" w:sz="1"/>
            </w:tcBorders>
            <w:shd w:fill="D4764E" w:val="clear"/>
            <w:tcMar>
              <w:top w:type="dxa" w:w="80"/>
              <w:left w:type="dxa" w:w="120"/>
              <w:bottom w:type="dxa" w:w="80"/>
              <w:right w:type="dxa" w:w="120"/>
            </w:tcMar>
          </w:tcPr>
          <w:p>
            <w:r>
              <w:rPr>
                <w:b/>
                <w:bCs/>
                <w:color w:val="FFFFFF"/>
                <w:sz w:val="22"/>
                <w:szCs w:val="22"/>
              </w:rPr>
              <w:t xml:space="preserve">Service Tier</w:t>
            </w:r>
          </w:p>
        </w:tc>
        <w:tc>
          <w:tcPr>
            <w:tcW w:type="dxa" w:w="2600"/>
            <w:tcBorders>
              <w:top w:val="single" w:color="D8DBE5" w:sz="1"/>
              <w:left w:val="single" w:color="D8DBE5" w:sz="1"/>
              <w:bottom w:val="single" w:color="D8DBE5" w:sz="1"/>
              <w:right w:val="single" w:color="D8DBE5" w:sz="1"/>
            </w:tcBorders>
            <w:shd w:fill="D4764E" w:val="clear"/>
            <w:tcMar>
              <w:top w:type="dxa" w:w="80"/>
              <w:left w:type="dxa" w:w="120"/>
              <w:bottom w:type="dxa" w:w="80"/>
              <w:right w:type="dxa" w:w="120"/>
            </w:tcMar>
          </w:tcPr>
          <w:p>
            <w:r>
              <w:rPr>
                <w:b/>
                <w:bCs/>
                <w:color w:val="FFFFFF"/>
                <w:sz w:val="22"/>
                <w:szCs w:val="22"/>
              </w:rPr>
              <w:t xml:space="preserve">Fee (GBP)</w:t>
            </w:r>
          </w:p>
        </w:tc>
        <w:tc>
          <w:tcPr>
            <w:tcW w:type="dxa" w:w="2626"/>
            <w:tcBorders>
              <w:top w:val="single" w:color="D8DBE5" w:sz="1"/>
              <w:left w:val="single" w:color="D8DBE5" w:sz="1"/>
              <w:bottom w:val="single" w:color="D8DBE5" w:sz="1"/>
              <w:right w:val="single" w:color="D8DBE5" w:sz="1"/>
            </w:tcBorders>
            <w:shd w:fill="D4764E" w:val="clear"/>
            <w:tcMar>
              <w:top w:type="dxa" w:w="80"/>
              <w:left w:type="dxa" w:w="120"/>
              <w:bottom w:type="dxa" w:w="80"/>
              <w:right w:type="dxa" w:w="120"/>
            </w:tcMar>
          </w:tcPr>
          <w:p>
            <w:r>
              <w:rPr>
                <w:b/>
                <w:bCs/>
                <w:color w:val="FFFFFF"/>
                <w:sz w:val="22"/>
                <w:szCs w:val="22"/>
              </w:rPr>
              <w:t xml:space="preserve">Status</w:t>
            </w:r>
          </w:p>
        </w:tc>
      </w:tr>
      <w:tr>
        <w:tc>
          <w:tcPr>
            <w:tcW w:type="dxa" w:w="3800"/>
            <w:tcBorders>
              <w:top w:val="single" w:color="D8DBE5" w:sz="1"/>
              <w:left w:val="single" w:color="D8DBE5" w:sz="1"/>
              <w:bottom w:val="single" w:color="D8DBE5" w:sz="1"/>
              <w:right w:val="single" w:color="D8DBE5" w:sz="1"/>
            </w:tcBorders>
            <w:tcMar>
              <w:top w:type="dxa" w:w="80"/>
              <w:left w:type="dxa" w:w="120"/>
              <w:bottom w:type="dxa" w:w="80"/>
              <w:right w:type="dxa" w:w="120"/>
            </w:tcMar>
          </w:tcPr>
          <w:p>
            <w:r>
              <w:t xml:space="preserve">Free Tier</w:t>
            </w:r>
          </w:p>
        </w:tc>
        <w:tc>
          <w:tcPr>
            <w:tcW w:type="dxa" w:w="2600"/>
            <w:tcBorders>
              <w:top w:val="single" w:color="D8DBE5" w:sz="1"/>
              <w:left w:val="single" w:color="D8DBE5" w:sz="1"/>
              <w:bottom w:val="single" w:color="D8DBE5" w:sz="1"/>
              <w:right w:val="single" w:color="D8DBE5" w:sz="1"/>
            </w:tcBorders>
            <w:tcMar>
              <w:top w:type="dxa" w:w="80"/>
              <w:left w:type="dxa" w:w="120"/>
              <w:bottom w:type="dxa" w:w="80"/>
              <w:right w:type="dxa" w:w="120"/>
            </w:tcMar>
          </w:tcPr>
          <w:p>
            <w:r>
              <w:t xml:space="preserve">£0.00</w:t>
            </w:r>
          </w:p>
        </w:tc>
        <w:tc>
          <w:tcPr>
            <w:tcW w:type="dxa" w:w="2626"/>
            <w:tcBorders>
              <w:top w:val="single" w:color="D8DBE5" w:sz="1"/>
              <w:left w:val="single" w:color="D8DBE5" w:sz="1"/>
              <w:bottom w:val="single" w:color="D8DBE5" w:sz="1"/>
              <w:right w:val="single" w:color="D8DBE5" w:sz="1"/>
            </w:tcBorders>
            <w:tcMar>
              <w:top w:type="dxa" w:w="80"/>
              <w:left w:type="dxa" w:w="120"/>
              <w:bottom w:type="dxa" w:w="80"/>
              <w:right w:type="dxa" w:w="120"/>
            </w:tcMar>
          </w:tcPr>
          <w:p>
            <w:r>
              <w:t xml:space="preserve">Active</w:t>
            </w:r>
          </w:p>
        </w:tc>
      </w:tr>
      <w:tr>
        <w:tc>
          <w:tcPr>
            <w:tcW w:type="dxa" w:w="3800"/>
            <w:tcBorders>
              <w:top w:val="single" w:color="D8DBE5" w:sz="1"/>
              <w:left w:val="single" w:color="D8DBE5" w:sz="1"/>
              <w:bottom w:val="single" w:color="D8DBE5" w:sz="1"/>
              <w:right w:val="single" w:color="D8DBE5" w:sz="1"/>
            </w:tcBorders>
            <w:tcMar>
              <w:top w:type="dxa" w:w="80"/>
              <w:left w:type="dxa" w:w="120"/>
              <w:bottom w:type="dxa" w:w="80"/>
              <w:right w:type="dxa" w:w="120"/>
            </w:tcMar>
          </w:tcPr>
          <w:p>
            <w:r>
              <w:t xml:space="preserve">Connection Fee</w:t>
            </w:r>
          </w:p>
        </w:tc>
        <w:tc>
          <w:tcPr>
            <w:tcW w:type="dxa" w:w="2600"/>
            <w:tcBorders>
              <w:top w:val="single" w:color="D8DBE5" w:sz="1"/>
              <w:left w:val="single" w:color="D8DBE5" w:sz="1"/>
              <w:bottom w:val="single" w:color="D8DBE5" w:sz="1"/>
              <w:right w:val="single" w:color="D8DBE5" w:sz="1"/>
            </w:tcBorders>
            <w:tcMar>
              <w:top w:type="dxa" w:w="80"/>
              <w:left w:type="dxa" w:w="120"/>
              <w:bottom w:type="dxa" w:w="80"/>
              <w:right w:type="dxa" w:w="120"/>
            </w:tcMar>
          </w:tcPr>
          <w:p>
            <w:r>
              <w:t xml:space="preserve">£199 + VAT</w:t>
            </w:r>
          </w:p>
        </w:tc>
        <w:tc>
          <w:tcPr>
            <w:tcW w:type="dxa" w:w="2626"/>
            <w:tcBorders>
              <w:top w:val="single" w:color="D8DBE5" w:sz="1"/>
              <w:left w:val="single" w:color="D8DBE5" w:sz="1"/>
              <w:bottom w:val="single" w:color="D8DBE5" w:sz="1"/>
              <w:right w:val="single" w:color="D8DBE5" w:sz="1"/>
            </w:tcBorders>
            <w:shd w:fill="FFFBE0" w:val="clear"/>
            <w:tcMar>
              <w:top w:type="dxa" w:w="80"/>
              <w:left w:type="dxa" w:w="120"/>
              <w:bottom w:type="dxa" w:w="80"/>
              <w:right w:type="dxa" w:w="120"/>
            </w:tcMar>
          </w:tcPr>
          <w:p>
            <w:r>
              <w:t xml:space="preserve">Waived (12m)</w:t>
            </w:r>
          </w:p>
        </w:tc>
      </w:tr>
      <w:tr>
        <w:tc>
          <w:tcPr>
            <w:tcW w:type="dxa" w:w="3800"/>
            <w:tcBorders>
              <w:top w:val="single" w:color="D8DBE5" w:sz="1"/>
              <w:left w:val="single" w:color="D8DBE5" w:sz="1"/>
              <w:bottom w:val="single" w:color="D8DBE5" w:sz="1"/>
              <w:right w:val="single" w:color="D8DBE5" w:sz="1"/>
            </w:tcBorders>
            <w:tcMar>
              <w:top w:type="dxa" w:w="80"/>
              <w:left w:type="dxa" w:w="120"/>
              <w:bottom w:type="dxa" w:w="80"/>
              <w:right w:type="dxa" w:w="120"/>
            </w:tcMar>
          </w:tcPr>
          <w:p>
            <w:r>
              <w:t xml:space="preserve">Premium Subscription</w:t>
            </w:r>
          </w:p>
        </w:tc>
        <w:tc>
          <w:tcPr>
            <w:tcW w:type="dxa" w:w="2600"/>
            <w:tcBorders>
              <w:top w:val="single" w:color="D8DBE5" w:sz="1"/>
              <w:left w:val="single" w:color="D8DBE5" w:sz="1"/>
              <w:bottom w:val="single" w:color="D8DBE5" w:sz="1"/>
              <w:right w:val="single" w:color="D8DBE5" w:sz="1"/>
            </w:tcBorders>
            <w:tcMar>
              <w:top w:type="dxa" w:w="80"/>
              <w:left w:type="dxa" w:w="120"/>
              <w:bottom w:type="dxa" w:w="80"/>
              <w:right w:type="dxa" w:w="120"/>
            </w:tcMar>
          </w:tcPr>
          <w:p>
            <w:r>
              <w:t xml:space="preserve">£99 + VAT/mo</w:t>
            </w:r>
          </w:p>
        </w:tc>
        <w:tc>
          <w:tcPr>
            <w:tcW w:type="dxa" w:w="2626"/>
            <w:tcBorders>
              <w:top w:val="single" w:color="D8DBE5" w:sz="1"/>
              <w:left w:val="single" w:color="D8DBE5" w:sz="1"/>
              <w:bottom w:val="single" w:color="D8DBE5" w:sz="1"/>
              <w:right w:val="single" w:color="D8DBE5" w:sz="1"/>
            </w:tcBorders>
            <w:tcMar>
              <w:top w:type="dxa" w:w="80"/>
              <w:left w:type="dxa" w:w="120"/>
              <w:bottom w:type="dxa" w:w="80"/>
              <w:right w:type="dxa" w:w="120"/>
            </w:tcMar>
          </w:tcPr>
          <w:p>
            <w:r>
              <w:t xml:space="preserve">Optional</w:t>
            </w:r>
          </w:p>
        </w:tc>
      </w:tr>
      <w:tr>
        <w:tc>
          <w:tcPr>
            <w:tcW w:type="dxa" w:w="3800"/>
            <w:tcBorders>
              <w:top w:val="single" w:color="D8DBE5" w:sz="1"/>
              <w:left w:val="single" w:color="D8DBE5" w:sz="1"/>
              <w:bottom w:val="single" w:color="D8DBE5" w:sz="1"/>
              <w:right w:val="single" w:color="D8DBE5" w:sz="1"/>
            </w:tcBorders>
            <w:tcMar>
              <w:top w:type="dxa" w:w="80"/>
              <w:left w:type="dxa" w:w="120"/>
              <w:bottom w:type="dxa" w:w="80"/>
              <w:right w:type="dxa" w:w="120"/>
            </w:tcMar>
          </w:tcPr>
          <w:p>
            <w:r>
              <w:t xml:space="preserve">Success Fee</w:t>
            </w:r>
          </w:p>
        </w:tc>
        <w:tc>
          <w:tcPr>
            <w:tcW w:type="dxa" w:w="2600"/>
            <w:tcBorders>
              <w:top w:val="single" w:color="D8DBE5" w:sz="1"/>
              <w:left w:val="single" w:color="D8DBE5" w:sz="1"/>
              <w:bottom w:val="single" w:color="D8DBE5" w:sz="1"/>
              <w:right w:val="single" w:color="D8DBE5" w:sz="1"/>
            </w:tcBorders>
            <w:tcMar>
              <w:top w:type="dxa" w:w="80"/>
              <w:left w:type="dxa" w:w="120"/>
              <w:bottom w:type="dxa" w:w="80"/>
              <w:right w:type="dxa" w:w="120"/>
            </w:tcMar>
          </w:tcPr>
          <w:p>
            <w:r>
              <w:t xml:space="preserve">Up to 0.25%</w:t>
            </w:r>
          </w:p>
        </w:tc>
        <w:tc>
          <w:tcPr>
            <w:tcW w:type="dxa" w:w="2626"/>
            <w:tcBorders>
              <w:top w:val="single" w:color="D8DBE5" w:sz="1"/>
              <w:left w:val="single" w:color="D8DBE5" w:sz="1"/>
              <w:bottom w:val="single" w:color="D8DBE5" w:sz="1"/>
              <w:right w:val="single" w:color="D8DBE5" w:sz="1"/>
            </w:tcBorders>
            <w:shd w:fill="FEE2E2" w:val="clear"/>
            <w:tcMar>
              <w:top w:type="dxa" w:w="80"/>
              <w:left w:type="dxa" w:w="120"/>
              <w:bottom w:type="dxa" w:w="80"/>
              <w:right w:type="dxa" w:w="120"/>
            </w:tcMar>
          </w:tcPr>
          <w:p>
            <w:r>
              <w:t xml:space="preserve">Future</w:t>
            </w:r>
          </w:p>
        </w:tc>
      </w:tr>
    </w:tbl>
    <w:p>
      <w:pPr>
        <w:spacing w:after="200" w:before="300"/>
      </w:pPr>
      <w:r>
        <w:t xml:space="preserve"/>
      </w:r>
    </w:p>
    <w:p>
      <w:pPr>
        <w:spacing w:line="360"/>
      </w:pPr>
      <w:r>
        <w:rPr>
          <w:b/>
          <w:bCs/>
        </w:rPr>
        <w:t xml:space="preserve">Notes:</w:t>
      </w:r>
    </w:p>
    <w:p>
      <w:pPr>
        <w:pStyle w:val="ListParagraph"/>
        <w:numPr>
          <w:ilvl w:val="0"/>
          <w:numId w:val="3"/>
        </w:numPr>
        <w:spacing w:line="360"/>
      </w:pPr>
      <w:r>
        <w:t xml:space="preserve">All fees are in British pounds sterling (GBP) and are exclusive of VAT at the standard rate (currently 20%).</w:t>
      </w:r>
    </w:p>
    <w:p>
      <w:pPr>
        <w:pStyle w:val="ListParagraph"/>
        <w:numPr>
          <w:ilvl w:val="0"/>
          <w:numId w:val="3"/>
        </w:numPr>
        <w:spacing w:line="360"/>
      </w:pPr>
      <w:r>
        <w:t xml:space="preserve">Connection Fees are waived during the first 12 months of the Platform. 60 days' notice will be provided before activation.</w:t>
      </w:r>
    </w:p>
    <w:p>
      <w:pPr>
        <w:pStyle w:val="ListParagraph"/>
        <w:numPr>
          <w:ilvl w:val="0"/>
          <w:numId w:val="3"/>
        </w:numPr>
        <w:spacing w:line="360"/>
      </w:pPr>
      <w:r>
        <w:t xml:space="preserve">Premium subscription can be cancelled with 30 days' notice. No refunds for partially used months.</w:t>
      </w:r>
    </w:p>
    <w:p>
      <w:pPr>
        <w:pStyle w:val="ListParagraph"/>
        <w:numPr>
          <w:ilvl w:val="0"/>
          <w:numId w:val="3"/>
        </w:numPr>
        <w:spacing w:line="360"/>
      </w:pPr>
      <w:r>
        <w:t xml:space="preserve">Success Fee will be introduced with 90 days' written notice and applies only to Briefs received after the notice period.</w:t>
      </w:r>
    </w:p>
    <w:p>
      <w:pPr>
        <w:spacing w:before="300" w:line="360"/>
      </w:pPr>
      <w:r>
        <w:t xml:space="preserve"/>
      </w:r>
    </w:p>
    <w:p>
      <w:pPr>
        <w:spacing w:before="400" w:line="360"/>
        <w:jc w:val="center"/>
      </w:pPr>
      <w:r>
        <w:rPr>
          <w:b/>
          <w:bCs/>
          <w:i/>
          <w:iCs/>
        </w:rPr>
        <w:t xml:space="preserve">END OF AGREEMENT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999999"/>
        <w:sz w:val="18"/>
        <w:szCs w:val="18"/>
      </w:rPr>
      <w:t xml:space="preserve">DRAFT — FOR LEGAL REVIEW</w:t>
    </w:r>
  </w:p>
  <w:p>
    <w:pPr>
      <w:spacing w:before="80"/>
      <w:jc w:val="center"/>
    </w:pPr>
    <w:r>
      <w:rPr>
        <w:color w:val="656565"/>
        <w:sz w:val="18"/>
        <w:szCs w:val="18"/>
      </w:rPr>
      <w:t xml:space="preserve">Page </w:t>
    </w:r>
    <w:r>
      <w:rPr>
        <w:color w:val="65656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2026-04-12T08:45:09.388Z</dcterms:created>
  <dcterms:modified xsi:type="dcterms:W3CDTF">2026-04-12T08:45:09.389Z</dcterms:modified>
</cp:coreProperties>
</file>

<file path=docProps/custom.xml><?xml version="1.0" encoding="utf-8"?>
<Properties xmlns="http://schemas.openxmlformats.org/officeDocument/2006/custom-properties" xmlns:vt="http://schemas.openxmlformats.org/officeDocument/2006/docPropsVTypes"/>
</file>