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D4764E"/>
          <w:sz w:val="56"/>
          <w:szCs w:val="56"/>
        </w:rPr>
        <w:t xml:space="preserve">YALLA.HOUSE</w:t>
      </w:r>
    </w:p>
    <w:p>
      <w:pPr>
        <w:spacing w:after="600"/>
        <w:jc w:val="center"/>
      </w:pPr>
      <w:r>
        <w:rPr>
          <w:rFonts w:ascii="Arial" w:cs="Arial" w:eastAsia="Arial" w:hAnsi="Arial"/>
          <w:b/>
          <w:bCs/>
          <w:color w:val="0F1117"/>
          <w:sz w:val="40"/>
          <w:szCs w:val="40"/>
        </w:rPr>
        <w:t xml:space="preserve">Universal Platform Requirements</w:t>
      </w:r>
    </w:p>
    <w:p>
      <w:pPr>
        <w:spacing w:after="200"/>
        <w:jc w:val="center"/>
      </w:pPr>
      <w:r>
        <w:rPr>
          <w:rFonts w:ascii="Arial" w:cs="Arial" w:eastAsia="Arial" w:hAnsi="Arial"/>
          <w:color w:val="656565"/>
          <w:sz w:val="26"/>
          <w:szCs w:val="26"/>
        </w:rPr>
        <w:t xml:space="preserve">Multi-Country Expansion Blueprint</w:t>
      </w:r>
    </w:p>
    <w:p>
      <w:pPr>
        <w:spacing w:after="100"/>
        <w:jc w:val="center"/>
      </w:pPr>
      <w:r>
        <w:rPr>
          <w:rFonts w:ascii="Arial" w:cs="Arial" w:eastAsia="Arial" w:hAnsi="Arial"/>
          <w:color w:val="656565"/>
          <w:sz w:val="22"/>
          <w:szCs w:val="22"/>
        </w:rPr>
        <w:t xml:space="preserve">Version 1.0  •  April 2026</w:t>
      </w:r>
    </w:p>
    <w:p>
      <w:pPr>
        <w:pBdr>
          <w:top w:val="single" w:color="D4764E" w:sz="2" w:space="12"/>
        </w:pBdr>
        <w:spacing w:before="600"/>
        <w:jc w:val="center"/>
      </w:pPr>
      <w:r>
        <w:rPr>
          <w:rFonts w:ascii="Arial" w:cs="Arial" w:eastAsia="Arial" w:hAnsi="Arial"/>
          <w:i/>
          <w:iCs/>
          <w:color w:val="656565"/>
          <w:sz w:val="20"/>
          <w:szCs w:val="20"/>
        </w:rPr>
        <w:t xml:space="preserve">Confidential — Yalla.House Internal</w:t>
      </w:r>
    </w:p>
    <w:p>
      <w:pPr>
        <w:sectPr>
          <w:pgSz w:w="12240" w:h="15840" w:orient="portrait"/>
          <w:pgMar w:top="1440" w:right="1440" w:bottom="1440" w:left="1440" w:header="708" w:footer="708" w:gutter="0"/>
          <w:pgNumType/>
          <w:docGrid w:linePitch="360"/>
        </w:sectPr>
      </w:pPr>
    </w:p>
    <w:p>
      <w:pPr>
        <w:pStyle w:val="Heading1"/>
      </w:pPr>
      <w:r>
        <w:t xml:space="preserve">1. Purpose</w:t>
      </w:r>
    </w:p>
    <w:p>
      <w:pPr>
        <w:spacing w:after="200"/>
      </w:pPr>
      <w:r>
        <w:rPr>
          <w:color w:val="656565"/>
          <w:sz w:val="22"/>
          <w:szCs w:val="22"/>
        </w:rPr>
        <w:t xml:space="preserve">This document defines the universal rules, abstractions, and architecture decisions that ensure Yalla.House can expand into any country without rewriting core logic. Every feature, database field, email template, and UI string must follow these requirements from day one.</w:t>
      </w:r>
    </w:p>
    <w:p>
      <w:pPr>
        <w:spacing w:after="200"/>
      </w:pPr>
      <w:r>
        <w:rPr>
          <w:b/>
          <w:bCs/>
        </w:rPr>
        <w:t xml:space="preserve">The goal: </w:t>
      </w:r>
      <w:r>
        <w:rPr>
          <w:color w:val="656565"/>
        </w:rPr>
        <w:t xml:space="preserve">Adding a new country should be a configuration change (locale files, currency, region data), not a code change.</w:t>
      </w:r>
    </w:p>
    <w:p>
      <w:pPr>
        <w:pStyle w:val="Heading1"/>
      </w:pPr>
      <w:r>
        <w:t xml:space="preserve">2. Universal Terminology</w:t>
      </w:r>
    </w:p>
    <w:p>
      <w:pPr>
        <w:spacing w:after="200"/>
      </w:pPr>
      <w:r>
        <w:rPr>
          <w:color w:val="656565"/>
          <w:sz w:val="22"/>
          <w:szCs w:val="22"/>
        </w:rPr>
        <w:t xml:space="preserve">Avoid country-specific terms in all user-facing text, database schemas, and internal naming. Use the universal equivalents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8DBE5" w:sz="1"/>
              <w:left w:val="single" w:color="D8DBE5" w:sz="1"/>
              <w:bottom w:val="single" w:color="D8DBE5" w:sz="1"/>
              <w:right w:val="single" w:color="D8DBE5" w:sz="1"/>
            </w:tcBorders>
            <w:shd w:fill="D4764E" w:val="clear"/>
            <w:tcMar>
              <w:top w:type="dxa" w:w="80"/>
              <w:left w:type="dxa" w:w="120"/>
              <w:bottom w:type="dxa" w:w="80"/>
              <w:right w:type="dxa" w:w="120"/>
            </w:tcMar>
          </w:tcPr>
          <w:p>
            <w:r>
              <w:rPr>
                <w:b/>
                <w:bCs/>
                <w:color w:val="FFFFFF"/>
                <w:sz w:val="20"/>
                <w:szCs w:val="20"/>
              </w:rPr>
              <w:t xml:space="preserve">Instead of (UK)</w:t>
            </w:r>
          </w:p>
        </w:tc>
        <w:tc>
          <w:tcPr>
            <w:tcW w:type="dxa" w:w="2800"/>
            <w:tcBorders>
              <w:top w:val="single" w:color="D8DBE5" w:sz="1"/>
              <w:left w:val="single" w:color="D8DBE5" w:sz="1"/>
              <w:bottom w:val="single" w:color="D8DBE5" w:sz="1"/>
              <w:right w:val="single" w:color="D8DBE5" w:sz="1"/>
            </w:tcBorders>
            <w:shd w:fill="D4764E" w:val="clear"/>
            <w:tcMar>
              <w:top w:type="dxa" w:w="80"/>
              <w:left w:type="dxa" w:w="120"/>
              <w:bottom w:type="dxa" w:w="80"/>
              <w:right w:type="dxa" w:w="120"/>
            </w:tcMar>
          </w:tcPr>
          <w:p>
            <w:r>
              <w:rPr>
                <w:b/>
                <w:bCs/>
                <w:color w:val="FFFFFF"/>
                <w:sz w:val="20"/>
                <w:szCs w:val="20"/>
              </w:rPr>
              <w:t xml:space="preserve">Use (Universal)</w:t>
            </w:r>
          </w:p>
        </w:tc>
        <w:tc>
          <w:tcPr>
            <w:tcW w:type="dxa" w:w="3760"/>
            <w:tcBorders>
              <w:top w:val="single" w:color="D8DBE5" w:sz="1"/>
              <w:left w:val="single" w:color="D8DBE5" w:sz="1"/>
              <w:bottom w:val="single" w:color="D8DBE5" w:sz="1"/>
              <w:right w:val="single" w:color="D8DBE5" w:sz="1"/>
            </w:tcBorders>
            <w:shd w:fill="D4764E" w:val="clear"/>
            <w:tcMar>
              <w:top w:type="dxa" w:w="80"/>
              <w:left w:type="dxa" w:w="120"/>
              <w:bottom w:type="dxa" w:w="80"/>
              <w:right w:type="dxa" w:w="120"/>
            </w:tcMar>
          </w:tcPr>
          <w:p>
            <w:r>
              <w:rPr>
                <w:b/>
                <w:bCs/>
                <w:color w:val="FFFFFF"/>
                <w:sz w:val="20"/>
                <w:szCs w:val="20"/>
              </w:rPr>
              <w:t xml:space="preserve">Why</w:t>
            </w:r>
          </w:p>
        </w:tc>
      </w:tr>
      <w:tr>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991B1B"/>
                <w:sz w:val="20"/>
                <w:szCs w:val="20"/>
              </w:rPr>
              <w:t xml:space="preserve">Postcode</w:t>
            </w:r>
          </w:p>
        </w:tc>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color w:val="166534"/>
                <w:sz w:val="20"/>
                <w:szCs w:val="20"/>
              </w:rPr>
              <w:t xml:space="preserve">Postal code</w:t>
            </w:r>
          </w:p>
        </w:tc>
        <w:tc>
          <w:tcPr>
            <w:tcW w:type="dxa" w:w="37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US uses ZIP code, DE uses PLZ — postal code is understood everywhere</w:t>
            </w:r>
          </w:p>
        </w:tc>
      </w:tr>
      <w:tr>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991B1B"/>
                <w:sz w:val="20"/>
                <w:szCs w:val="20"/>
              </w:rPr>
              <w:t xml:space="preserve">Estate agent</w:t>
            </w:r>
          </w:p>
        </w:tc>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color w:val="166534"/>
                <w:sz w:val="20"/>
                <w:szCs w:val="20"/>
              </w:rPr>
              <w:t xml:space="preserve">Property agent / Agent</w:t>
            </w:r>
          </w:p>
        </w:tc>
        <w:tc>
          <w:tcPr>
            <w:tcW w:type="dxa" w:w="37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US uses realtor, AU uses real estate agent, DE uses Makler</w:t>
            </w:r>
          </w:p>
        </w:tc>
      </w:tr>
      <w:tr>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991B1B"/>
                <w:sz w:val="20"/>
                <w:szCs w:val="20"/>
              </w:rPr>
              <w:t xml:space="preserve">Stamp duty</w:t>
            </w:r>
          </w:p>
        </w:tc>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color w:val="166534"/>
                <w:sz w:val="20"/>
                <w:szCs w:val="20"/>
              </w:rPr>
              <w:t xml:space="preserve">Transfer tax</w:t>
            </w:r>
          </w:p>
        </w:tc>
        <w:tc>
          <w:tcPr>
            <w:tcW w:type="dxa" w:w="37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Each country has different property transfer taxes</w:t>
            </w:r>
          </w:p>
        </w:tc>
      </w:tr>
      <w:tr>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991B1B"/>
                <w:sz w:val="20"/>
                <w:szCs w:val="20"/>
              </w:rPr>
              <w:t xml:space="preserve">Solicitor / Conveyancer</w:t>
            </w:r>
          </w:p>
        </w:tc>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color w:val="166534"/>
                <w:sz w:val="20"/>
                <w:szCs w:val="20"/>
              </w:rPr>
              <w:t xml:space="preserve">Legal representative</w:t>
            </w:r>
          </w:p>
        </w:tc>
        <w:tc>
          <w:tcPr>
            <w:tcW w:type="dxa" w:w="37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US uses attorney, DE uses Notar</w:t>
            </w:r>
          </w:p>
        </w:tc>
      </w:tr>
      <w:tr>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991B1B"/>
                <w:sz w:val="20"/>
                <w:szCs w:val="20"/>
              </w:rPr>
              <w:t xml:space="preserve">Rightmove / Zoopla</w:t>
            </w:r>
          </w:p>
        </w:tc>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color w:val="166534"/>
                <w:sz w:val="20"/>
                <w:szCs w:val="20"/>
              </w:rPr>
              <w:t xml:space="preserve">Property portal</w:t>
            </w:r>
          </w:p>
        </w:tc>
        <w:tc>
          <w:tcPr>
            <w:tcW w:type="dxa" w:w="37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Generic term for any listing marketplace</w:t>
            </w:r>
          </w:p>
        </w:tc>
      </w:tr>
      <w:tr>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991B1B"/>
                <w:sz w:val="20"/>
                <w:szCs w:val="20"/>
              </w:rPr>
              <w:t xml:space="preserve">EPC rating</w:t>
            </w:r>
          </w:p>
        </w:tc>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color w:val="166534"/>
                <w:sz w:val="20"/>
                <w:szCs w:val="20"/>
              </w:rPr>
              <w:t xml:space="preserve">Energy certificate</w:t>
            </w:r>
          </w:p>
        </w:tc>
        <w:tc>
          <w:tcPr>
            <w:tcW w:type="dxa" w:w="37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DE uses Energieausweis, AU has NatHERS</w:t>
            </w:r>
          </w:p>
        </w:tc>
      </w:tr>
      <w:tr>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991B1B"/>
                <w:sz w:val="20"/>
                <w:szCs w:val="20"/>
              </w:rPr>
              <w:t xml:space="preserve">Freehold / Leasehold</w:t>
            </w:r>
          </w:p>
        </w:tc>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color w:val="166534"/>
                <w:sz w:val="20"/>
                <w:szCs w:val="20"/>
              </w:rPr>
              <w:t xml:space="preserve">Ownership type</w:t>
            </w:r>
          </w:p>
        </w:tc>
        <w:tc>
          <w:tcPr>
            <w:tcW w:type="dxa" w:w="37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These concepts are UK-specific</w:t>
            </w:r>
          </w:p>
        </w:tc>
      </w:tr>
      <w:tr>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991B1B"/>
                <w:sz w:val="20"/>
                <w:szCs w:val="20"/>
              </w:rPr>
              <w:t xml:space="preserve">Council tax band</w:t>
            </w:r>
          </w:p>
        </w:tc>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color w:val="166534"/>
                <w:sz w:val="20"/>
                <w:szCs w:val="20"/>
              </w:rPr>
              <w:t xml:space="preserve">Local property tax</w:t>
            </w:r>
          </w:p>
        </w:tc>
        <w:tc>
          <w:tcPr>
            <w:tcW w:type="dxa" w:w="37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Each country taxes property differently</w:t>
            </w:r>
          </w:p>
        </w:tc>
      </w:tr>
      <w:tr>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991B1B"/>
                <w:sz w:val="20"/>
                <w:szCs w:val="20"/>
              </w:rPr>
              <w:t xml:space="preserve">Ground rent</w:t>
            </w:r>
          </w:p>
        </w:tc>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color w:val="166534"/>
                <w:sz w:val="20"/>
                <w:szCs w:val="20"/>
              </w:rPr>
              <w:t xml:space="preserve">Periodic charges</w:t>
            </w:r>
          </w:p>
        </w:tc>
        <w:tc>
          <w:tcPr>
            <w:tcW w:type="dxa" w:w="37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Ground rent is a UK leasehold concept</w:t>
            </w:r>
          </w:p>
        </w:tc>
      </w:tr>
      <w:tr>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991B1B"/>
                <w:sz w:val="20"/>
                <w:szCs w:val="20"/>
              </w:rPr>
              <w:t xml:space="preserve">£ / GBP hardcoded</w:t>
            </w:r>
          </w:p>
        </w:tc>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color w:val="166534"/>
                <w:sz w:val="20"/>
                <w:szCs w:val="20"/>
              </w:rPr>
              <w:t xml:space="preserve">Dynamic currency</w:t>
            </w:r>
          </w:p>
        </w:tc>
        <w:tc>
          <w:tcPr>
            <w:tcW w:type="dxa" w:w="37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Always use locale-driven formatting</w:t>
            </w:r>
          </w:p>
        </w:tc>
      </w:tr>
      <w:tr>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991B1B"/>
                <w:sz w:val="20"/>
                <w:szCs w:val="20"/>
              </w:rPr>
              <w:t xml:space="preserve">Flat</w:t>
            </w:r>
          </w:p>
        </w:tc>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color w:val="166534"/>
                <w:sz w:val="20"/>
                <w:szCs w:val="20"/>
              </w:rPr>
              <w:t xml:space="preserve">Apartment / Unit</w:t>
            </w:r>
          </w:p>
        </w:tc>
        <w:tc>
          <w:tcPr>
            <w:tcW w:type="dxa" w:w="37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Flat is primarily British English</w:t>
            </w:r>
          </w:p>
        </w:tc>
      </w:tr>
      <w:tr>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991B1B"/>
                <w:sz w:val="20"/>
                <w:szCs w:val="20"/>
              </w:rPr>
              <w:t xml:space="preserve">Terraced house</w:t>
            </w:r>
          </w:p>
        </w:tc>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color w:val="166534"/>
                <w:sz w:val="20"/>
                <w:szCs w:val="20"/>
              </w:rPr>
              <w:t xml:space="preserve">Row house / Townhouse</w:t>
            </w:r>
          </w:p>
        </w:tc>
        <w:tc>
          <w:tcPr>
            <w:tcW w:type="dxa" w:w="37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Use property_subtype field for variants</w:t>
            </w:r>
          </w:p>
        </w:tc>
      </w:tr>
      <w:tr>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991B1B"/>
                <w:sz w:val="20"/>
                <w:szCs w:val="20"/>
              </w:rPr>
              <w:t xml:space="preserve">Semi-detached</w:t>
            </w:r>
          </w:p>
        </w:tc>
        <w:tc>
          <w:tcPr>
            <w:tcW w:type="dxa" w:w="2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color w:val="166534"/>
                <w:sz w:val="20"/>
                <w:szCs w:val="20"/>
              </w:rPr>
              <w:t xml:space="preserve">Duplex / Twin home</w:t>
            </w:r>
          </w:p>
        </w:tc>
        <w:tc>
          <w:tcPr>
            <w:tcW w:type="dxa" w:w="37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Country-specific subtypes go in locale config</w:t>
            </w:r>
          </w:p>
        </w:tc>
      </w:tr>
    </w:tbl>
    <w:p>
      <w:pPr>
        <w:pStyle w:val="Heading1"/>
      </w:pPr>
      <w:r>
        <w:t xml:space="preserve">3. Database Schema Rules</w:t>
      </w:r>
    </w:p>
    <w:p>
      <w:pPr>
        <w:pStyle w:val="Heading2"/>
      </w:pPr>
      <w:r>
        <w:t xml:space="preserve">3.1 Country-Aware Fields</w:t>
      </w:r>
    </w:p>
    <w:p>
      <w:pPr>
        <w:spacing w:after="120"/>
      </w:pPr>
      <w:r>
        <w:rPr>
          <w:color w:val="656565"/>
        </w:rPr>
        <w:t xml:space="preserve">Every entity that varies by country must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8DBE5" w:sz="1"/>
              <w:left w:val="single" w:color="D8DBE5" w:sz="1"/>
              <w:bottom w:val="single" w:color="D8DBE5" w:sz="1"/>
              <w:right w:val="single" w:color="D8DBE5" w:sz="1"/>
            </w:tcBorders>
            <w:shd w:fill="F5F5FA" w:val="clear"/>
            <w:tcMar>
              <w:top w:type="dxa" w:w="80"/>
              <w:left w:type="dxa" w:w="120"/>
              <w:bottom w:type="dxa" w:w="80"/>
              <w:right w:type="dxa" w:w="120"/>
            </w:tcMar>
          </w:tcPr>
          <w:p>
            <w:r>
              <w:rPr>
                <w:b/>
                <w:bCs/>
                <w:sz w:val="20"/>
                <w:szCs w:val="20"/>
              </w:rPr>
              <w:t xml:space="preserve">Column</w:t>
            </w:r>
          </w:p>
        </w:tc>
        <w:tc>
          <w:tcPr>
            <w:tcW w:type="dxa" w:w="1600"/>
            <w:tcBorders>
              <w:top w:val="single" w:color="D8DBE5" w:sz="1"/>
              <w:left w:val="single" w:color="D8DBE5" w:sz="1"/>
              <w:bottom w:val="single" w:color="D8DBE5" w:sz="1"/>
              <w:right w:val="single" w:color="D8DBE5" w:sz="1"/>
            </w:tcBorders>
            <w:shd w:fill="F5F5FA" w:val="clear"/>
            <w:tcMar>
              <w:top w:type="dxa" w:w="80"/>
              <w:left w:type="dxa" w:w="120"/>
              <w:bottom w:type="dxa" w:w="80"/>
              <w:right w:type="dxa" w:w="120"/>
            </w:tcMar>
          </w:tcPr>
          <w:p>
            <w:r>
              <w:rPr>
                <w:b/>
                <w:bCs/>
                <w:sz w:val="20"/>
                <w:szCs w:val="20"/>
              </w:rPr>
              <w:t xml:space="preserve">Type</w:t>
            </w:r>
          </w:p>
        </w:tc>
        <w:tc>
          <w:tcPr>
            <w:tcW w:type="dxa" w:w="5360"/>
            <w:tcBorders>
              <w:top w:val="single" w:color="D8DBE5" w:sz="1"/>
              <w:left w:val="single" w:color="D8DBE5" w:sz="1"/>
              <w:bottom w:val="single" w:color="D8DBE5" w:sz="1"/>
              <w:right w:val="single" w:color="D8DBE5" w:sz="1"/>
            </w:tcBorders>
            <w:shd w:fill="F5F5FA" w:val="clear"/>
            <w:tcMar>
              <w:top w:type="dxa" w:w="80"/>
              <w:left w:type="dxa" w:w="120"/>
              <w:bottom w:type="dxa" w:w="80"/>
              <w:right w:type="dxa" w:w="120"/>
            </w:tcMar>
          </w:tcPr>
          <w:p>
            <w:r>
              <w:rPr>
                <w:b/>
                <w:bCs/>
                <w:sz w:val="20"/>
                <w:szCs w:val="20"/>
              </w:rPr>
              <w:t xml:space="preserve">Purpose</w:t>
            </w:r>
          </w:p>
        </w:tc>
      </w:tr>
      <w:tr>
        <w:tc>
          <w:tcPr>
            <w:tcW w:type="dxa" w:w="24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country_code</w:t>
            </w:r>
          </w:p>
        </w:tc>
        <w:tc>
          <w:tcPr>
            <w:tcW w:type="dxa" w:w="16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18"/>
                <w:szCs w:val="18"/>
              </w:rPr>
              <w:t xml:space="preserve">TEXT (ISO 3166-1)</w:t>
            </w:r>
          </w:p>
        </w:tc>
        <w:tc>
          <w:tcPr>
            <w:tcW w:type="dxa" w:w="5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Two-letter country code (GB, DE, US, AU)</w:t>
            </w:r>
          </w:p>
        </w:tc>
      </w:tr>
      <w:tr>
        <w:tc>
          <w:tcPr>
            <w:tcW w:type="dxa" w:w="24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currency</w:t>
            </w:r>
          </w:p>
        </w:tc>
        <w:tc>
          <w:tcPr>
            <w:tcW w:type="dxa" w:w="16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18"/>
                <w:szCs w:val="18"/>
              </w:rPr>
              <w:t xml:space="preserve">TEXT (ISO 4217)</w:t>
            </w:r>
          </w:p>
        </w:tc>
        <w:tc>
          <w:tcPr>
            <w:tcW w:type="dxa" w:w="5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Three-letter currency code (GBP, EUR, USD)</w:t>
            </w:r>
          </w:p>
        </w:tc>
      </w:tr>
      <w:tr>
        <w:tc>
          <w:tcPr>
            <w:tcW w:type="dxa" w:w="24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locale</w:t>
            </w:r>
          </w:p>
        </w:tc>
        <w:tc>
          <w:tcPr>
            <w:tcW w:type="dxa" w:w="16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18"/>
                <w:szCs w:val="18"/>
              </w:rPr>
              <w:t xml:space="preserve">TEXT</w:t>
            </w:r>
          </w:p>
        </w:tc>
        <w:tc>
          <w:tcPr>
            <w:tcW w:type="dxa" w:w="5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BCP 47 locale tag (en-GB, de-DE, en-US)</w:t>
            </w:r>
          </w:p>
        </w:tc>
      </w:tr>
      <w:tr>
        <w:tc>
          <w:tcPr>
            <w:tcW w:type="dxa" w:w="24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postal_code</w:t>
            </w:r>
          </w:p>
        </w:tc>
        <w:tc>
          <w:tcPr>
            <w:tcW w:type="dxa" w:w="16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18"/>
                <w:szCs w:val="18"/>
              </w:rPr>
              <w:t xml:space="preserve">TEXT</w:t>
            </w:r>
          </w:p>
        </w:tc>
        <w:tc>
          <w:tcPr>
            <w:tcW w:type="dxa" w:w="5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Universal name — never postcode or ZIP</w:t>
            </w:r>
          </w:p>
        </w:tc>
      </w:tr>
      <w:tr>
        <w:tc>
          <w:tcPr>
            <w:tcW w:type="dxa" w:w="24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postal_code_prefix</w:t>
            </w:r>
          </w:p>
        </w:tc>
        <w:tc>
          <w:tcPr>
            <w:tcW w:type="dxa" w:w="16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18"/>
                <w:szCs w:val="18"/>
              </w:rPr>
              <w:t xml:space="preserve">TEXT</w:t>
            </w:r>
          </w:p>
        </w:tc>
        <w:tc>
          <w:tcPr>
            <w:tcW w:type="dxa" w:w="5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First N chars for matching (varies by country)</w:t>
            </w:r>
          </w:p>
        </w:tc>
      </w:tr>
      <w:tr>
        <w:tc>
          <w:tcPr>
            <w:tcW w:type="dxa" w:w="24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region</w:t>
            </w:r>
          </w:p>
        </w:tc>
        <w:tc>
          <w:tcPr>
            <w:tcW w:type="dxa" w:w="16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18"/>
                <w:szCs w:val="18"/>
              </w:rPr>
              <w:t xml:space="preserve">TEXT</w:t>
            </w:r>
          </w:p>
        </w:tc>
        <w:tc>
          <w:tcPr>
            <w:tcW w:type="dxa" w:w="5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State, county, Bundesland, province</w:t>
            </w:r>
          </w:p>
        </w:tc>
      </w:tr>
      <w:tr>
        <w:tc>
          <w:tcPr>
            <w:tcW w:type="dxa" w:w="24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timezone</w:t>
            </w:r>
          </w:p>
        </w:tc>
        <w:tc>
          <w:tcPr>
            <w:tcW w:type="dxa" w:w="16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18"/>
                <w:szCs w:val="18"/>
              </w:rPr>
              <w:t xml:space="preserve">TEXT (IANA)</w:t>
            </w:r>
          </w:p>
        </w:tc>
        <w:tc>
          <w:tcPr>
            <w:tcW w:type="dxa" w:w="5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Europe/London, Europe/Berlin, America/New_York</w:t>
            </w:r>
          </w:p>
        </w:tc>
      </w:tr>
    </w:tbl>
    <w:p>
      <w:pPr>
        <w:pStyle w:val="Heading2"/>
      </w:pPr>
      <w:r>
        <w:t xml:space="preserve">3.2 Money Storage</w:t>
      </w:r>
    </w:p>
    <w:p>
      <w:pPr>
        <w:pStyle w:val="ListParagraph"/>
        <w:numPr>
          <w:ilvl w:val="0"/>
          <w:numId w:val="2"/>
        </w:numPr>
        <w:spacing w:after="80"/>
      </w:pPr>
      <w:r>
        <w:rPr>
          <w:color w:val="656565"/>
        </w:rPr>
        <w:t xml:space="preserve">Always store monetary values in minor units (pence, cents) as INTEGER</w:t>
      </w:r>
    </w:p>
    <w:p>
      <w:pPr>
        <w:pStyle w:val="ListParagraph"/>
        <w:numPr>
          <w:ilvl w:val="0"/>
          <w:numId w:val="2"/>
        </w:numPr>
        <w:spacing w:after="80"/>
      </w:pPr>
      <w:r>
        <w:rPr>
          <w:color w:val="656565"/>
        </w:rPr>
        <w:t xml:space="preserve">Store the currency code alongside every price field</w:t>
      </w:r>
    </w:p>
    <w:p>
      <w:pPr>
        <w:pStyle w:val="ListParagraph"/>
        <w:numPr>
          <w:ilvl w:val="0"/>
          <w:numId w:val="2"/>
        </w:numPr>
        <w:spacing w:after="80"/>
      </w:pPr>
      <w:r>
        <w:rPr>
          <w:color w:val="656565"/>
        </w:rPr>
        <w:t xml:space="preserve">Never format currency in the database layer — always format in the UI using the user’s locale</w:t>
      </w:r>
    </w:p>
    <w:p>
      <w:pPr>
        <w:pStyle w:val="ListParagraph"/>
        <w:numPr>
          <w:ilvl w:val="0"/>
          <w:numId w:val="2"/>
        </w:numPr>
        <w:spacing w:after="200"/>
      </w:pPr>
      <w:r>
        <w:rPr>
          <w:color w:val="656565"/>
        </w:rPr>
        <w:t xml:space="preserve">Use Intl.NumberFormat(locale, { style: ‘currency’, currency }) for display</w:t>
      </w:r>
    </w:p>
    <w:p>
      <w:pPr>
        <w:pStyle w:val="Heading2"/>
      </w:pPr>
      <w:r>
        <w:t xml:space="preserve">3.3 Address Schema</w:t>
      </w:r>
    </w:p>
    <w:p>
      <w:pPr>
        <w:spacing w:after="200"/>
      </w:pPr>
      <w:r>
        <w:rPr>
          <w:color w:val="656565"/>
        </w:rPr>
        <w:t xml:space="preserve">Use a universal address structure that accommodates all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D8DBE5" w:sz="1"/>
              <w:left w:val="single" w:color="D8DBE5" w:sz="1"/>
              <w:bottom w:val="single" w:color="D8DBE5" w:sz="1"/>
              <w:right w:val="single" w:color="D8DBE5" w:sz="1"/>
            </w:tcBorders>
            <w:shd w:fill="F5F5FA" w:val="clear"/>
            <w:tcMar>
              <w:top w:type="dxa" w:w="80"/>
              <w:left w:type="dxa" w:w="120"/>
              <w:bottom w:type="dxa" w:w="80"/>
              <w:right w:type="dxa" w:w="120"/>
            </w:tcMar>
          </w:tcPr>
          <w:p>
            <w:r>
              <w:rPr>
                <w:b/>
                <w:bCs/>
                <w:sz w:val="20"/>
                <w:szCs w:val="20"/>
              </w:rPr>
              <w:t xml:space="preserve">Field</w:t>
            </w:r>
          </w:p>
        </w:tc>
        <w:tc>
          <w:tcPr>
            <w:tcW w:type="dxa" w:w="7000"/>
            <w:tcBorders>
              <w:top w:val="single" w:color="D8DBE5" w:sz="1"/>
              <w:left w:val="single" w:color="D8DBE5" w:sz="1"/>
              <w:bottom w:val="single" w:color="D8DBE5" w:sz="1"/>
              <w:right w:val="single" w:color="D8DBE5" w:sz="1"/>
            </w:tcBorders>
            <w:shd w:fill="F5F5FA" w:val="clear"/>
            <w:tcMar>
              <w:top w:type="dxa" w:w="80"/>
              <w:left w:type="dxa" w:w="120"/>
              <w:bottom w:type="dxa" w:w="80"/>
              <w:right w:type="dxa" w:w="120"/>
            </w:tcMar>
          </w:tcPr>
          <w:p>
            <w:r>
              <w:rPr>
                <w:b/>
                <w:bCs/>
                <w:sz w:val="20"/>
                <w:szCs w:val="20"/>
              </w:rPr>
              <w:t xml:space="preserve">Example Values</w:t>
            </w:r>
          </w:p>
        </w:tc>
      </w:tr>
      <w:tr>
        <w:tc>
          <w:tcPr>
            <w:tcW w:type="dxa" w:w="24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address_line_1</w:t>
            </w:r>
          </w:p>
        </w:tc>
        <w:tc>
          <w:tcPr>
            <w:tcW w:type="dxa" w:w="7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42 Victoria Park Road / Hauptstraße 15 / 350 Fifth Avenue</w:t>
            </w:r>
          </w:p>
        </w:tc>
      </w:tr>
      <w:tr>
        <w:tc>
          <w:tcPr>
            <w:tcW w:type="dxa" w:w="24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address_line_2</w:t>
            </w:r>
          </w:p>
        </w:tc>
        <w:tc>
          <w:tcPr>
            <w:tcW w:type="dxa" w:w="7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Flat 3B / Wohnung 2 OG / Suite 5100</w:t>
            </w:r>
          </w:p>
        </w:tc>
      </w:tr>
      <w:tr>
        <w:tc>
          <w:tcPr>
            <w:tcW w:type="dxa" w:w="24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city</w:t>
            </w:r>
          </w:p>
        </w:tc>
        <w:tc>
          <w:tcPr>
            <w:tcW w:type="dxa" w:w="7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London / Berlin / New York</w:t>
            </w:r>
          </w:p>
        </w:tc>
      </w:tr>
      <w:tr>
        <w:tc>
          <w:tcPr>
            <w:tcW w:type="dxa" w:w="24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region</w:t>
            </w:r>
          </w:p>
        </w:tc>
        <w:tc>
          <w:tcPr>
            <w:tcW w:type="dxa" w:w="7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Greater London / Berlin / New York (state/county/Bundesland)</w:t>
            </w:r>
          </w:p>
        </w:tc>
      </w:tr>
      <w:tr>
        <w:tc>
          <w:tcPr>
            <w:tcW w:type="dxa" w:w="24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postal_code</w:t>
            </w:r>
          </w:p>
        </w:tc>
        <w:tc>
          <w:tcPr>
            <w:tcW w:type="dxa" w:w="7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E9 7BT / 10115 / 10118</w:t>
            </w:r>
          </w:p>
        </w:tc>
      </w:tr>
      <w:tr>
        <w:tc>
          <w:tcPr>
            <w:tcW w:type="dxa" w:w="24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country_code</w:t>
            </w:r>
          </w:p>
        </w:tc>
        <w:tc>
          <w:tcPr>
            <w:tcW w:type="dxa" w:w="7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GB / DE / US</w:t>
            </w:r>
          </w:p>
        </w:tc>
      </w:tr>
    </w:tbl>
    <w:p>
      <w:r>
        <w:br w:type="page"/>
      </w:r>
    </w:p>
    <w:p>
      <w:pPr>
        <w:pStyle w:val="Heading1"/>
      </w:pPr>
      <w:r>
        <w:t xml:space="preserve">4. Internationalisation (i18n) Rules</w:t>
      </w:r>
    </w:p>
    <w:p>
      <w:pPr>
        <w:pStyle w:val="Heading3"/>
      </w:pPr>
      <w:r>
        <w:t xml:space="preserve">4.1 No Hardcoded Strings</w:t>
      </w:r>
    </w:p>
    <w:p>
      <w:pPr>
        <w:pStyle w:val="ListParagraph"/>
        <w:numPr>
          <w:ilvl w:val="0"/>
          <w:numId w:val="2"/>
        </w:numPr>
        <w:spacing w:after="80"/>
      </w:pPr>
      <w:r>
        <w:rPr>
          <w:color w:val="656565"/>
        </w:rPr>
        <w:t xml:space="preserve">Every user-facing string must come from the translation file (en.json, de.json, etc.)</w:t>
      </w:r>
    </w:p>
    <w:p>
      <w:pPr>
        <w:pStyle w:val="ListParagraph"/>
        <w:numPr>
          <w:ilvl w:val="0"/>
          <w:numId w:val="2"/>
        </w:numPr>
        <w:spacing w:after="80"/>
      </w:pPr>
      <w:r>
        <w:rPr>
          <w:color w:val="656565"/>
        </w:rPr>
        <w:t xml:space="preserve">No inline text in components — always t(‘key’) or getTranslations()</w:t>
      </w:r>
    </w:p>
    <w:p>
      <w:pPr>
        <w:pStyle w:val="ListParagraph"/>
        <w:numPr>
          <w:ilvl w:val="0"/>
          <w:numId w:val="2"/>
        </w:numPr>
        <w:spacing w:after="200"/>
      </w:pPr>
      <w:r>
        <w:rPr>
          <w:color w:val="656565"/>
        </w:rPr>
        <w:t xml:space="preserve">When adding new keys, always add to ALL locale files simultaneously</w:t>
      </w:r>
    </w:p>
    <w:p>
      <w:pPr>
        <w:pStyle w:val="Heading3"/>
      </w:pPr>
      <w:r>
        <w:t xml:space="preserve">4.2 Dynamic Content Formatting</w:t>
      </w:r>
    </w:p>
    <w:p>
      <w:pPr>
        <w:pStyle w:val="ListParagraph"/>
        <w:numPr>
          <w:ilvl w:val="0"/>
          <w:numId w:val="2"/>
        </w:numPr>
        <w:spacing w:after="80"/>
      </w:pPr>
      <w:r>
        <w:rPr>
          <w:color w:val="656565"/>
        </w:rPr>
        <w:t xml:space="preserve">Dates: Use Intl.DateTimeFormat(locale) — never hardcode DD/MM/YYYY or MM/DD/YYYY</w:t>
      </w:r>
    </w:p>
    <w:p>
      <w:pPr>
        <w:pStyle w:val="ListParagraph"/>
        <w:numPr>
          <w:ilvl w:val="0"/>
          <w:numId w:val="2"/>
        </w:numPr>
        <w:spacing w:after="80"/>
      </w:pPr>
      <w:r>
        <w:rPr>
          <w:color w:val="656565"/>
        </w:rPr>
        <w:t xml:space="preserve">Currency: Use Intl.NumberFormat(locale, { style: ‘currency’ }) — never hardcode £ or € symbols</w:t>
      </w:r>
    </w:p>
    <w:p>
      <w:pPr>
        <w:pStyle w:val="ListParagraph"/>
        <w:numPr>
          <w:ilvl w:val="0"/>
          <w:numId w:val="2"/>
        </w:numPr>
        <w:spacing w:after="80"/>
      </w:pPr>
      <w:r>
        <w:rPr>
          <w:color w:val="656565"/>
        </w:rPr>
        <w:t xml:space="preserve">Numbers: Use Intl.NumberFormat(locale) — 1,000.50 in UK vs 1.000,50 in DE</w:t>
      </w:r>
    </w:p>
    <w:p>
      <w:pPr>
        <w:pStyle w:val="ListParagraph"/>
        <w:numPr>
          <w:ilvl w:val="0"/>
          <w:numId w:val="2"/>
        </w:numPr>
        <w:spacing w:after="80"/>
      </w:pPr>
      <w:r>
        <w:rPr>
          <w:color w:val="656565"/>
        </w:rPr>
        <w:t xml:space="preserve">Units: Area in sq ft (UK/US) vs m² (DE/EU) — store in metric, display per locale</w:t>
      </w:r>
    </w:p>
    <w:p>
      <w:pPr>
        <w:pStyle w:val="ListParagraph"/>
        <w:numPr>
          <w:ilvl w:val="0"/>
          <w:numId w:val="2"/>
        </w:numPr>
        <w:spacing w:after="200"/>
      </w:pPr>
      <w:r>
        <w:rPr>
          <w:color w:val="656565"/>
        </w:rPr>
        <w:t xml:space="preserve">Phone numbers: Store in E.164 format (+44..., +49..., +1...), display with libphonenumber</w:t>
      </w:r>
    </w:p>
    <w:p>
      <w:pPr>
        <w:pStyle w:val="Heading3"/>
      </w:pPr>
      <w:r>
        <w:t xml:space="preserve">4.3 Email Templates</w:t>
      </w:r>
    </w:p>
    <w:p>
      <w:pPr>
        <w:pStyle w:val="ListParagraph"/>
        <w:numPr>
          <w:ilvl w:val="0"/>
          <w:numId w:val="2"/>
        </w:numPr>
        <w:spacing w:after="80"/>
      </w:pPr>
      <w:r>
        <w:rPr>
          <w:color w:val="656565"/>
        </w:rPr>
        <w:t xml:space="preserve">Email subject lines and body text must be translated per recipient locale</w:t>
      </w:r>
    </w:p>
    <w:p>
      <w:pPr>
        <w:pStyle w:val="ListParagraph"/>
        <w:numPr>
          <w:ilvl w:val="0"/>
          <w:numId w:val="2"/>
        </w:numPr>
        <w:spacing w:after="80"/>
      </w:pPr>
      <w:r>
        <w:rPr>
          <w:color w:val="656565"/>
        </w:rPr>
        <w:t xml:space="preserve">Currency formatting in emails follows the property’s country, not the recipient’s</w:t>
      </w:r>
    </w:p>
    <w:p>
      <w:pPr>
        <w:pStyle w:val="ListParagraph"/>
        <w:numPr>
          <w:ilvl w:val="0"/>
          <w:numId w:val="2"/>
        </w:numPr>
        <w:spacing w:after="80"/>
      </w:pPr>
      <w:r>
        <w:rPr>
          <w:color w:val="656565"/>
        </w:rPr>
        <w:t xml:space="preserve">Legal footer text varies by country (company registration, data protection officer, etc.)</w:t>
      </w:r>
    </w:p>
    <w:p>
      <w:pPr>
        <w:pStyle w:val="ListParagraph"/>
        <w:numPr>
          <w:ilvl w:val="0"/>
          <w:numId w:val="2"/>
        </w:numPr>
        <w:spacing w:after="200"/>
      </w:pPr>
      <w:r>
        <w:rPr>
          <w:color w:val="656565"/>
        </w:rPr>
        <w:t xml:space="preserve">The email wrapper’s footer must be dynamically set per locale — not hardcoded to one company</w:t>
      </w:r>
    </w:p>
    <w:p>
      <w:pPr>
        <w:pStyle w:val="Heading1"/>
      </w:pPr>
      <w:r>
        <w:t xml:space="preserve">5. Agent Matching &amp; Discovery</w:t>
      </w:r>
    </w:p>
    <w:p>
      <w:pPr>
        <w:pStyle w:val="Heading3"/>
      </w:pPr>
      <w:r>
        <w:t xml:space="preserve">5.1 Postal Code Matching</w:t>
      </w:r>
    </w:p>
    <w:p>
      <w:pPr>
        <w:spacing w:after="200"/>
      </w:pPr>
      <w:r>
        <w:rPr>
          <w:color w:val="656565"/>
        </w:rPr>
        <w:t xml:space="preserve">Postal code formats vary wildly by country. The matching system must be configurable per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D8DBE5" w:sz="1"/>
              <w:left w:val="single" w:color="D8DBE5" w:sz="1"/>
              <w:bottom w:val="single" w:color="D8DBE5" w:sz="1"/>
              <w:right w:val="single" w:color="D8DBE5" w:sz="1"/>
            </w:tcBorders>
            <w:shd w:fill="D4764E" w:val="clear"/>
            <w:tcMar>
              <w:top w:type="dxa" w:w="80"/>
              <w:left w:type="dxa" w:w="120"/>
              <w:bottom w:type="dxa" w:w="80"/>
              <w:right w:type="dxa" w:w="120"/>
            </w:tcMar>
          </w:tcPr>
          <w:p>
            <w:r>
              <w:rPr>
                <w:b/>
                <w:bCs/>
                <w:color w:val="FFFFFF"/>
                <w:sz w:val="20"/>
                <w:szCs w:val="20"/>
              </w:rPr>
              <w:t xml:space="preserve">Country</w:t>
            </w:r>
          </w:p>
        </w:tc>
        <w:tc>
          <w:tcPr>
            <w:tcW w:type="dxa" w:w="2200"/>
            <w:tcBorders>
              <w:top w:val="single" w:color="D8DBE5" w:sz="1"/>
              <w:left w:val="single" w:color="D8DBE5" w:sz="1"/>
              <w:bottom w:val="single" w:color="D8DBE5" w:sz="1"/>
              <w:right w:val="single" w:color="D8DBE5" w:sz="1"/>
            </w:tcBorders>
            <w:shd w:fill="D4764E" w:val="clear"/>
            <w:tcMar>
              <w:top w:type="dxa" w:w="80"/>
              <w:left w:type="dxa" w:w="120"/>
              <w:bottom w:type="dxa" w:w="80"/>
              <w:right w:type="dxa" w:w="120"/>
            </w:tcMar>
          </w:tcPr>
          <w:p>
            <w:r>
              <w:rPr>
                <w:b/>
                <w:bCs/>
                <w:color w:val="FFFFFF"/>
                <w:sz w:val="20"/>
                <w:szCs w:val="20"/>
              </w:rPr>
              <w:t xml:space="preserve">Format</w:t>
            </w:r>
          </w:p>
        </w:tc>
        <w:tc>
          <w:tcPr>
            <w:tcW w:type="dxa" w:w="2200"/>
            <w:tcBorders>
              <w:top w:val="single" w:color="D8DBE5" w:sz="1"/>
              <w:left w:val="single" w:color="D8DBE5" w:sz="1"/>
              <w:bottom w:val="single" w:color="D8DBE5" w:sz="1"/>
              <w:right w:val="single" w:color="D8DBE5" w:sz="1"/>
            </w:tcBorders>
            <w:shd w:fill="D4764E" w:val="clear"/>
            <w:tcMar>
              <w:top w:type="dxa" w:w="80"/>
              <w:left w:type="dxa" w:w="120"/>
              <w:bottom w:type="dxa" w:w="80"/>
              <w:right w:type="dxa" w:w="120"/>
            </w:tcMar>
          </w:tcPr>
          <w:p>
            <w:r>
              <w:rPr>
                <w:b/>
                <w:bCs/>
                <w:color w:val="FFFFFF"/>
                <w:sz w:val="20"/>
                <w:szCs w:val="20"/>
              </w:rPr>
              <w:t xml:space="preserve">Prefix Length</w:t>
            </w:r>
          </w:p>
        </w:tc>
        <w:tc>
          <w:tcPr>
            <w:tcW w:type="dxa" w:w="3160"/>
            <w:tcBorders>
              <w:top w:val="single" w:color="D8DBE5" w:sz="1"/>
              <w:left w:val="single" w:color="D8DBE5" w:sz="1"/>
              <w:bottom w:val="single" w:color="D8DBE5" w:sz="1"/>
              <w:right w:val="single" w:color="D8DBE5" w:sz="1"/>
            </w:tcBorders>
            <w:shd w:fill="D4764E" w:val="clear"/>
            <w:tcMar>
              <w:top w:type="dxa" w:w="80"/>
              <w:left w:type="dxa" w:w="120"/>
              <w:bottom w:type="dxa" w:w="80"/>
              <w:right w:type="dxa" w:w="120"/>
            </w:tcMar>
          </w:tcPr>
          <w:p>
            <w:r>
              <w:rPr>
                <w:b/>
                <w:bCs/>
                <w:color w:val="FFFFFF"/>
                <w:sz w:val="20"/>
                <w:szCs w:val="20"/>
              </w:rPr>
              <w:t xml:space="preserve">Example</w:t>
            </w:r>
          </w:p>
        </w:tc>
      </w:tr>
      <w:tr>
        <w:tc>
          <w:tcPr>
            <w:tcW w:type="dxa" w:w="1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UK</w:t>
            </w:r>
          </w:p>
        </w:tc>
        <w:tc>
          <w:tcPr>
            <w:tcW w:type="dxa" w:w="22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A9 9AA to AA99 9AA</w:t>
            </w:r>
          </w:p>
        </w:tc>
        <w:tc>
          <w:tcPr>
            <w:tcW w:type="dxa" w:w="22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2–4 chars</w:t>
            </w:r>
          </w:p>
        </w:tc>
        <w:tc>
          <w:tcPr>
            <w:tcW w:type="dxa" w:w="31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SW1A → South West London</w:t>
            </w:r>
          </w:p>
        </w:tc>
      </w:tr>
      <w:tr>
        <w:tc>
          <w:tcPr>
            <w:tcW w:type="dxa" w:w="1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Germany</w:t>
            </w:r>
          </w:p>
        </w:tc>
        <w:tc>
          <w:tcPr>
            <w:tcW w:type="dxa" w:w="22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5 digits</w:t>
            </w:r>
          </w:p>
        </w:tc>
        <w:tc>
          <w:tcPr>
            <w:tcW w:type="dxa" w:w="22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2 chars</w:t>
            </w:r>
          </w:p>
        </w:tc>
        <w:tc>
          <w:tcPr>
            <w:tcW w:type="dxa" w:w="31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10 → Berlin region</w:t>
            </w:r>
          </w:p>
        </w:tc>
      </w:tr>
      <w:tr>
        <w:tc>
          <w:tcPr>
            <w:tcW w:type="dxa" w:w="1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USA</w:t>
            </w:r>
          </w:p>
        </w:tc>
        <w:tc>
          <w:tcPr>
            <w:tcW w:type="dxa" w:w="22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5 digits (+ ZIP+4)</w:t>
            </w:r>
          </w:p>
        </w:tc>
        <w:tc>
          <w:tcPr>
            <w:tcW w:type="dxa" w:w="22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3 chars</w:t>
            </w:r>
          </w:p>
        </w:tc>
        <w:tc>
          <w:tcPr>
            <w:tcW w:type="dxa" w:w="31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100 → NYC area</w:t>
            </w:r>
          </w:p>
        </w:tc>
      </w:tr>
      <w:tr>
        <w:tc>
          <w:tcPr>
            <w:tcW w:type="dxa" w:w="1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Australia</w:t>
            </w:r>
          </w:p>
        </w:tc>
        <w:tc>
          <w:tcPr>
            <w:tcW w:type="dxa" w:w="22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4 digits</w:t>
            </w:r>
          </w:p>
        </w:tc>
        <w:tc>
          <w:tcPr>
            <w:tcW w:type="dxa" w:w="22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1 char</w:t>
            </w:r>
          </w:p>
        </w:tc>
        <w:tc>
          <w:tcPr>
            <w:tcW w:type="dxa" w:w="31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2 → NSW</w:t>
            </w:r>
          </w:p>
        </w:tc>
      </w:tr>
      <w:tr>
        <w:tc>
          <w:tcPr>
            <w:tcW w:type="dxa" w:w="18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Netherlands</w:t>
            </w:r>
          </w:p>
        </w:tc>
        <w:tc>
          <w:tcPr>
            <w:tcW w:type="dxa" w:w="22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4 digits + 2 letters</w:t>
            </w:r>
          </w:p>
        </w:tc>
        <w:tc>
          <w:tcPr>
            <w:tcW w:type="dxa" w:w="22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2 chars</w:t>
            </w:r>
          </w:p>
        </w:tc>
        <w:tc>
          <w:tcPr>
            <w:tcW w:type="dxa" w:w="31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10 → Amsterdam</w:t>
            </w:r>
          </w:p>
        </w:tc>
      </w:tr>
    </w:tbl>
    <w:p>
      <w:pPr>
        <w:pStyle w:val="Heading3"/>
        <w:spacing w:before="300"/>
      </w:pPr>
      <w:r>
        <w:t xml:space="preserve">5.2 Agent Seed Data Strategy</w:t>
      </w:r>
    </w:p>
    <w:p>
      <w:pPr>
        <w:pStyle w:val="ListParagraph"/>
        <w:numPr>
          <w:ilvl w:val="0"/>
          <w:numId w:val="2"/>
        </w:numPr>
        <w:spacing w:after="80"/>
      </w:pPr>
      <w:r>
        <w:rPr>
          <w:color w:val="656565"/>
        </w:rPr>
        <w:t xml:space="preserve">Each country gets its own seed data file with local agency chains</w:t>
      </w:r>
    </w:p>
    <w:p>
      <w:pPr>
        <w:pStyle w:val="ListParagraph"/>
        <w:numPr>
          <w:ilvl w:val="0"/>
          <w:numId w:val="2"/>
        </w:numPr>
        <w:spacing w:after="80"/>
      </w:pPr>
      <w:r>
        <w:rPr>
          <w:color w:val="656565"/>
        </w:rPr>
        <w:t xml:space="preserve">Current: agent-seed-data.ts has 51 UK agencies. Germany would need a separate DE file (Engel &amp; Völkers, VON POLL, etc.)</w:t>
      </w:r>
    </w:p>
    <w:p>
      <w:pPr>
        <w:pStyle w:val="ListParagraph"/>
        <w:numPr>
          <w:ilvl w:val="0"/>
          <w:numId w:val="2"/>
        </w:numPr>
        <w:spacing w:after="80"/>
      </w:pPr>
      <w:r>
        <w:rPr>
          <w:color w:val="656565"/>
        </w:rPr>
        <w:t xml:space="preserve">Source field in prospective_agents must support country-specific portals (Rightmove → UK, ImmoScout24 → DE, Zillow → US)</w:t>
      </w:r>
    </w:p>
    <w:p>
      <w:pPr>
        <w:pStyle w:val="ListParagraph"/>
        <w:numPr>
          <w:ilvl w:val="0"/>
          <w:numId w:val="2"/>
        </w:numPr>
        <w:spacing w:after="200"/>
      </w:pPr>
      <w:r>
        <w:rPr>
          <w:color w:val="656565"/>
        </w:rPr>
        <w:t xml:space="preserve">Agent specialties vocabulary differs: UK has ‘lettings’, US has ‘property management’, DE has ‘Vermietung’ — use canonical keys with locale display names</w:t>
      </w:r>
    </w:p>
    <w:p>
      <w:pPr>
        <w:pStyle w:val="Heading1"/>
      </w:pPr>
      <w:r>
        <w:t xml:space="preserve">6. Legal &amp; Compliance Per Country</w:t>
      </w:r>
    </w:p>
    <w:p>
      <w:pPr>
        <w:spacing w:after="200"/>
      </w:pPr>
      <w:r>
        <w:rPr>
          <w:color w:val="656565"/>
        </w:rPr>
        <w:t xml:space="preserve">Each country launch requires a compliance checklist. The platform must support per-country configuration for:</w:t>
      </w:r>
    </w:p>
    <w:p>
      <w:pPr>
        <w:pStyle w:val="ListParagraph"/>
        <w:numPr>
          <w:ilvl w:val="0"/>
          <w:numId w:val="3"/>
        </w:numPr>
        <w:spacing w:after="80"/>
      </w:pPr>
      <w:r>
        <w:rPr>
          <w:b/>
          <w:bCs/>
        </w:rPr>
        <w:t xml:space="preserve">Company entity: </w:t>
      </w:r>
      <w:r>
        <w:rPr>
          <w:color w:val="656565"/>
        </w:rPr>
        <w:t xml:space="preserve">UK Ltd, German GmbH, US LLC — affects email footers, terms, invoicing</w:t>
      </w:r>
    </w:p>
    <w:p>
      <w:pPr>
        <w:pStyle w:val="ListParagraph"/>
        <w:numPr>
          <w:ilvl w:val="0"/>
          <w:numId w:val="3"/>
        </w:numPr>
        <w:spacing w:after="80"/>
      </w:pPr>
      <w:r>
        <w:rPr>
          <w:b/>
          <w:bCs/>
        </w:rPr>
        <w:t xml:space="preserve">Data protection: </w:t>
      </w:r>
      <w:r>
        <w:rPr>
          <w:color w:val="656565"/>
        </w:rPr>
        <w:t xml:space="preserve">GDPR (UK/EU), CCPA (California), Privacy Act (AU) — consent flows and data retention</w:t>
      </w:r>
    </w:p>
    <w:p>
      <w:pPr>
        <w:pStyle w:val="ListParagraph"/>
        <w:numPr>
          <w:ilvl w:val="0"/>
          <w:numId w:val="3"/>
        </w:numPr>
        <w:spacing w:after="80"/>
      </w:pPr>
      <w:r>
        <w:rPr>
          <w:b/>
          <w:bCs/>
        </w:rPr>
        <w:t xml:space="preserve">Agent licensing: </w:t>
      </w:r>
      <w:r>
        <w:rPr>
          <w:color w:val="656565"/>
        </w:rPr>
        <w:t xml:space="preserve">UK requires TPO/NAEA membership, US requires state license, DE requires §34c GewO</w:t>
      </w:r>
    </w:p>
    <w:p>
      <w:pPr>
        <w:pStyle w:val="ListParagraph"/>
        <w:numPr>
          <w:ilvl w:val="0"/>
          <w:numId w:val="3"/>
        </w:numPr>
        <w:spacing w:after="80"/>
      </w:pPr>
      <w:r>
        <w:rPr>
          <w:b/>
          <w:bCs/>
        </w:rPr>
        <w:t xml:space="preserve">Anti-money laundering: </w:t>
      </w:r>
      <w:r>
        <w:rPr>
          <w:color w:val="656565"/>
        </w:rPr>
        <w:t xml:space="preserve">UK MLR 2017, EU 6AMLD, US FinCEN — KYC requirements for property transactions</w:t>
      </w:r>
    </w:p>
    <w:p>
      <w:pPr>
        <w:pStyle w:val="ListParagraph"/>
        <w:numPr>
          <w:ilvl w:val="0"/>
          <w:numId w:val="3"/>
        </w:numPr>
        <w:spacing w:after="80"/>
      </w:pPr>
      <w:r>
        <w:rPr>
          <w:b/>
          <w:bCs/>
        </w:rPr>
        <w:t xml:space="preserve">Tax reporting: </w:t>
      </w:r>
      <w:r>
        <w:rPr>
          <w:color w:val="656565"/>
        </w:rPr>
        <w:t xml:space="preserve">Stamp duty (UK), Grunderwerbsteuer (DE), transfer tax (US) — calculator per country</w:t>
      </w:r>
    </w:p>
    <w:p>
      <w:pPr>
        <w:pStyle w:val="ListParagraph"/>
        <w:numPr>
          <w:ilvl w:val="0"/>
          <w:numId w:val="3"/>
        </w:numPr>
        <w:spacing w:after="200"/>
      </w:pPr>
      <w:r>
        <w:rPr>
          <w:b/>
          <w:bCs/>
        </w:rPr>
        <w:t xml:space="preserve">Property disclosure: </w:t>
      </w:r>
      <w:r>
        <w:rPr>
          <w:color w:val="656565"/>
        </w:rPr>
        <w:t xml:space="preserve">UK TA6 form, US seller disclosure, DE Energieausweis — required documents per country</w:t>
      </w:r>
    </w:p>
    <w:p>
      <w:r>
        <w:br w:type="page"/>
      </w:r>
    </w:p>
    <w:p>
      <w:pPr>
        <w:pStyle w:val="Heading1"/>
      </w:pPr>
      <w:r>
        <w:t xml:space="preserve">7. Country Configuration Object</w:t>
      </w:r>
    </w:p>
    <w:p>
      <w:pPr>
        <w:spacing w:after="200"/>
      </w:pPr>
      <w:r>
        <w:rPr>
          <w:color w:val="656565"/>
        </w:rPr>
        <w:t xml:space="preserve">Each country is defined by a single configuration object. Adding a new country means creating this config — no code changes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BE5" w:sz="1"/>
              <w:left w:val="single" w:color="D8DBE5" w:sz="1"/>
              <w:bottom w:val="single" w:color="D8DBE5" w:sz="1"/>
              <w:right w:val="single" w:color="D8DBE5" w:sz="1"/>
            </w:tcBorders>
            <w:shd w:fill="F5F5FA" w:val="clear"/>
            <w:tcMar>
              <w:top w:type="dxa" w:w="80"/>
              <w:left w:type="dxa" w:w="120"/>
              <w:bottom w:type="dxa" w:w="80"/>
              <w:right w:type="dxa" w:w="120"/>
            </w:tcMar>
          </w:tcPr>
          <w:p>
            <w:r>
              <w:rPr>
                <w:b/>
                <w:bCs/>
                <w:sz w:val="20"/>
                <w:szCs w:val="20"/>
              </w:rPr>
              <w:t xml:space="preserve">Config Field</w:t>
            </w:r>
          </w:p>
        </w:tc>
        <w:tc>
          <w:tcPr>
            <w:tcW w:type="dxa" w:w="6360"/>
            <w:tcBorders>
              <w:top w:val="single" w:color="D8DBE5" w:sz="1"/>
              <w:left w:val="single" w:color="D8DBE5" w:sz="1"/>
              <w:bottom w:val="single" w:color="D8DBE5" w:sz="1"/>
              <w:right w:val="single" w:color="D8DBE5" w:sz="1"/>
            </w:tcBorders>
            <w:shd w:fill="F5F5FA" w:val="clear"/>
            <w:tcMar>
              <w:top w:type="dxa" w:w="80"/>
              <w:left w:type="dxa" w:w="120"/>
              <w:bottom w:type="dxa" w:w="80"/>
              <w:right w:type="dxa" w:w="120"/>
            </w:tcMar>
          </w:tcPr>
          <w:p>
            <w:r>
              <w:rPr>
                <w:b/>
                <w:bCs/>
                <w:sz w:val="20"/>
                <w:szCs w:val="20"/>
              </w:rPr>
              <w:t xml:space="preserve">Description</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country_code</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ISO 3166-1 alpha-2 (GB, DE, US, AU, NL)</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default_locale</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BCP 47 tag (en-GB, de-DE, en-US)</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supported_locales</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Array of available languages for this country</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currency</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ISO 4217 code (GBP, EUR, USD, AUD)</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currency_minor_units</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Decimal places (2 for most, 0 for JPY)</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postal_code_format</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Regex pattern for validation</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postal_code_prefix_length</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How many chars to extract for matching</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area_unit</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sq_ft or sq_m (stored metric, displayed per config)</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default_timezone</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IANA timezone (Europe/London, Europe/Berlin)</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property_types</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Available property type keys for this market</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property_subtypes</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Country-specific subtypes (terraced, semi-detached, etc.)</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agent_portal_sources</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Which portals to scrape (rightmove, immoscout24, zillow)</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legal_entity</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Company name + registration for email footers</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privacy_policy_url</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Country-specific privacy policy</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terms_url</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Country-specific terms of service</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required_certifications</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EPC (UK), Energieausweis (DE), etc.</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tax_calculator_enabled</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Whether to show transfer tax estimates</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phone_country_code</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+44, +49, +1, etc.</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seed_data_file</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Path to country-specific agent seed data</w:t>
            </w:r>
          </w:p>
        </w:tc>
      </w:tr>
      <w:tr>
        <w:tc>
          <w:tcPr>
            <w:tcW w:type="dxa" w:w="3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b/>
                <w:bCs/>
                <w:sz w:val="20"/>
                <w:szCs w:val="20"/>
              </w:rPr>
              <w:t xml:space="preserve">regions</w:t>
            </w:r>
          </w:p>
        </w:tc>
        <w:tc>
          <w:tcPr>
            <w:tcW w:type="dxa" w:w="63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Array of regions/states for the browse-by-area feature</w:t>
            </w:r>
          </w:p>
        </w:tc>
      </w:tr>
    </w:tbl>
    <w:p>
      <w:pPr>
        <w:pStyle w:val="Heading1"/>
      </w:pPr>
      <w:r>
        <w:t xml:space="preserve">8. New Country Launch Checklist</w:t>
      </w:r>
    </w:p>
    <w:p>
      <w:pPr>
        <w:spacing w:after="200"/>
      </w:pPr>
      <w:r>
        <w:rPr>
          <w:color w:val="656565"/>
        </w:rPr>
        <w:t xml:space="preserve">When expanding to a new country, complete every item below:</w:t>
      </w:r>
    </w:p>
    <w:p>
      <w:pPr>
        <w:pStyle w:val="ListParagraph"/>
        <w:numPr>
          <w:ilvl w:val="0"/>
          <w:numId w:val="3"/>
        </w:numPr>
        <w:spacing w:after="80"/>
      </w:pPr>
      <w:r>
        <w:rPr>
          <w:color w:val="656565"/>
          <w:sz w:val="22"/>
          <w:szCs w:val="22"/>
        </w:rPr>
        <w:t xml:space="preserve">Create country config object with all fields from Section 7</w:t>
      </w:r>
    </w:p>
    <w:p>
      <w:pPr>
        <w:pStyle w:val="ListParagraph"/>
        <w:numPr>
          <w:ilvl w:val="0"/>
          <w:numId w:val="3"/>
        </w:numPr>
        <w:spacing w:after="80"/>
      </w:pPr>
      <w:r>
        <w:rPr>
          <w:color w:val="656565"/>
          <w:sz w:val="22"/>
          <w:szCs w:val="22"/>
        </w:rPr>
        <w:t xml:space="preserve">Add locale translation files (copy en.json as starting point, translate all keys)</w:t>
      </w:r>
    </w:p>
    <w:p>
      <w:pPr>
        <w:pStyle w:val="ListParagraph"/>
        <w:numPr>
          <w:ilvl w:val="0"/>
          <w:numId w:val="3"/>
        </w:numPr>
        <w:spacing w:after="80"/>
      </w:pPr>
      <w:r>
        <w:rPr>
          <w:color w:val="656565"/>
          <w:sz w:val="22"/>
          <w:szCs w:val="22"/>
        </w:rPr>
        <w:t xml:space="preserve">Add country-specific agent seed data file</w:t>
      </w:r>
    </w:p>
    <w:p>
      <w:pPr>
        <w:pStyle w:val="ListParagraph"/>
        <w:numPr>
          <w:ilvl w:val="0"/>
          <w:numId w:val="3"/>
        </w:numPr>
        <w:spacing w:after="80"/>
      </w:pPr>
      <w:r>
        <w:rPr>
          <w:color w:val="656565"/>
          <w:sz w:val="22"/>
          <w:szCs w:val="22"/>
        </w:rPr>
        <w:t xml:space="preserve">Configure postal code validation regex and prefix extraction</w:t>
      </w:r>
    </w:p>
    <w:p>
      <w:pPr>
        <w:pStyle w:val="ListParagraph"/>
        <w:numPr>
          <w:ilvl w:val="0"/>
          <w:numId w:val="3"/>
        </w:numPr>
        <w:spacing w:after="80"/>
      </w:pPr>
      <w:r>
        <w:rPr>
          <w:color w:val="656565"/>
          <w:sz w:val="22"/>
          <w:szCs w:val="22"/>
        </w:rPr>
        <w:t xml:space="preserve">Set up legal entity and company registration details</w:t>
      </w:r>
    </w:p>
    <w:p>
      <w:pPr>
        <w:pStyle w:val="ListParagraph"/>
        <w:numPr>
          <w:ilvl w:val="0"/>
          <w:numId w:val="3"/>
        </w:numPr>
        <w:spacing w:after="80"/>
      </w:pPr>
      <w:r>
        <w:rPr>
          <w:color w:val="656565"/>
          <w:sz w:val="22"/>
          <w:szCs w:val="22"/>
        </w:rPr>
        <w:t xml:space="preserve">Create country-specific privacy policy and terms pages</w:t>
      </w:r>
    </w:p>
    <w:p>
      <w:pPr>
        <w:pStyle w:val="ListParagraph"/>
        <w:numPr>
          <w:ilvl w:val="0"/>
          <w:numId w:val="3"/>
        </w:numPr>
        <w:spacing w:after="80"/>
      </w:pPr>
      <w:r>
        <w:rPr>
          <w:color w:val="656565"/>
          <w:sz w:val="22"/>
          <w:szCs w:val="22"/>
        </w:rPr>
        <w:t xml:space="preserve">Configure property types and subtypes for the local market</w:t>
      </w:r>
    </w:p>
    <w:p>
      <w:pPr>
        <w:pStyle w:val="ListParagraph"/>
        <w:numPr>
          <w:ilvl w:val="0"/>
          <w:numId w:val="3"/>
        </w:numPr>
        <w:spacing w:after="80"/>
      </w:pPr>
      <w:r>
        <w:rPr>
          <w:color w:val="656565"/>
          <w:sz w:val="22"/>
          <w:szCs w:val="22"/>
        </w:rPr>
        <w:t xml:space="preserve">Add regional data for the browse-by-area feature</w:t>
      </w:r>
    </w:p>
    <w:p>
      <w:pPr>
        <w:pStyle w:val="ListParagraph"/>
        <w:numPr>
          <w:ilvl w:val="0"/>
          <w:numId w:val="3"/>
        </w:numPr>
        <w:spacing w:after="80"/>
      </w:pPr>
      <w:r>
        <w:rPr>
          <w:color w:val="656565"/>
          <w:sz w:val="22"/>
          <w:szCs w:val="22"/>
        </w:rPr>
        <w:t xml:space="preserve">Set up email templates with correct locale, currency, and legal footer</w:t>
      </w:r>
    </w:p>
    <w:p>
      <w:pPr>
        <w:pStyle w:val="ListParagraph"/>
        <w:numPr>
          <w:ilvl w:val="0"/>
          <w:numId w:val="3"/>
        </w:numPr>
        <w:spacing w:after="80"/>
      </w:pPr>
      <w:r>
        <w:rPr>
          <w:color w:val="656565"/>
          <w:sz w:val="22"/>
          <w:szCs w:val="22"/>
        </w:rPr>
        <w:t xml:space="preserve">Test agent matching with local postal code patterns</w:t>
      </w:r>
    </w:p>
    <w:p>
      <w:pPr>
        <w:pStyle w:val="ListParagraph"/>
        <w:numPr>
          <w:ilvl w:val="0"/>
          <w:numId w:val="3"/>
        </w:numPr>
        <w:spacing w:after="80"/>
      </w:pPr>
      <w:r>
        <w:rPr>
          <w:color w:val="656565"/>
          <w:sz w:val="22"/>
          <w:szCs w:val="22"/>
        </w:rPr>
        <w:t xml:space="preserve">Verify all currency formatting displays correctly</w:t>
      </w:r>
    </w:p>
    <w:p>
      <w:pPr>
        <w:pStyle w:val="ListParagraph"/>
        <w:numPr>
          <w:ilvl w:val="0"/>
          <w:numId w:val="3"/>
        </w:numPr>
        <w:spacing w:after="80"/>
      </w:pPr>
      <w:r>
        <w:rPr>
          <w:color w:val="656565"/>
          <w:sz w:val="22"/>
          <w:szCs w:val="22"/>
        </w:rPr>
        <w:t xml:space="preserve">Verify all date formatting follows local conventions</w:t>
      </w:r>
    </w:p>
    <w:p>
      <w:pPr>
        <w:pStyle w:val="ListParagraph"/>
        <w:numPr>
          <w:ilvl w:val="0"/>
          <w:numId w:val="3"/>
        </w:numPr>
        <w:spacing w:after="80"/>
      </w:pPr>
      <w:r>
        <w:rPr>
          <w:color w:val="656565"/>
          <w:sz w:val="22"/>
          <w:szCs w:val="22"/>
        </w:rPr>
        <w:t xml:space="preserve">Legal review of compliance requirements (data protection, agent licensing, AML)</w:t>
      </w:r>
    </w:p>
    <w:p>
      <w:pPr>
        <w:pStyle w:val="ListParagraph"/>
        <w:numPr>
          <w:ilvl w:val="0"/>
          <w:numId w:val="3"/>
        </w:numPr>
        <w:spacing w:after="80"/>
      </w:pPr>
      <w:r>
        <w:rPr>
          <w:color w:val="656565"/>
          <w:sz w:val="22"/>
          <w:szCs w:val="22"/>
        </w:rPr>
        <w:t xml:space="preserve">Set up Stripe or local payment provider for the new currency</w:t>
      </w:r>
    </w:p>
    <w:p>
      <w:pPr>
        <w:pStyle w:val="ListParagraph"/>
        <w:numPr>
          <w:ilvl w:val="0"/>
          <w:numId w:val="3"/>
        </w:numPr>
        <w:spacing w:after="80"/>
      </w:pPr>
      <w:r>
        <w:rPr>
          <w:color w:val="656565"/>
          <w:sz w:val="22"/>
          <w:szCs w:val="22"/>
        </w:rPr>
        <w:t xml:space="preserve">QA pass on all user flows in the new locale</w:t>
      </w:r>
    </w:p>
    <w:p>
      <w:r>
        <w:br w:type="page"/>
      </w:r>
    </w:p>
    <w:p>
      <w:pPr>
        <w:pStyle w:val="Heading1"/>
      </w:pPr>
      <w:r>
        <w:t xml:space="preserve">9. Immediate Actions Required</w:t>
      </w:r>
    </w:p>
    <w:p>
      <w:pPr>
        <w:spacing w:after="200"/>
      </w:pPr>
      <w:r>
        <w:rPr>
          <w:color w:val="656565"/>
        </w:rPr>
        <w:t xml:space="preserve">The following items in the current codebase need to be updated to comply with these universal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D8DBE5" w:sz="1"/>
              <w:left w:val="single" w:color="D8DBE5" w:sz="1"/>
              <w:bottom w:val="single" w:color="D8DBE5" w:sz="1"/>
              <w:right w:val="single" w:color="D8DBE5" w:sz="1"/>
            </w:tcBorders>
            <w:shd w:fill="F5F5FA" w:val="clear"/>
            <w:tcMar>
              <w:top w:type="dxa" w:w="80"/>
              <w:left w:type="dxa" w:w="120"/>
              <w:bottom w:type="dxa" w:w="80"/>
              <w:right w:type="dxa" w:w="120"/>
            </w:tcMar>
          </w:tcPr>
          <w:p>
            <w:r>
              <w:rPr>
                <w:b/>
                <w:bCs/>
                <w:sz w:val="20"/>
                <w:szCs w:val="20"/>
              </w:rPr>
              <w:t xml:space="preserve">Priority</w:t>
            </w:r>
          </w:p>
        </w:tc>
        <w:tc>
          <w:tcPr>
            <w:tcW w:type="dxa" w:w="4000"/>
            <w:tcBorders>
              <w:top w:val="single" w:color="D8DBE5" w:sz="1"/>
              <w:left w:val="single" w:color="D8DBE5" w:sz="1"/>
              <w:bottom w:val="single" w:color="D8DBE5" w:sz="1"/>
              <w:right w:val="single" w:color="D8DBE5" w:sz="1"/>
            </w:tcBorders>
            <w:shd w:fill="F5F5FA" w:val="clear"/>
            <w:tcMar>
              <w:top w:type="dxa" w:w="80"/>
              <w:left w:type="dxa" w:w="120"/>
              <w:bottom w:type="dxa" w:w="80"/>
              <w:right w:type="dxa" w:w="120"/>
            </w:tcMar>
          </w:tcPr>
          <w:p>
            <w:r>
              <w:rPr>
                <w:b/>
                <w:bCs/>
                <w:sz w:val="20"/>
                <w:szCs w:val="20"/>
              </w:rPr>
              <w:t xml:space="preserve">Issue</w:t>
            </w:r>
          </w:p>
        </w:tc>
        <w:tc>
          <w:tcPr>
            <w:tcW w:type="dxa" w:w="4160"/>
            <w:tcBorders>
              <w:top w:val="single" w:color="D8DBE5" w:sz="1"/>
              <w:left w:val="single" w:color="D8DBE5" w:sz="1"/>
              <w:bottom w:val="single" w:color="D8DBE5" w:sz="1"/>
              <w:right w:val="single" w:color="D8DBE5" w:sz="1"/>
            </w:tcBorders>
            <w:shd w:fill="F5F5FA" w:val="clear"/>
            <w:tcMar>
              <w:top w:type="dxa" w:w="80"/>
              <w:left w:type="dxa" w:w="120"/>
              <w:bottom w:type="dxa" w:w="80"/>
              <w:right w:type="dxa" w:w="120"/>
            </w:tcMar>
          </w:tcPr>
          <w:p>
            <w:r>
              <w:rPr>
                <w:b/>
                <w:bCs/>
                <w:sz w:val="20"/>
                <w:szCs w:val="20"/>
              </w:rPr>
              <w:t xml:space="preserve">Fix</w:t>
            </w:r>
          </w:p>
        </w:tc>
      </w:tr>
      <w:tr>
        <w:tc>
          <w:tcPr>
            <w:tcW w:type="dxa" w:w="1200"/>
            <w:tcBorders>
              <w:top w:val="single" w:color="D8DBE5" w:sz="1"/>
              <w:left w:val="single" w:color="D8DBE5" w:sz="1"/>
              <w:bottom w:val="single" w:color="D8DBE5" w:sz="1"/>
              <w:right w:val="single" w:color="D8DBE5" w:sz="1"/>
            </w:tcBorders>
            <w:shd w:fill="FEE2E2" w:val="clear"/>
            <w:tcMar>
              <w:top w:type="dxa" w:w="80"/>
              <w:left w:type="dxa" w:w="120"/>
              <w:bottom w:type="dxa" w:w="80"/>
              <w:right w:type="dxa" w:w="120"/>
            </w:tcMar>
          </w:tcPr>
          <w:p>
            <w:pPr>
              <w:jc w:val="center"/>
            </w:pPr>
            <w:r>
              <w:rPr>
                <w:b/>
                <w:bCs/>
                <w:color w:val="991B1B"/>
                <w:sz w:val="20"/>
                <w:szCs w:val="20"/>
              </w:rPr>
              <w:t xml:space="preserve">P0</w:t>
            </w:r>
          </w:p>
        </w:tc>
        <w:tc>
          <w:tcPr>
            <w:tcW w:type="dxa" w:w="4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Email wrapper footer is hardcoded to “Yalla.House GmbH — Immobilie selbst verkaufen ohne Makler”</w:t>
            </w:r>
          </w:p>
        </w:tc>
        <w:tc>
          <w:tcPr>
            <w:tcW w:type="dxa" w:w="41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0F1117"/>
                <w:sz w:val="20"/>
                <w:szCs w:val="20"/>
              </w:rPr>
              <w:t xml:space="preserve">Make footer dynamic per country_code from country config</w:t>
            </w:r>
          </w:p>
        </w:tc>
      </w:tr>
      <w:tr>
        <w:tc>
          <w:tcPr>
            <w:tcW w:type="dxa" w:w="1200"/>
            <w:tcBorders>
              <w:top w:val="single" w:color="D8DBE5" w:sz="1"/>
              <w:left w:val="single" w:color="D8DBE5" w:sz="1"/>
              <w:bottom w:val="single" w:color="D8DBE5" w:sz="1"/>
              <w:right w:val="single" w:color="D8DBE5" w:sz="1"/>
            </w:tcBorders>
            <w:shd w:fill="FEE2E2" w:val="clear"/>
            <w:tcMar>
              <w:top w:type="dxa" w:w="80"/>
              <w:left w:type="dxa" w:w="120"/>
              <w:bottom w:type="dxa" w:w="80"/>
              <w:right w:type="dxa" w:w="120"/>
            </w:tcMar>
          </w:tcPr>
          <w:p>
            <w:pPr>
              <w:jc w:val="center"/>
            </w:pPr>
            <w:r>
              <w:rPr>
                <w:b/>
                <w:bCs/>
                <w:color w:val="991B1B"/>
                <w:sz w:val="20"/>
                <w:szCs w:val="20"/>
              </w:rPr>
              <w:t xml:space="preserve">P0</w:t>
            </w:r>
          </w:p>
        </w:tc>
        <w:tc>
          <w:tcPr>
            <w:tcW w:type="dxa" w:w="4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Currency formatted as £ with toLocaleString(‘en-GB’) in email templates</w:t>
            </w:r>
          </w:p>
        </w:tc>
        <w:tc>
          <w:tcPr>
            <w:tcW w:type="dxa" w:w="41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0F1117"/>
                <w:sz w:val="20"/>
                <w:szCs w:val="20"/>
              </w:rPr>
              <w:t xml:space="preserve">Use Intl.NumberFormat with dynamic locale + currency from listing</w:t>
            </w:r>
          </w:p>
        </w:tc>
      </w:tr>
      <w:tr>
        <w:tc>
          <w:tcPr>
            <w:tcW w:type="dxa" w:w="1200"/>
            <w:tcBorders>
              <w:top w:val="single" w:color="D8DBE5" w:sz="1"/>
              <w:left w:val="single" w:color="D8DBE5" w:sz="1"/>
              <w:bottom w:val="single" w:color="D8DBE5" w:sz="1"/>
              <w:right w:val="single" w:color="D8DBE5" w:sz="1"/>
            </w:tcBorders>
            <w:shd w:fill="FEE2E2" w:val="clear"/>
            <w:tcMar>
              <w:top w:type="dxa" w:w="80"/>
              <w:left w:type="dxa" w:w="120"/>
              <w:bottom w:type="dxa" w:w="80"/>
              <w:right w:type="dxa" w:w="120"/>
            </w:tcMar>
          </w:tcPr>
          <w:p>
            <w:pPr>
              <w:jc w:val="center"/>
            </w:pPr>
            <w:r>
              <w:rPr>
                <w:b/>
                <w:bCs/>
                <w:color w:val="991B1B"/>
                <w:sz w:val="20"/>
                <w:szCs w:val="20"/>
              </w:rPr>
              <w:t xml:space="preserve">P0</w:t>
            </w:r>
          </w:p>
        </w:tc>
        <w:tc>
          <w:tcPr>
            <w:tcW w:type="dxa" w:w="4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Viewing emails are entirely in German (Hallo, Besichtigung, etc.)</w:t>
            </w:r>
          </w:p>
        </w:tc>
        <w:tc>
          <w:tcPr>
            <w:tcW w:type="dxa" w:w="41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0F1117"/>
                <w:sz w:val="20"/>
                <w:szCs w:val="20"/>
              </w:rPr>
              <w:t xml:space="preserve">Move all email text to locale files, render per recipient’s locale</w:t>
            </w:r>
          </w:p>
        </w:tc>
      </w:tr>
      <w:tr>
        <w:tc>
          <w:tcPr>
            <w:tcW w:type="dxa" w:w="1200"/>
            <w:tcBorders>
              <w:top w:val="single" w:color="D8DBE5" w:sz="1"/>
              <w:left w:val="single" w:color="D8DBE5" w:sz="1"/>
              <w:bottom w:val="single" w:color="D8DBE5" w:sz="1"/>
              <w:right w:val="single" w:color="D8DBE5" w:sz="1"/>
            </w:tcBorders>
            <w:shd w:fill="FFF7E0" w:val="clear"/>
            <w:tcMar>
              <w:top w:type="dxa" w:w="80"/>
              <w:left w:type="dxa" w:w="120"/>
              <w:bottom w:type="dxa" w:w="80"/>
              <w:right w:type="dxa" w:w="120"/>
            </w:tcMar>
          </w:tcPr>
          <w:p>
            <w:pPr>
              <w:jc w:val="center"/>
            </w:pPr>
            <w:r>
              <w:rPr>
                <w:b/>
                <w:bCs/>
                <w:color w:val="7A5F00"/>
                <w:sz w:val="20"/>
                <w:szCs w:val="20"/>
              </w:rPr>
              <w:t xml:space="preserve">P1</w:t>
            </w:r>
          </w:p>
        </w:tc>
        <w:tc>
          <w:tcPr>
            <w:tcW w:type="dxa" w:w="4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Database column ‘postcode_prefix’ in prospective_agents</w:t>
            </w:r>
          </w:p>
        </w:tc>
        <w:tc>
          <w:tcPr>
            <w:tcW w:type="dxa" w:w="41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0F1117"/>
                <w:sz w:val="20"/>
                <w:szCs w:val="20"/>
              </w:rPr>
              <w:t xml:space="preserve">Rename to postal_code_prefix, add country_code column</w:t>
            </w:r>
          </w:p>
        </w:tc>
      </w:tr>
      <w:tr>
        <w:tc>
          <w:tcPr>
            <w:tcW w:type="dxa" w:w="1200"/>
            <w:tcBorders>
              <w:top w:val="single" w:color="D8DBE5" w:sz="1"/>
              <w:left w:val="single" w:color="D8DBE5" w:sz="1"/>
              <w:bottom w:val="single" w:color="D8DBE5" w:sz="1"/>
              <w:right w:val="single" w:color="D8DBE5" w:sz="1"/>
            </w:tcBorders>
            <w:shd w:fill="FFF7E0" w:val="clear"/>
            <w:tcMar>
              <w:top w:type="dxa" w:w="80"/>
              <w:left w:type="dxa" w:w="120"/>
              <w:bottom w:type="dxa" w:w="80"/>
              <w:right w:type="dxa" w:w="120"/>
            </w:tcMar>
          </w:tcPr>
          <w:p>
            <w:pPr>
              <w:jc w:val="center"/>
            </w:pPr>
            <w:r>
              <w:rPr>
                <w:b/>
                <w:bCs/>
                <w:color w:val="7A5F00"/>
                <w:sz w:val="20"/>
                <w:szCs w:val="20"/>
              </w:rPr>
              <w:t xml:space="preserve">P1</w:t>
            </w:r>
          </w:p>
        </w:tc>
        <w:tc>
          <w:tcPr>
            <w:tcW w:type="dxa" w:w="4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Agent seed data is UK-only (agent-seed-data.ts)</w:t>
            </w:r>
          </w:p>
        </w:tc>
        <w:tc>
          <w:tcPr>
            <w:tcW w:type="dxa" w:w="41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0F1117"/>
                <w:sz w:val="20"/>
                <w:szCs w:val="20"/>
              </w:rPr>
              <w:t xml:space="preserve">Create country-keyed structure: seeds/gb.ts, seeds/de.ts, etc.</w:t>
            </w:r>
          </w:p>
        </w:tc>
      </w:tr>
      <w:tr>
        <w:tc>
          <w:tcPr>
            <w:tcW w:type="dxa" w:w="1200"/>
            <w:tcBorders>
              <w:top w:val="single" w:color="D8DBE5" w:sz="1"/>
              <w:left w:val="single" w:color="D8DBE5" w:sz="1"/>
              <w:bottom w:val="single" w:color="D8DBE5" w:sz="1"/>
              <w:right w:val="single" w:color="D8DBE5" w:sz="1"/>
            </w:tcBorders>
            <w:shd w:fill="FFF7E0" w:val="clear"/>
            <w:tcMar>
              <w:top w:type="dxa" w:w="80"/>
              <w:left w:type="dxa" w:w="120"/>
              <w:bottom w:type="dxa" w:w="80"/>
              <w:right w:type="dxa" w:w="120"/>
            </w:tcMar>
          </w:tcPr>
          <w:p>
            <w:pPr>
              <w:jc w:val="center"/>
            </w:pPr>
            <w:r>
              <w:rPr>
                <w:b/>
                <w:bCs/>
                <w:color w:val="7A5F00"/>
                <w:sz w:val="20"/>
                <w:szCs w:val="20"/>
              </w:rPr>
              <w:t xml:space="preserve">P1</w:t>
            </w:r>
          </w:p>
        </w:tc>
        <w:tc>
          <w:tcPr>
            <w:tcW w:type="dxa" w:w="4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LONDON_AREAS hardcoded in agents page</w:t>
            </w:r>
          </w:p>
        </w:tc>
        <w:tc>
          <w:tcPr>
            <w:tcW w:type="dxa" w:w="41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0F1117"/>
                <w:sz w:val="20"/>
                <w:szCs w:val="20"/>
              </w:rPr>
              <w:t xml:space="preserve">Load regions from country config, not hardcoded constants</w:t>
            </w:r>
          </w:p>
        </w:tc>
      </w:tr>
      <w:tr>
        <w:tc>
          <w:tcPr>
            <w:tcW w:type="dxa" w:w="1200"/>
            <w:tcBorders>
              <w:top w:val="single" w:color="D8DBE5" w:sz="1"/>
              <w:left w:val="single" w:color="D8DBE5" w:sz="1"/>
              <w:bottom w:val="single" w:color="D8DBE5" w:sz="1"/>
              <w:right w:val="single" w:color="D8DBE5" w:sz="1"/>
            </w:tcBorders>
            <w:shd w:fill="DBEAFE" w:val="clear"/>
            <w:tcMar>
              <w:top w:type="dxa" w:w="80"/>
              <w:left w:type="dxa" w:w="120"/>
              <w:bottom w:type="dxa" w:w="80"/>
              <w:right w:type="dxa" w:w="120"/>
            </w:tcMar>
          </w:tcPr>
          <w:p>
            <w:pPr>
              <w:jc w:val="center"/>
            </w:pPr>
            <w:r>
              <w:rPr>
                <w:b/>
                <w:bCs/>
                <w:color w:val="1E40AF"/>
                <w:sz w:val="20"/>
                <w:szCs w:val="20"/>
              </w:rPr>
              <w:t xml:space="preserve">P2</w:t>
            </w:r>
          </w:p>
        </w:tc>
        <w:tc>
          <w:tcPr>
            <w:tcW w:type="dxa" w:w="4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Property types use informal English (house, flat)</w:t>
            </w:r>
          </w:p>
        </w:tc>
        <w:tc>
          <w:tcPr>
            <w:tcW w:type="dxa" w:w="41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0F1117"/>
                <w:sz w:val="20"/>
                <w:szCs w:val="20"/>
              </w:rPr>
              <w:t xml:space="preserve">Use canonical keys with locale display names</w:t>
            </w:r>
          </w:p>
        </w:tc>
      </w:tr>
      <w:tr>
        <w:tc>
          <w:tcPr>
            <w:tcW w:type="dxa" w:w="1200"/>
            <w:tcBorders>
              <w:top w:val="single" w:color="D8DBE5" w:sz="1"/>
              <w:left w:val="single" w:color="D8DBE5" w:sz="1"/>
              <w:bottom w:val="single" w:color="D8DBE5" w:sz="1"/>
              <w:right w:val="single" w:color="D8DBE5" w:sz="1"/>
            </w:tcBorders>
            <w:shd w:fill="DBEAFE" w:val="clear"/>
            <w:tcMar>
              <w:top w:type="dxa" w:w="80"/>
              <w:left w:type="dxa" w:w="120"/>
              <w:bottom w:type="dxa" w:w="80"/>
              <w:right w:type="dxa" w:w="120"/>
            </w:tcMar>
          </w:tcPr>
          <w:p>
            <w:pPr>
              <w:jc w:val="center"/>
            </w:pPr>
            <w:r>
              <w:rPr>
                <w:b/>
                <w:bCs/>
                <w:color w:val="1E40AF"/>
                <w:sz w:val="20"/>
                <w:szCs w:val="20"/>
              </w:rPr>
              <w:t xml:space="preserve">P2</w:t>
            </w:r>
          </w:p>
        </w:tc>
        <w:tc>
          <w:tcPr>
            <w:tcW w:type="dxa" w:w="400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656565"/>
                <w:sz w:val="20"/>
                <w:szCs w:val="20"/>
              </w:rPr>
              <w:t xml:space="preserve">Hardcoded ‘postcode’ in UI labels</w:t>
            </w:r>
          </w:p>
        </w:tc>
        <w:tc>
          <w:tcPr>
            <w:tcW w:type="dxa" w:w="4160"/>
            <w:tcBorders>
              <w:top w:val="single" w:color="D8DBE5" w:sz="1"/>
              <w:left w:val="single" w:color="D8DBE5" w:sz="1"/>
              <w:bottom w:val="single" w:color="D8DBE5" w:sz="1"/>
              <w:right w:val="single" w:color="D8DBE5" w:sz="1"/>
            </w:tcBorders>
            <w:tcMar>
              <w:top w:type="dxa" w:w="80"/>
              <w:left w:type="dxa" w:w="120"/>
              <w:bottom w:type="dxa" w:w="80"/>
              <w:right w:type="dxa" w:w="120"/>
            </w:tcMar>
          </w:tcPr>
          <w:p>
            <w:r>
              <w:rPr>
                <w:color w:val="0F1117"/>
                <w:sz w:val="20"/>
                <w:szCs w:val="20"/>
              </w:rPr>
              <w:t xml:space="preserve">Use t(‘postalCode’) everywhere, with per-locale label</w:t>
            </w:r>
          </w:p>
        </w:tc>
      </w:tr>
    </w:tbl>
    <w:p>
      <w:pPr>
        <w:pBdr>
          <w:top w:val="single" w:color="D4764E" w:sz="2" w:space="12"/>
        </w:pBdr>
        <w:spacing w:before="400"/>
      </w:pPr>
      <w:r>
        <w:rPr>
          <w:i/>
          <w:iCs/>
          <w:color w:val="656565"/>
          <w:sz w:val="22"/>
          <w:szCs w:val="22"/>
        </w:rPr>
        <w:t xml:space="preserve">This is a living document. Update it as new countries are added and new edge cases are discovered.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56565"/>
        <w:sz w:val="16"/>
        <w:szCs w:val="16"/>
      </w:rPr>
      <w:t xml:space="preserve">Page </w:t>
    </w:r>
    <w:r>
      <w:rPr>
        <w:rFonts w:ascii="Arial" w:cs="Arial" w:eastAsia="Arial" w:hAnsi="Arial"/>
        <w:color w:val="656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56565"/>
        <w:sz w:val="16"/>
        <w:szCs w:val="16"/>
      </w:rPr>
      <w:t xml:space="preserve">Yalla.House — Universal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1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11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11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D476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2026-04-11T21:08:56.428Z</dcterms:created>
  <dcterms:modified xsi:type="dcterms:W3CDTF">2026-04-11T21:08:56.428Z</dcterms:modified>
</cp:coreProperties>
</file>

<file path=docProps/custom.xml><?xml version="1.0" encoding="utf-8"?>
<Properties xmlns="http://schemas.openxmlformats.org/officeDocument/2006/custom-properties" xmlns:vt="http://schemas.openxmlformats.org/officeDocument/2006/docPropsVTypes"/>
</file>