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0"/>
      </w:pPr>
    </w:p>
    <w:p>
      <w:pPr>
        <w:jc w:val="center"/>
      </w:pPr>
      <w:r>
        <w:rPr>
          <w:rFonts w:ascii="Arial" w:cs="Arial" w:eastAsia="Arial" w:hAnsi="Arial"/>
          <w:b/>
          <w:bCs/>
          <w:color w:val="1E293B"/>
          <w:sz w:val="56"/>
          <w:szCs w:val="56"/>
        </w:rPr>
        <w:t xml:space="preserve">Yalla.House</w:t>
      </w:r>
    </w:p>
    <w:p>
      <w:pPr>
        <w:spacing w:after="200"/>
        <w:jc w:val="center"/>
      </w:pPr>
      <w:r>
        <w:rPr>
          <w:rFonts w:ascii="Arial" w:cs="Arial" w:eastAsia="Arial" w:hAnsi="Arial"/>
          <w:b/>
          <w:bCs/>
          <w:color w:val="D4764E"/>
          <w:sz w:val="56"/>
          <w:szCs w:val="56"/>
        </w:rPr>
        <w:t xml:space="preserve">Services Marketplace</w:t>
      </w:r>
    </w:p>
    <w:p>
      <w:pPr>
        <w:spacing w:after="100"/>
        <w:jc w:val="center"/>
      </w:pPr>
      <w:r>
        <w:rPr>
          <w:rFonts w:ascii="Arial" w:cs="Arial" w:eastAsia="Arial" w:hAnsi="Arial"/>
          <w:color w:val="94A3B8"/>
          <w:sz w:val="28"/>
          <w:szCs w:val="28"/>
        </w:rPr>
        <w:t xml:space="preserve">Strategy, Automation &amp; Provider Recruitment</w:t>
      </w:r>
    </w:p>
    <w:p>
      <w:pPr>
        <w:spacing w:after="600"/>
        <w:jc w:val="center"/>
      </w:pPr>
      <w:r>
        <w:rPr>
          <w:rFonts w:ascii="Arial" w:cs="Arial" w:eastAsia="Arial" w:hAnsi="Arial"/>
          <w:color w:val="94A3B8"/>
          <w:sz w:val="22"/>
          <w:szCs w:val="22"/>
        </w:rPr>
        <w:t xml:space="preserve">Version 2.1  ·  April 2026  ·  Confidential</w:t>
      </w:r>
    </w:p>
    <w:p>
      <w:pPr>
        <w:sectPr>
          <w:pgSz w:w="12240" w:h="15840" w:orient="portrait"/>
          <w:pgMar w:top="1440" w:right="1440" w:bottom="1440" w:left="1440" w:header="708" w:footer="708" w:gutter="0"/>
          <w:pgNumType/>
          <w:docGrid w:linePitch="360"/>
        </w:sectPr>
      </w:pPr>
    </w:p>
    <w:p>
      <w:pPr>
        <w:pStyle w:val="Heading1"/>
      </w:pPr>
      <w:r>
        <w:t xml:space="preserve">1. Executive Summary</w:t>
      </w:r>
    </w:p>
    <w:p>
      <w:pPr>
        <w:spacing w:after="160"/>
      </w:pPr>
      <w:r>
        <w:rPr>
          <w:rFonts w:ascii="Arial" w:cs="Arial" w:eastAsia="Arial" w:hAnsi="Arial"/>
          <w:color w:val="475569"/>
          <w:sz w:val="22"/>
          <w:szCs w:val="22"/>
        </w:rPr>
        <w:t xml:space="preserve">Yalla.House is a property technology platform that gives owners, home hunters, and agents tools to manage property transactions. The Services Marketplace is the next strategic layer: a curated, automated directory of property service providers that users need during a sale, purchase, or move.</w:t>
      </w:r>
    </w:p>
    <w:p>
      <w:pPr>
        <w:spacing w:after="160"/>
      </w:pPr>
      <w:r>
        <w:rPr>
          <w:rFonts w:ascii="Arial" w:cs="Arial" w:eastAsia="Arial" w:hAnsi="Arial"/>
          <w:color w:val="475569"/>
          <w:sz w:val="22"/>
          <w:szCs w:val="22"/>
        </w:rPr>
        <w:t xml:space="preserve">The marketplace solves a real pain point. When someone sells or buys a home, they need a solicitor, EPC assessor, photographer, surveyor, mortgage broker, removal company, cleaner, broadband setup, and more. Estate agents traditionally bundle these services and take referral fees. Yalla eliminates the agent dependency, but the service need remains.</w:t>
      </w:r>
    </w:p>
    <w:p>
      <w:pPr>
        <w:spacing w:after="120" w:before="120"/>
      </w:pPr>
    </w:p>
    <w:p>
      <w:pPr>
        <w:spacing w:after="160"/>
      </w:pPr>
      <w:r>
        <w:rPr>
          <w:rFonts w:ascii="Arial" w:cs="Arial" w:eastAsia="Arial" w:hAnsi="Arial"/>
          <w:b/>
          <w:bCs/>
          <w:color w:val="1E293B"/>
          <w:sz w:val="22"/>
          <w:szCs w:val="22"/>
        </w:rPr>
        <w:t xml:space="preserve">Core principle: </w:t>
      </w:r>
      <w:r>
        <w:rPr>
          <w:rFonts w:ascii="Arial" w:cs="Arial" w:eastAsia="Arial" w:hAnsi="Arial"/>
          <w:color w:val="475569"/>
          <w:sz w:val="22"/>
          <w:szCs w:val="22"/>
        </w:rPr>
        <w:t xml:space="preserve">Providers are recruited externally (via Upwork VAs, directory seeding, outreach) and onboarded directly onto the Yalla.House platform. Once onboarded, they become permanent platform participants — no ongoing third-party dependency.</w:t>
      </w:r>
    </w:p>
    <w:p>
      <w:pPr>
        <w:spacing w:after="160"/>
      </w:pPr>
      <w:r>
        <w:rPr>
          <w:rFonts w:ascii="Arial" w:cs="Arial" w:eastAsia="Arial" w:hAnsi="Arial"/>
          <w:b/>
          <w:bCs/>
          <w:color w:val="1E293B"/>
          <w:sz w:val="22"/>
          <w:szCs w:val="22"/>
        </w:rPr>
        <w:t xml:space="preserve">Automation-first: </w:t>
      </w:r>
      <w:r>
        <w:rPr>
          <w:rFonts w:ascii="Arial" w:cs="Arial" w:eastAsia="Arial" w:hAnsi="Arial"/>
          <w:color w:val="475569"/>
          <w:sz w:val="22"/>
          <w:szCs w:val="22"/>
        </w:rPr>
        <w:t xml:space="preserve">Every service request, quote, booking, and follow-up should be automated. Manual processes are temporary bridges to automated ones.</w:t>
      </w:r>
    </w:p>
    <w:p>
      <w:pPr>
        <w:spacing w:after="160"/>
      </w:pPr>
      <w:r>
        <w:rPr>
          <w:rFonts w:ascii="Arial" w:cs="Arial" w:eastAsia="Arial" w:hAnsi="Arial"/>
          <w:b/>
          <w:bCs/>
          <w:color w:val="1E293B"/>
          <w:sz w:val="22"/>
          <w:szCs w:val="22"/>
        </w:rPr>
        <w:t xml:space="preserve">Mortgage fast-track: </w:t>
      </w:r>
      <w:r>
        <w:rPr>
          <w:rFonts w:ascii="Arial" w:cs="Arial" w:eastAsia="Arial" w:hAnsi="Arial"/>
          <w:color w:val="475569"/>
          <w:sz w:val="22"/>
          <w:szCs w:val="22"/>
        </w:rPr>
        <w:t xml:space="preserve">Mortgage referrals are the highest-value, lowest-effort category. An introducer model (no FCA registration) can go live in Phase 1 with just a partner agreement and a dashboard card.</w:t>
      </w:r>
    </w:p>
    <w:p>
      <w:pPr>
        <w:pStyle w:val="Heading1"/>
      </w:pPr>
      <w:r>
        <w:t xml:space="preserve">2. Service Categories</w:t>
      </w:r>
    </w:p>
    <w:p>
      <w:pPr>
        <w:spacing w:after="160"/>
      </w:pPr>
      <w:r>
        <w:rPr>
          <w:rFonts w:ascii="Arial" w:cs="Arial" w:eastAsia="Arial" w:hAnsi="Arial"/>
          <w:color w:val="475569"/>
          <w:sz w:val="22"/>
          <w:szCs w:val="22"/>
        </w:rPr>
        <w:t xml:space="preserve">The marketplace covers every service needed across the property lifecycle — from pre-listing through post-move.</w:t>
      </w:r>
    </w:p>
    <w:p>
      <w:pPr>
        <w:spacing w:after="120" w:before="120"/>
      </w:pPr>
    </w:p>
    <w:p>
      <w:pPr>
        <w:pStyle w:val="Heading2"/>
      </w:pPr>
      <w:r>
        <w:t xml:space="preserve">2.1 Transaction Services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600"/>
        <w:gridCol w:w="1400"/>
        <w:gridCol w:w="1800"/>
        <w:gridCol w:w="1560"/>
      </w:tblGrid>
      <w:tr>
        <w:tc>
          <w:tcPr>
            <w:tcW w:type="dxa" w:w="2000"/>
            <w:tcBorders>
              <w:top w:val="single" w:color="E2E8F0" w:sz="1"/>
              <w:left w:val="single" w:color="E2E8F0" w:sz="1"/>
              <w:bottom w:val="single" w:color="E2E8F0" w:sz="1"/>
              <w:right w:val="single" w:color="E2E8F0" w:sz="1"/>
            </w:tcBorders>
            <w:shd w:fill="0F1117"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2600"/>
            <w:tcBorders>
              <w:top w:val="single" w:color="E2E8F0" w:sz="1"/>
              <w:left w:val="single" w:color="E2E8F0" w:sz="1"/>
              <w:bottom w:val="single" w:color="E2E8F0" w:sz="1"/>
              <w:right w:val="single" w:color="E2E8F0" w:sz="1"/>
            </w:tcBorders>
            <w:shd w:fill="0F1117" w:val="clear"/>
            <w:tcMar>
              <w:top w:type="dxa" w:w="80"/>
              <w:left w:type="dxa" w:w="120"/>
              <w:bottom w:type="dxa" w:w="80"/>
              <w:right w:type="dxa" w:w="120"/>
            </w:tcMar>
          </w:tcPr>
          <w:p>
            <w:r>
              <w:rPr>
                <w:rFonts w:ascii="Arial" w:cs="Arial" w:eastAsia="Arial" w:hAnsi="Arial"/>
                <w:b/>
                <w:bCs/>
                <w:color w:val="FFFFFF"/>
                <w:sz w:val="20"/>
                <w:szCs w:val="20"/>
              </w:rPr>
              <w:t xml:space="preserve">Examples</w:t>
            </w:r>
          </w:p>
        </w:tc>
        <w:tc>
          <w:tcPr>
            <w:tcW w:type="dxa" w:w="1400"/>
            <w:tcBorders>
              <w:top w:val="single" w:color="E2E8F0" w:sz="1"/>
              <w:left w:val="single" w:color="E2E8F0" w:sz="1"/>
              <w:bottom w:val="single" w:color="E2E8F0" w:sz="1"/>
              <w:right w:val="single" w:color="E2E8F0" w:sz="1"/>
            </w:tcBorders>
            <w:shd w:fill="0F1117" w:val="clear"/>
            <w:tcMar>
              <w:top w:type="dxa" w:w="80"/>
              <w:left w:type="dxa" w:w="120"/>
              <w:bottom w:type="dxa" w:w="80"/>
              <w:right w:type="dxa" w:w="120"/>
            </w:tcMar>
          </w:tcPr>
          <w:p>
            <w:r>
              <w:rPr>
                <w:rFonts w:ascii="Arial" w:cs="Arial" w:eastAsia="Arial" w:hAnsi="Arial"/>
                <w:b/>
                <w:bCs/>
                <w:color w:val="FFFFFF"/>
                <w:sz w:val="20"/>
                <w:szCs w:val="20"/>
              </w:rPr>
              <w:t xml:space="preserve">Typical Price</w:t>
            </w:r>
          </w:p>
        </w:tc>
        <w:tc>
          <w:tcPr>
            <w:tcW w:type="dxa" w:w="1800"/>
            <w:tcBorders>
              <w:top w:val="single" w:color="E2E8F0" w:sz="1"/>
              <w:left w:val="single" w:color="E2E8F0" w:sz="1"/>
              <w:bottom w:val="single" w:color="E2E8F0" w:sz="1"/>
              <w:right w:val="single" w:color="E2E8F0" w:sz="1"/>
            </w:tcBorders>
            <w:shd w:fill="0F1117" w:val="clear"/>
            <w:tcMar>
              <w:top w:type="dxa" w:w="80"/>
              <w:left w:type="dxa" w:w="120"/>
              <w:bottom w:type="dxa" w:w="80"/>
              <w:right w:type="dxa" w:w="120"/>
            </w:tcMar>
          </w:tcPr>
          <w:p>
            <w:r>
              <w:rPr>
                <w:rFonts w:ascii="Arial" w:cs="Arial" w:eastAsia="Arial" w:hAnsi="Arial"/>
                <w:b/>
                <w:bCs/>
                <w:color w:val="FFFFFF"/>
                <w:sz w:val="20"/>
                <w:szCs w:val="20"/>
              </w:rPr>
              <w:t xml:space="preserve">Revenue Model</w:t>
            </w:r>
          </w:p>
        </w:tc>
        <w:tc>
          <w:tcPr>
            <w:tcW w:type="dxa" w:w="1560"/>
            <w:tcBorders>
              <w:top w:val="single" w:color="E2E8F0" w:sz="1"/>
              <w:left w:val="single" w:color="E2E8F0" w:sz="1"/>
              <w:bottom w:val="single" w:color="E2E8F0" w:sz="1"/>
              <w:right w:val="single" w:color="E2E8F0" w:sz="1"/>
            </w:tcBorders>
            <w:shd w:fill="0F1117" w:val="clear"/>
            <w:tcMar>
              <w:top w:type="dxa" w:w="80"/>
              <w:left w:type="dxa" w:w="120"/>
              <w:bottom w:type="dxa" w:w="80"/>
              <w:right w:type="dxa" w:w="120"/>
            </w:tcMar>
          </w:tcPr>
          <w:p>
            <w:r>
              <w:rPr>
                <w:rFonts w:ascii="Arial" w:cs="Arial" w:eastAsia="Arial" w:hAnsi="Arial"/>
                <w:b/>
                <w:bCs/>
                <w:color w:val="FFFFFF"/>
                <w:sz w:val="20"/>
                <w:szCs w:val="20"/>
              </w:rPr>
              <w:t xml:space="preserve">Phase</w:t>
            </w:r>
          </w:p>
        </w:tc>
      </w:tr>
      <w:tr>
        <w:tc>
          <w:tcPr>
            <w:tcW w:type="dxa" w:w="2000"/>
            <w:tcBorders>
              <w:top w:val="single" w:color="E2E8F0" w:sz="1"/>
              <w:left w:val="single" w:color="E2E8F0" w:sz="1"/>
              <w:bottom w:val="single" w:color="E2E8F0" w:sz="1"/>
              <w:right w:val="single" w:color="E2E8F0" w:sz="1"/>
            </w:tcBorders>
            <w:tcMar>
              <w:top w:type="dxa" w:w="80"/>
              <w:left w:type="dxa" w:w="120"/>
              <w:bottom w:type="dxa" w:w="80"/>
              <w:right w:type="dxa" w:w="120"/>
            </w:tcMar>
          </w:tcPr>
          <w:p>
            <w:pPr>
              <w:jc w:val="left"/>
            </w:pPr>
            <w:r>
              <w:rPr>
                <w:rFonts w:ascii="Arial" w:cs="Arial" w:eastAsia="Arial" w:hAnsi="Arial"/>
                <w:b/>
                <w:bCs/>
                <w:color w:val="1E293B"/>
                <w:sz w:val="20"/>
                <w:szCs w:val="20"/>
              </w:rPr>
              <w:t xml:space="preserve">Conveyancing</w:t>
            </w:r>
          </w:p>
        </w:tc>
        <w:tc>
          <w:tcPr>
            <w:tcW w:type="dxa" w:w="2600"/>
            <w:tcBorders>
              <w:top w:val="single" w:color="E2E8F0" w:sz="1"/>
              <w:left w:val="single" w:color="E2E8F0" w:sz="1"/>
              <w:bottom w:val="single" w:color="E2E8F0" w:sz="1"/>
              <w:right w:val="single" w:color="E2E8F0" w:sz="1"/>
            </w:tcBorders>
            <w:tcMar>
              <w:top w:type="dxa" w:w="80"/>
              <w:left w:type="dxa" w:w="120"/>
              <w:bottom w:type="dxa" w:w="80"/>
              <w:right w:type="dxa" w:w="120"/>
            </w:tcMar>
          </w:tcPr>
          <w:p>
            <w:pPr>
              <w:jc w:val="left"/>
            </w:pPr>
            <w:r>
              <w:rPr>
                <w:rFonts w:ascii="Arial" w:cs="Arial" w:eastAsia="Arial" w:hAnsi="Arial"/>
                <w:b w:val="false"/>
                <w:bCs w:val="false"/>
                <w:color w:val="475569"/>
                <w:sz w:val="20"/>
                <w:szCs w:val="20"/>
              </w:rPr>
              <w:t xml:space="preserve">Solicitors, licensed conveyancers</w:t>
            </w:r>
          </w:p>
        </w:tc>
        <w:tc>
          <w:tcPr>
            <w:tcW w:type="dxa" w:w="1400"/>
            <w:tcBorders>
              <w:top w:val="single" w:color="E2E8F0" w:sz="1"/>
              <w:left w:val="single" w:color="E2E8F0" w:sz="1"/>
              <w:bottom w:val="single" w:color="E2E8F0" w:sz="1"/>
              <w:right w:val="single" w:color="E2E8F0" w:sz="1"/>
            </w:tcBorders>
            <w:tcMar>
              <w:top w:type="dxa" w:w="80"/>
              <w:left w:type="dxa" w:w="120"/>
              <w:bottom w:type="dxa" w:w="80"/>
              <w:right w:type="dxa" w:w="120"/>
            </w:tcMar>
          </w:tcPr>
          <w:p>
            <w:pPr>
              <w:jc w:val="left"/>
            </w:pPr>
            <w:r>
              <w:rPr>
                <w:rFonts w:ascii="Arial" w:cs="Arial" w:eastAsia="Arial" w:hAnsi="Arial"/>
                <w:b w:val="false"/>
                <w:bCs w:val="false"/>
                <w:color w:val="475569"/>
                <w:sz w:val="20"/>
                <w:szCs w:val="20"/>
              </w:rPr>
              <w:t xml:space="preserve">£800–1,500</w:t>
            </w:r>
          </w:p>
        </w:tc>
        <w:tc>
          <w:tcPr>
            <w:tcW w:type="dxa" w:w="1800"/>
            <w:tcBorders>
              <w:top w:val="single" w:color="E2E8F0" w:sz="1"/>
              <w:left w:val="single" w:color="E2E8F0" w:sz="1"/>
              <w:bottom w:val="single" w:color="E2E8F0" w:sz="1"/>
              <w:right w:val="single" w:color="E2E8F0" w:sz="1"/>
            </w:tcBorders>
            <w:tcMar>
              <w:top w:type="dxa" w:w="80"/>
              <w:left w:type="dxa" w:w="120"/>
              <w:bottom w:type="dxa" w:w="80"/>
              <w:right w:type="dxa" w:w="120"/>
            </w:tcMar>
          </w:tcPr>
          <w:p>
            <w:pPr>
              <w:jc w:val="left"/>
            </w:pPr>
            <w:r>
              <w:rPr>
                <w:rFonts w:ascii="Arial" w:cs="Arial" w:eastAsia="Arial" w:hAnsi="Arial"/>
                <w:b w:val="false"/>
                <w:bCs w:val="false"/>
                <w:color w:val="475569"/>
                <w:sz w:val="20"/>
                <w:szCs w:val="20"/>
              </w:rPr>
              <w:t xml:space="preserve">Lead fee £25–50</w:t>
            </w:r>
          </w:p>
        </w:tc>
        <w:tc>
          <w:tcPr>
            <w:tcW w:type="dxa" w:w="1560"/>
            <w:tcBorders>
              <w:top w:val="single" w:color="E2E8F0" w:sz="1"/>
              <w:left w:val="single" w:color="E2E8F0" w:sz="1"/>
              <w:bottom w:val="single" w:color="E2E8F0" w:sz="1"/>
              <w:right w:val="single" w:color="E2E8F0" w:sz="1"/>
            </w:tcBorders>
            <w:shd w:fill="DCFCE7" w:val="clear"/>
            <w:tcMar>
              <w:top w:type="dxa" w:w="80"/>
              <w:left w:type="dxa" w:w="120"/>
              <w:bottom w:type="dxa" w:w="80"/>
              <w:right w:type="dxa" w:w="120"/>
            </w:tcMar>
          </w:tcPr>
          <w:p>
            <w:pPr>
              <w:jc w:val="center"/>
            </w:pPr>
            <w:r>
              <w:rPr>
                <w:rFonts w:ascii="Arial" w:cs="Arial" w:eastAsia="Arial" w:hAnsi="Arial"/>
                <w:b/>
                <w:bCs/>
                <w:color w:val="1E293B"/>
                <w:sz w:val="20"/>
                <w:szCs w:val="20"/>
              </w:rPr>
              <w:t xml:space="preserve">Phase 1</w:t>
            </w:r>
          </w:p>
        </w:tc>
      </w:tr>
      <w:tr>
        <w:tc>
          <w:tcPr>
            <w:tcW w:type="dxa" w:w="2000"/>
            <w:tcBorders>
              <w:top w:val="single" w:color="E2E8F0" w:sz="1"/>
              <w:left w:val="single" w:color="E2E8F0" w:sz="1"/>
              <w:bottom w:val="single" w:color="E2E8F0" w:sz="1"/>
              <w:right w:val="single" w:color="E2E8F0" w:sz="1"/>
            </w:tcBorders>
            <w:tcMar>
              <w:top w:type="dxa" w:w="80"/>
              <w:left w:type="dxa" w:w="120"/>
              <w:bottom w:type="dxa" w:w="80"/>
              <w:right w:type="dxa" w:w="120"/>
            </w:tcMar>
          </w:tcPr>
          <w:p>
            <w:pPr>
              <w:jc w:val="left"/>
            </w:pPr>
            <w:r>
              <w:rPr>
                <w:rFonts w:ascii="Arial" w:cs="Arial" w:eastAsia="Arial" w:hAnsi="Arial"/>
                <w:b/>
                <w:bCs/>
                <w:color w:val="1E293B"/>
                <w:sz w:val="20"/>
                <w:szCs w:val="20"/>
              </w:rPr>
              <w:t xml:space="preserve">EPC Assessors</w:t>
            </w:r>
          </w:p>
        </w:tc>
        <w:tc>
          <w:tcPr>
            <w:tcW w:type="dxa" w:w="2600"/>
            <w:tcBorders>
              <w:top w:val="single" w:color="E2E8F0" w:sz="1"/>
              <w:left w:val="single" w:color="E2E8F0" w:sz="1"/>
              <w:bottom w:val="single" w:color="E2E8F0" w:sz="1"/>
              <w:right w:val="single" w:color="E2E8F0" w:sz="1"/>
            </w:tcBorders>
            <w:tcMar>
              <w:top w:type="dxa" w:w="80"/>
              <w:left w:type="dxa" w:w="120"/>
              <w:bottom w:type="dxa" w:w="80"/>
              <w:right w:type="dxa" w:w="120"/>
            </w:tcMar>
          </w:tcPr>
          <w:p>
            <w:pPr>
              <w:jc w:val="left"/>
            </w:pPr>
            <w:r>
              <w:rPr>
                <w:rFonts w:ascii="Arial" w:cs="Arial" w:eastAsia="Arial" w:hAnsi="Arial"/>
                <w:b w:val="false"/>
                <w:bCs w:val="false"/>
                <w:color w:val="475569"/>
                <w:sz w:val="20"/>
                <w:szCs w:val="20"/>
              </w:rPr>
              <w:t xml:space="preserve">Domestic energy assessors</w:t>
            </w:r>
          </w:p>
        </w:tc>
        <w:tc>
          <w:tcPr>
            <w:tcW w:type="dxa" w:w="1400"/>
            <w:tcBorders>
              <w:top w:val="single" w:color="E2E8F0" w:sz="1"/>
              <w:left w:val="single" w:color="E2E8F0" w:sz="1"/>
              <w:bottom w:val="single" w:color="E2E8F0" w:sz="1"/>
              <w:right w:val="single" w:color="E2E8F0" w:sz="1"/>
            </w:tcBorders>
            <w:tcMar>
              <w:top w:type="dxa" w:w="80"/>
              <w:left w:type="dxa" w:w="120"/>
              <w:bottom w:type="dxa" w:w="80"/>
              <w:right w:type="dxa" w:w="120"/>
            </w:tcMar>
          </w:tcPr>
          <w:p>
            <w:pPr>
              <w:jc w:val="left"/>
            </w:pPr>
            <w:r>
              <w:rPr>
                <w:rFonts w:ascii="Arial" w:cs="Arial" w:eastAsia="Arial" w:hAnsi="Arial"/>
                <w:b w:val="false"/>
                <w:bCs w:val="false"/>
                <w:color w:val="475569"/>
                <w:sz w:val="20"/>
                <w:szCs w:val="20"/>
              </w:rPr>
              <w:t xml:space="preserve">£60–120</w:t>
            </w:r>
          </w:p>
        </w:tc>
        <w:tc>
          <w:tcPr>
            <w:tcW w:type="dxa" w:w="1800"/>
            <w:tcBorders>
              <w:top w:val="single" w:color="E2E8F0" w:sz="1"/>
              <w:left w:val="single" w:color="E2E8F0" w:sz="1"/>
              <w:bottom w:val="single" w:color="E2E8F0" w:sz="1"/>
              <w:right w:val="single" w:color="E2E8F0" w:sz="1"/>
            </w:tcBorders>
            <w:tcMar>
              <w:top w:type="dxa" w:w="80"/>
              <w:left w:type="dxa" w:w="120"/>
              <w:bottom w:type="dxa" w:w="80"/>
              <w:right w:type="dxa" w:w="120"/>
            </w:tcMar>
          </w:tcPr>
          <w:p>
            <w:pPr>
              <w:jc w:val="left"/>
            </w:pPr>
            <w:r>
              <w:rPr>
                <w:rFonts w:ascii="Arial" w:cs="Arial" w:eastAsia="Arial" w:hAnsi="Arial"/>
                <w:b w:val="false"/>
                <w:bCs w:val="false"/>
                <w:color w:val="475569"/>
                <w:sz w:val="20"/>
                <w:szCs w:val="20"/>
              </w:rPr>
              <w:t xml:space="preserve">Lead fee £10–15</w:t>
            </w:r>
          </w:p>
        </w:tc>
        <w:tc>
          <w:tcPr>
            <w:tcW w:type="dxa" w:w="1560"/>
            <w:tcBorders>
              <w:top w:val="single" w:color="E2E8F0" w:sz="1"/>
              <w:left w:val="single" w:color="E2E8F0" w:sz="1"/>
              <w:bottom w:val="single" w:color="E2E8F0" w:sz="1"/>
              <w:right w:val="single" w:color="E2E8F0" w:sz="1"/>
            </w:tcBorders>
            <w:shd w:fill="DCFCE7" w:val="clear"/>
            <w:tcMar>
              <w:top w:type="dxa" w:w="80"/>
              <w:left w:type="dxa" w:w="120"/>
              <w:bottom w:type="dxa" w:w="80"/>
              <w:right w:type="dxa" w:w="120"/>
            </w:tcMar>
          </w:tcPr>
          <w:p>
            <w:pPr>
              <w:jc w:val="center"/>
            </w:pPr>
            <w:r>
              <w:rPr>
                <w:rFonts w:ascii="Arial" w:cs="Arial" w:eastAsia="Arial" w:hAnsi="Arial"/>
                <w:b/>
                <w:bCs/>
                <w:color w:val="1E293B"/>
                <w:sz w:val="20"/>
                <w:szCs w:val="20"/>
              </w:rPr>
              <w:t xml:space="preserve">Phase 1</w:t>
            </w:r>
          </w:p>
        </w:tc>
      </w:tr>
      <w:tr>
        <w:tc>
          <w:tcPr>
            <w:tcW w:type="dxa" w:w="2000"/>
            <w:tcBorders>
              <w:top w:val="single" w:color="E2E8F0" w:sz="1"/>
              <w:left w:val="single" w:color="E2E8F0" w:sz="1"/>
              <w:bottom w:val="single" w:color="E2E8F0" w:sz="1"/>
              <w:right w:val="single" w:color="E2E8F0" w:sz="1"/>
            </w:tcBorders>
            <w:tcMar>
              <w:top w:type="dxa" w:w="80"/>
              <w:left w:type="dxa" w:w="120"/>
              <w:bottom w:type="dxa" w:w="80"/>
              <w:right w:type="dxa" w:w="120"/>
            </w:tcMar>
          </w:tcPr>
          <w:p>
            <w:pPr>
              <w:jc w:val="left"/>
            </w:pPr>
            <w:r>
              <w:rPr>
                <w:rFonts w:ascii="Arial" w:cs="Arial" w:eastAsia="Arial" w:hAnsi="Arial"/>
                <w:b/>
                <w:bCs/>
                <w:color w:val="1E293B"/>
                <w:sz w:val="20"/>
                <w:szCs w:val="20"/>
              </w:rPr>
              <w:t xml:space="preserve">Photography</w:t>
            </w:r>
          </w:p>
        </w:tc>
        <w:tc>
          <w:tcPr>
            <w:tcW w:type="dxa" w:w="2600"/>
            <w:tcBorders>
              <w:top w:val="single" w:color="E2E8F0" w:sz="1"/>
              <w:left w:val="single" w:color="E2E8F0" w:sz="1"/>
              <w:bottom w:val="single" w:color="E2E8F0" w:sz="1"/>
              <w:right w:val="single" w:color="E2E8F0" w:sz="1"/>
            </w:tcBorders>
            <w:tcMar>
              <w:top w:type="dxa" w:w="80"/>
              <w:left w:type="dxa" w:w="120"/>
              <w:bottom w:type="dxa" w:w="80"/>
              <w:right w:type="dxa" w:w="120"/>
            </w:tcMar>
          </w:tcPr>
          <w:p>
            <w:pPr>
              <w:jc w:val="left"/>
            </w:pPr>
            <w:r>
              <w:rPr>
                <w:rFonts w:ascii="Arial" w:cs="Arial" w:eastAsia="Arial" w:hAnsi="Arial"/>
                <w:b w:val="false"/>
                <w:bCs w:val="false"/>
                <w:color w:val="475569"/>
                <w:sz w:val="20"/>
                <w:szCs w:val="20"/>
              </w:rPr>
              <w:t xml:space="preserve">Property photos, drone, video, 3D tours</w:t>
            </w:r>
          </w:p>
        </w:tc>
        <w:tc>
          <w:tcPr>
            <w:tcW w:type="dxa" w:w="1400"/>
            <w:tcBorders>
              <w:top w:val="single" w:color="E2E8F0" w:sz="1"/>
              <w:left w:val="single" w:color="E2E8F0" w:sz="1"/>
              <w:bottom w:val="single" w:color="E2E8F0" w:sz="1"/>
              <w:right w:val="single" w:color="E2E8F0" w:sz="1"/>
            </w:tcBorders>
            <w:tcMar>
              <w:top w:type="dxa" w:w="80"/>
              <w:left w:type="dxa" w:w="120"/>
              <w:bottom w:type="dxa" w:w="80"/>
              <w:right w:type="dxa" w:w="120"/>
            </w:tcMar>
          </w:tcPr>
          <w:p>
            <w:pPr>
              <w:jc w:val="left"/>
            </w:pPr>
            <w:r>
              <w:rPr>
                <w:rFonts w:ascii="Arial" w:cs="Arial" w:eastAsia="Arial" w:hAnsi="Arial"/>
                <w:b w:val="false"/>
                <w:bCs w:val="false"/>
                <w:color w:val="475569"/>
                <w:sz w:val="20"/>
                <w:szCs w:val="20"/>
              </w:rPr>
              <w:t xml:space="preserve">£100–400</w:t>
            </w:r>
          </w:p>
        </w:tc>
        <w:tc>
          <w:tcPr>
            <w:tcW w:type="dxa" w:w="1800"/>
            <w:tcBorders>
              <w:top w:val="single" w:color="E2E8F0" w:sz="1"/>
              <w:left w:val="single" w:color="E2E8F0" w:sz="1"/>
              <w:bottom w:val="single" w:color="E2E8F0" w:sz="1"/>
              <w:right w:val="single" w:color="E2E8F0" w:sz="1"/>
            </w:tcBorders>
            <w:tcMar>
              <w:top w:type="dxa" w:w="80"/>
              <w:left w:type="dxa" w:w="120"/>
              <w:bottom w:type="dxa" w:w="80"/>
              <w:right w:type="dxa" w:w="120"/>
            </w:tcMar>
          </w:tcPr>
          <w:p>
            <w:pPr>
              <w:jc w:val="left"/>
            </w:pPr>
            <w:r>
              <w:rPr>
                <w:rFonts w:ascii="Arial" w:cs="Arial" w:eastAsia="Arial" w:hAnsi="Arial"/>
                <w:b w:val="false"/>
                <w:bCs w:val="false"/>
                <w:color w:val="475569"/>
                <w:sz w:val="20"/>
                <w:szCs w:val="20"/>
              </w:rPr>
              <w:t xml:space="preserve">15% commission</w:t>
            </w:r>
          </w:p>
        </w:tc>
        <w:tc>
          <w:tcPr>
            <w:tcW w:type="dxa" w:w="1560"/>
            <w:tcBorders>
              <w:top w:val="single" w:color="E2E8F0" w:sz="1"/>
              <w:left w:val="single" w:color="E2E8F0" w:sz="1"/>
              <w:bottom w:val="single" w:color="E2E8F0" w:sz="1"/>
              <w:right w:val="single" w:color="E2E8F0" w:sz="1"/>
            </w:tcBorders>
            <w:shd w:fill="DCFCE7" w:val="clear"/>
            <w:tcMar>
              <w:top w:type="dxa" w:w="80"/>
              <w:left w:type="dxa" w:w="120"/>
              <w:bottom w:type="dxa" w:w="80"/>
              <w:right w:type="dxa" w:w="120"/>
            </w:tcMar>
          </w:tcPr>
          <w:p>
            <w:pPr>
              <w:jc w:val="center"/>
            </w:pPr>
            <w:r>
              <w:rPr>
                <w:rFonts w:ascii="Arial" w:cs="Arial" w:eastAsia="Arial" w:hAnsi="Arial"/>
                <w:b/>
                <w:bCs/>
                <w:color w:val="1E293B"/>
                <w:sz w:val="20"/>
                <w:szCs w:val="20"/>
              </w:rPr>
              <w:t xml:space="preserve">Phase 1</w:t>
            </w:r>
          </w:p>
        </w:tc>
      </w:tr>
      <w:tr>
        <w:tc>
          <w:tcPr>
            <w:tcW w:type="dxa" w:w="2000"/>
            <w:tcBorders>
              <w:top w:val="single" w:color="E2E8F0" w:sz="1"/>
              <w:left w:val="single" w:color="E2E8F0" w:sz="1"/>
              <w:bottom w:val="single" w:color="E2E8F0" w:sz="1"/>
              <w:right w:val="single" w:color="E2E8F0" w:sz="1"/>
            </w:tcBorders>
            <w:tcMar>
              <w:top w:type="dxa" w:w="80"/>
              <w:left w:type="dxa" w:w="120"/>
              <w:bottom w:type="dxa" w:w="80"/>
              <w:right w:type="dxa" w:w="120"/>
            </w:tcMar>
          </w:tcPr>
          <w:p>
            <w:pPr>
              <w:jc w:val="left"/>
            </w:pPr>
            <w:r>
              <w:rPr>
                <w:rFonts w:ascii="Arial" w:cs="Arial" w:eastAsia="Arial" w:hAnsi="Arial"/>
                <w:b/>
                <w:bCs/>
                <w:color w:val="1E293B"/>
                <w:sz w:val="20"/>
                <w:szCs w:val="20"/>
              </w:rPr>
              <w:t xml:space="preserve">Surveyors</w:t>
            </w:r>
          </w:p>
        </w:tc>
        <w:tc>
          <w:tcPr>
            <w:tcW w:type="dxa" w:w="2600"/>
            <w:tcBorders>
              <w:top w:val="single" w:color="E2E8F0" w:sz="1"/>
              <w:left w:val="single" w:color="E2E8F0" w:sz="1"/>
              <w:bottom w:val="single" w:color="E2E8F0" w:sz="1"/>
              <w:right w:val="single" w:color="E2E8F0" w:sz="1"/>
            </w:tcBorders>
            <w:tcMar>
              <w:top w:type="dxa" w:w="80"/>
              <w:left w:type="dxa" w:w="120"/>
              <w:bottom w:type="dxa" w:w="80"/>
              <w:right w:type="dxa" w:w="120"/>
            </w:tcMar>
          </w:tcPr>
          <w:p>
            <w:pPr>
              <w:jc w:val="left"/>
            </w:pPr>
            <w:r>
              <w:rPr>
                <w:rFonts w:ascii="Arial" w:cs="Arial" w:eastAsia="Arial" w:hAnsi="Arial"/>
                <w:b w:val="false"/>
                <w:bCs w:val="false"/>
                <w:color w:val="475569"/>
                <w:sz w:val="20"/>
                <w:szCs w:val="20"/>
              </w:rPr>
              <w:t xml:space="preserve">RICS surveyors, building inspectors</w:t>
            </w:r>
          </w:p>
        </w:tc>
        <w:tc>
          <w:tcPr>
            <w:tcW w:type="dxa" w:w="1400"/>
            <w:tcBorders>
              <w:top w:val="single" w:color="E2E8F0" w:sz="1"/>
              <w:left w:val="single" w:color="E2E8F0" w:sz="1"/>
              <w:bottom w:val="single" w:color="E2E8F0" w:sz="1"/>
              <w:right w:val="single" w:color="E2E8F0" w:sz="1"/>
            </w:tcBorders>
            <w:tcMar>
              <w:top w:type="dxa" w:w="80"/>
              <w:left w:type="dxa" w:w="120"/>
              <w:bottom w:type="dxa" w:w="80"/>
              <w:right w:type="dxa" w:w="120"/>
            </w:tcMar>
          </w:tcPr>
          <w:p>
            <w:pPr>
              <w:jc w:val="left"/>
            </w:pPr>
            <w:r>
              <w:rPr>
                <w:rFonts w:ascii="Arial" w:cs="Arial" w:eastAsia="Arial" w:hAnsi="Arial"/>
                <w:b w:val="false"/>
                <w:bCs w:val="false"/>
                <w:color w:val="475569"/>
                <w:sz w:val="20"/>
                <w:szCs w:val="20"/>
              </w:rPr>
              <w:t xml:space="preserve">£300–800</w:t>
            </w:r>
          </w:p>
        </w:tc>
        <w:tc>
          <w:tcPr>
            <w:tcW w:type="dxa" w:w="1800"/>
            <w:tcBorders>
              <w:top w:val="single" w:color="E2E8F0" w:sz="1"/>
              <w:left w:val="single" w:color="E2E8F0" w:sz="1"/>
              <w:bottom w:val="single" w:color="E2E8F0" w:sz="1"/>
              <w:right w:val="single" w:color="E2E8F0" w:sz="1"/>
            </w:tcBorders>
            <w:tcMar>
              <w:top w:type="dxa" w:w="80"/>
              <w:left w:type="dxa" w:w="120"/>
              <w:bottom w:type="dxa" w:w="80"/>
              <w:right w:type="dxa" w:w="120"/>
            </w:tcMar>
          </w:tcPr>
          <w:p>
            <w:pPr>
              <w:jc w:val="left"/>
            </w:pPr>
            <w:r>
              <w:rPr>
                <w:rFonts w:ascii="Arial" w:cs="Arial" w:eastAsia="Arial" w:hAnsi="Arial"/>
                <w:b w:val="false"/>
                <w:bCs w:val="false"/>
                <w:color w:val="475569"/>
                <w:sz w:val="20"/>
                <w:szCs w:val="20"/>
              </w:rPr>
              <w:t xml:space="preserve">Lead fee £20–40</w:t>
            </w:r>
          </w:p>
        </w:tc>
        <w:tc>
          <w:tcPr>
            <w:tcW w:type="dxa" w:w="1560"/>
            <w:tcBorders>
              <w:top w:val="single" w:color="E2E8F0" w:sz="1"/>
              <w:left w:val="single" w:color="E2E8F0" w:sz="1"/>
              <w:bottom w:val="single" w:color="E2E8F0" w:sz="1"/>
              <w:right w:val="single" w:color="E2E8F0" w:sz="1"/>
            </w:tcBorders>
            <w:shd w:fill="DCFCE7" w:val="clear"/>
            <w:tcMar>
              <w:top w:type="dxa" w:w="80"/>
              <w:left w:type="dxa" w:w="120"/>
              <w:bottom w:type="dxa" w:w="80"/>
              <w:right w:type="dxa" w:w="120"/>
            </w:tcMar>
          </w:tcPr>
          <w:p>
            <w:pPr>
              <w:jc w:val="center"/>
            </w:pPr>
            <w:r>
              <w:rPr>
                <w:rFonts w:ascii="Arial" w:cs="Arial" w:eastAsia="Arial" w:hAnsi="Arial"/>
                <w:b/>
                <w:bCs/>
                <w:color w:val="1E293B"/>
                <w:sz w:val="20"/>
                <w:szCs w:val="20"/>
              </w:rPr>
              <w:t xml:space="preserve">Phase 1</w:t>
            </w:r>
          </w:p>
        </w:tc>
      </w:tr>
      <w:tr>
        <w:tc>
          <w:tcPr>
            <w:tcW w:type="dxa" w:w="2000"/>
            <w:tcBorders>
              <w:top w:val="single" w:color="E2E8F0" w:sz="1"/>
              <w:left w:val="single" w:color="E2E8F0" w:sz="1"/>
              <w:bottom w:val="single" w:color="E2E8F0" w:sz="1"/>
              <w:right w:val="single" w:color="E2E8F0" w:sz="1"/>
            </w:tcBorders>
            <w:tcMar>
              <w:top w:type="dxa" w:w="80"/>
              <w:left w:type="dxa" w:w="120"/>
              <w:bottom w:type="dxa" w:w="80"/>
              <w:right w:type="dxa" w:w="120"/>
            </w:tcMar>
          </w:tcPr>
          <w:p>
            <w:pPr>
              <w:jc w:val="left"/>
            </w:pPr>
            <w:r>
              <w:rPr>
                <w:rFonts w:ascii="Arial" w:cs="Arial" w:eastAsia="Arial" w:hAnsi="Arial"/>
                <w:b/>
                <w:bCs/>
                <w:color w:val="1E293B"/>
                <w:sz w:val="20"/>
                <w:szCs w:val="20"/>
              </w:rPr>
              <w:t xml:space="preserve">Mortgage Brokers</w:t>
            </w:r>
          </w:p>
        </w:tc>
        <w:tc>
          <w:tcPr>
            <w:tcW w:type="dxa" w:w="2600"/>
            <w:tcBorders>
              <w:top w:val="single" w:color="E2E8F0" w:sz="1"/>
              <w:left w:val="single" w:color="E2E8F0" w:sz="1"/>
              <w:bottom w:val="single" w:color="E2E8F0" w:sz="1"/>
              <w:right w:val="single" w:color="E2E8F0" w:sz="1"/>
            </w:tcBorders>
            <w:tcMar>
              <w:top w:type="dxa" w:w="80"/>
              <w:left w:type="dxa" w:w="120"/>
              <w:bottom w:type="dxa" w:w="80"/>
              <w:right w:type="dxa" w:w="120"/>
            </w:tcMar>
          </w:tcPr>
          <w:p>
            <w:pPr>
              <w:jc w:val="left"/>
            </w:pPr>
            <w:r>
              <w:rPr>
                <w:rFonts w:ascii="Arial" w:cs="Arial" w:eastAsia="Arial" w:hAnsi="Arial"/>
                <w:b w:val="false"/>
                <w:bCs w:val="false"/>
                <w:color w:val="475569"/>
                <w:sz w:val="20"/>
                <w:szCs w:val="20"/>
              </w:rPr>
              <w:t xml:space="preserve">Whole-of-market, FCA-authorised</w:t>
            </w:r>
          </w:p>
        </w:tc>
        <w:tc>
          <w:tcPr>
            <w:tcW w:type="dxa" w:w="1400"/>
            <w:tcBorders>
              <w:top w:val="single" w:color="E2E8F0" w:sz="1"/>
              <w:left w:val="single" w:color="E2E8F0" w:sz="1"/>
              <w:bottom w:val="single" w:color="E2E8F0" w:sz="1"/>
              <w:right w:val="single" w:color="E2E8F0" w:sz="1"/>
            </w:tcBorders>
            <w:tcMar>
              <w:top w:type="dxa" w:w="80"/>
              <w:left w:type="dxa" w:w="120"/>
              <w:bottom w:type="dxa" w:w="80"/>
              <w:right w:type="dxa" w:w="120"/>
            </w:tcMar>
          </w:tcPr>
          <w:p>
            <w:pPr>
              <w:jc w:val="left"/>
            </w:pPr>
            <w:r>
              <w:rPr>
                <w:rFonts w:ascii="Arial" w:cs="Arial" w:eastAsia="Arial" w:hAnsi="Arial"/>
                <w:b w:val="false"/>
                <w:bCs w:val="false"/>
                <w:color w:val="475569"/>
                <w:sz w:val="20"/>
                <w:szCs w:val="20"/>
              </w:rPr>
              <w:t xml:space="preserve">Free to buyer</w:t>
            </w:r>
          </w:p>
        </w:tc>
        <w:tc>
          <w:tcPr>
            <w:tcW w:type="dxa" w:w="1800"/>
            <w:tcBorders>
              <w:top w:val="single" w:color="E2E8F0" w:sz="1"/>
              <w:left w:val="single" w:color="E2E8F0" w:sz="1"/>
              <w:bottom w:val="single" w:color="E2E8F0" w:sz="1"/>
              <w:right w:val="single" w:color="E2E8F0" w:sz="1"/>
            </w:tcBorders>
            <w:tcMar>
              <w:top w:type="dxa" w:w="80"/>
              <w:left w:type="dxa" w:w="120"/>
              <w:bottom w:type="dxa" w:w="80"/>
              <w:right w:type="dxa" w:w="120"/>
            </w:tcMar>
          </w:tcPr>
          <w:p>
            <w:pPr>
              <w:jc w:val="left"/>
            </w:pPr>
            <w:r>
              <w:rPr>
                <w:rFonts w:ascii="Arial" w:cs="Arial" w:eastAsia="Arial" w:hAnsi="Arial"/>
                <w:b w:val="false"/>
                <w:bCs w:val="false"/>
                <w:color w:val="475569"/>
                <w:sz w:val="20"/>
                <w:szCs w:val="20"/>
              </w:rPr>
              <w:t xml:space="preserve">Introducer fee £50–100</w:t>
            </w:r>
          </w:p>
        </w:tc>
        <w:tc>
          <w:tcPr>
            <w:tcW w:type="dxa" w:w="1560"/>
            <w:tcBorders>
              <w:top w:val="single" w:color="E2E8F0" w:sz="1"/>
              <w:left w:val="single" w:color="E2E8F0" w:sz="1"/>
              <w:bottom w:val="single" w:color="E2E8F0" w:sz="1"/>
              <w:right w:val="single" w:color="E2E8F0" w:sz="1"/>
            </w:tcBorders>
            <w:shd w:fill="DCFCE7" w:val="clear"/>
            <w:tcMar>
              <w:top w:type="dxa" w:w="80"/>
              <w:left w:type="dxa" w:w="120"/>
              <w:bottom w:type="dxa" w:w="80"/>
              <w:right w:type="dxa" w:w="120"/>
            </w:tcMar>
          </w:tcPr>
          <w:p>
            <w:pPr>
              <w:jc w:val="center"/>
            </w:pPr>
            <w:r>
              <w:rPr>
                <w:rFonts w:ascii="Arial" w:cs="Arial" w:eastAsia="Arial" w:hAnsi="Arial"/>
                <w:b/>
                <w:bCs/>
                <w:color w:val="1E293B"/>
                <w:sz w:val="20"/>
                <w:szCs w:val="20"/>
              </w:rPr>
              <w:t xml:space="preserve">Phase 1</w:t>
            </w:r>
          </w:p>
        </w:tc>
      </w:tr>
      <w:tr>
        <w:tc>
          <w:tcPr>
            <w:tcW w:type="dxa" w:w="2000"/>
            <w:tcBorders>
              <w:top w:val="single" w:color="E2E8F0" w:sz="1"/>
              <w:left w:val="single" w:color="E2E8F0" w:sz="1"/>
              <w:bottom w:val="single" w:color="E2E8F0" w:sz="1"/>
              <w:right w:val="single" w:color="E2E8F0" w:sz="1"/>
            </w:tcBorders>
            <w:tcMar>
              <w:top w:type="dxa" w:w="80"/>
              <w:left w:type="dxa" w:w="120"/>
              <w:bottom w:type="dxa" w:w="80"/>
              <w:right w:type="dxa" w:w="120"/>
            </w:tcMar>
          </w:tcPr>
          <w:p>
            <w:pPr>
              <w:jc w:val="left"/>
            </w:pPr>
            <w:r>
              <w:rPr>
                <w:rFonts w:ascii="Arial" w:cs="Arial" w:eastAsia="Arial" w:hAnsi="Arial"/>
                <w:b/>
                <w:bCs/>
                <w:color w:val="1E293B"/>
                <w:sz w:val="20"/>
                <w:szCs w:val="20"/>
              </w:rPr>
              <w:t xml:space="preserve">Home Staging</w:t>
            </w:r>
          </w:p>
        </w:tc>
        <w:tc>
          <w:tcPr>
            <w:tcW w:type="dxa" w:w="2600"/>
            <w:tcBorders>
              <w:top w:val="single" w:color="E2E8F0" w:sz="1"/>
              <w:left w:val="single" w:color="E2E8F0" w:sz="1"/>
              <w:bottom w:val="single" w:color="E2E8F0" w:sz="1"/>
              <w:right w:val="single" w:color="E2E8F0" w:sz="1"/>
            </w:tcBorders>
            <w:tcMar>
              <w:top w:type="dxa" w:w="80"/>
              <w:left w:type="dxa" w:w="120"/>
              <w:bottom w:type="dxa" w:w="80"/>
              <w:right w:type="dxa" w:w="120"/>
            </w:tcMar>
          </w:tcPr>
          <w:p>
            <w:pPr>
              <w:jc w:val="left"/>
            </w:pPr>
            <w:r>
              <w:rPr>
                <w:rFonts w:ascii="Arial" w:cs="Arial" w:eastAsia="Arial" w:hAnsi="Arial"/>
                <w:b w:val="false"/>
                <w:bCs w:val="false"/>
                <w:color w:val="475569"/>
                <w:sz w:val="20"/>
                <w:szCs w:val="20"/>
              </w:rPr>
              <w:t xml:space="preserve">Furniture rental, styling consultants</w:t>
            </w:r>
          </w:p>
        </w:tc>
        <w:tc>
          <w:tcPr>
            <w:tcW w:type="dxa" w:w="1400"/>
            <w:tcBorders>
              <w:top w:val="single" w:color="E2E8F0" w:sz="1"/>
              <w:left w:val="single" w:color="E2E8F0" w:sz="1"/>
              <w:bottom w:val="single" w:color="E2E8F0" w:sz="1"/>
              <w:right w:val="single" w:color="E2E8F0" w:sz="1"/>
            </w:tcBorders>
            <w:tcMar>
              <w:top w:type="dxa" w:w="80"/>
              <w:left w:type="dxa" w:w="120"/>
              <w:bottom w:type="dxa" w:w="80"/>
              <w:right w:type="dxa" w:w="120"/>
            </w:tcMar>
          </w:tcPr>
          <w:p>
            <w:pPr>
              <w:jc w:val="left"/>
            </w:pPr>
            <w:r>
              <w:rPr>
                <w:rFonts w:ascii="Arial" w:cs="Arial" w:eastAsia="Arial" w:hAnsi="Arial"/>
                <w:b w:val="false"/>
                <w:bCs w:val="false"/>
                <w:color w:val="475569"/>
                <w:sz w:val="20"/>
                <w:szCs w:val="20"/>
              </w:rPr>
              <w:t xml:space="preserve">£500–2,000</w:t>
            </w:r>
          </w:p>
        </w:tc>
        <w:tc>
          <w:tcPr>
            <w:tcW w:type="dxa" w:w="1800"/>
            <w:tcBorders>
              <w:top w:val="single" w:color="E2E8F0" w:sz="1"/>
              <w:left w:val="single" w:color="E2E8F0" w:sz="1"/>
              <w:bottom w:val="single" w:color="E2E8F0" w:sz="1"/>
              <w:right w:val="single" w:color="E2E8F0" w:sz="1"/>
            </w:tcBorders>
            <w:tcMar>
              <w:top w:type="dxa" w:w="80"/>
              <w:left w:type="dxa" w:w="120"/>
              <w:bottom w:type="dxa" w:w="80"/>
              <w:right w:type="dxa" w:w="120"/>
            </w:tcMar>
          </w:tcPr>
          <w:p>
            <w:pPr>
              <w:jc w:val="left"/>
            </w:pPr>
            <w:r>
              <w:rPr>
                <w:rFonts w:ascii="Arial" w:cs="Arial" w:eastAsia="Arial" w:hAnsi="Arial"/>
                <w:b w:val="false"/>
                <w:bCs w:val="false"/>
                <w:color w:val="475569"/>
                <w:sz w:val="20"/>
                <w:szCs w:val="20"/>
              </w:rPr>
              <w:t xml:space="preserve">10–15% commission</w:t>
            </w:r>
          </w:p>
        </w:tc>
        <w:tc>
          <w:tcPr>
            <w:tcW w:type="dxa" w:w="1560"/>
            <w:tcBorders>
              <w:top w:val="single" w:color="E2E8F0" w:sz="1"/>
              <w:left w:val="single" w:color="E2E8F0" w:sz="1"/>
              <w:bottom w:val="single" w:color="E2E8F0" w:sz="1"/>
              <w:right w:val="single" w:color="E2E8F0" w:sz="1"/>
            </w:tcBorders>
            <w:shd w:fill="DBEAFE" w:val="clear"/>
            <w:tcMar>
              <w:top w:type="dxa" w:w="80"/>
              <w:left w:type="dxa" w:w="120"/>
              <w:bottom w:type="dxa" w:w="80"/>
              <w:right w:type="dxa" w:w="120"/>
            </w:tcMar>
          </w:tcPr>
          <w:p>
            <w:pPr>
              <w:jc w:val="center"/>
            </w:pPr>
            <w:r>
              <w:rPr>
                <w:rFonts w:ascii="Arial" w:cs="Arial" w:eastAsia="Arial" w:hAnsi="Arial"/>
                <w:b/>
                <w:bCs/>
                <w:color w:val="1E293B"/>
                <w:sz w:val="20"/>
                <w:szCs w:val="20"/>
              </w:rPr>
              <w:t xml:space="preserve">Phase 2</w:t>
            </w:r>
          </w:p>
        </w:tc>
      </w:tr>
      <w:tr>
        <w:tc>
          <w:tcPr>
            <w:tcW w:type="dxa" w:w="2000"/>
            <w:tcBorders>
              <w:top w:val="single" w:color="E2E8F0" w:sz="1"/>
              <w:left w:val="single" w:color="E2E8F0" w:sz="1"/>
              <w:bottom w:val="single" w:color="E2E8F0" w:sz="1"/>
              <w:right w:val="single" w:color="E2E8F0" w:sz="1"/>
            </w:tcBorders>
            <w:tcMar>
              <w:top w:type="dxa" w:w="80"/>
              <w:left w:type="dxa" w:w="120"/>
              <w:bottom w:type="dxa" w:w="80"/>
              <w:right w:type="dxa" w:w="120"/>
            </w:tcMar>
          </w:tcPr>
          <w:p>
            <w:pPr>
              <w:jc w:val="left"/>
            </w:pPr>
            <w:r>
              <w:rPr>
                <w:rFonts w:ascii="Arial" w:cs="Arial" w:eastAsia="Arial" w:hAnsi="Arial"/>
                <w:b/>
                <w:bCs/>
                <w:color w:val="1E293B"/>
                <w:sz w:val="20"/>
                <w:szCs w:val="20"/>
              </w:rPr>
              <w:t xml:space="preserve">Insurance</w:t>
            </w:r>
          </w:p>
        </w:tc>
        <w:tc>
          <w:tcPr>
            <w:tcW w:type="dxa" w:w="2600"/>
            <w:tcBorders>
              <w:top w:val="single" w:color="E2E8F0" w:sz="1"/>
              <w:left w:val="single" w:color="E2E8F0" w:sz="1"/>
              <w:bottom w:val="single" w:color="E2E8F0" w:sz="1"/>
              <w:right w:val="single" w:color="E2E8F0" w:sz="1"/>
            </w:tcBorders>
            <w:tcMar>
              <w:top w:type="dxa" w:w="80"/>
              <w:left w:type="dxa" w:w="120"/>
              <w:bottom w:type="dxa" w:w="80"/>
              <w:right w:type="dxa" w:w="120"/>
            </w:tcMar>
          </w:tcPr>
          <w:p>
            <w:pPr>
              <w:jc w:val="left"/>
            </w:pPr>
            <w:r>
              <w:rPr>
                <w:rFonts w:ascii="Arial" w:cs="Arial" w:eastAsia="Arial" w:hAnsi="Arial"/>
                <w:b w:val="false"/>
                <w:bCs w:val="false"/>
                <w:color w:val="475569"/>
                <w:sz w:val="20"/>
                <w:szCs w:val="20"/>
              </w:rPr>
              <w:t xml:space="preserve">Buildings, contents, landlord cover</w:t>
            </w:r>
          </w:p>
        </w:tc>
        <w:tc>
          <w:tcPr>
            <w:tcW w:type="dxa" w:w="1400"/>
            <w:tcBorders>
              <w:top w:val="single" w:color="E2E8F0" w:sz="1"/>
              <w:left w:val="single" w:color="E2E8F0" w:sz="1"/>
              <w:bottom w:val="single" w:color="E2E8F0" w:sz="1"/>
              <w:right w:val="single" w:color="E2E8F0" w:sz="1"/>
            </w:tcBorders>
            <w:tcMar>
              <w:top w:type="dxa" w:w="80"/>
              <w:left w:type="dxa" w:w="120"/>
              <w:bottom w:type="dxa" w:w="80"/>
              <w:right w:type="dxa" w:w="120"/>
            </w:tcMar>
          </w:tcPr>
          <w:p>
            <w:pPr>
              <w:jc w:val="left"/>
            </w:pPr>
            <w:r>
              <w:rPr>
                <w:rFonts w:ascii="Arial" w:cs="Arial" w:eastAsia="Arial" w:hAnsi="Arial"/>
                <w:b w:val="false"/>
                <w:bCs w:val="false"/>
                <w:color w:val="475569"/>
                <w:sz w:val="20"/>
                <w:szCs w:val="20"/>
              </w:rPr>
              <w:t xml:space="preserve">Varies</w:t>
            </w:r>
          </w:p>
        </w:tc>
        <w:tc>
          <w:tcPr>
            <w:tcW w:type="dxa" w:w="1800"/>
            <w:tcBorders>
              <w:top w:val="single" w:color="E2E8F0" w:sz="1"/>
              <w:left w:val="single" w:color="E2E8F0" w:sz="1"/>
              <w:bottom w:val="single" w:color="E2E8F0" w:sz="1"/>
              <w:right w:val="single" w:color="E2E8F0" w:sz="1"/>
            </w:tcBorders>
            <w:tcMar>
              <w:top w:type="dxa" w:w="80"/>
              <w:left w:type="dxa" w:w="120"/>
              <w:bottom w:type="dxa" w:w="80"/>
              <w:right w:type="dxa" w:w="120"/>
            </w:tcMar>
          </w:tcPr>
          <w:p>
            <w:pPr>
              <w:jc w:val="left"/>
            </w:pPr>
            <w:r>
              <w:rPr>
                <w:rFonts w:ascii="Arial" w:cs="Arial" w:eastAsia="Arial" w:hAnsi="Arial"/>
                <w:b w:val="false"/>
                <w:bCs w:val="false"/>
                <w:color w:val="475569"/>
                <w:sz w:val="20"/>
                <w:szCs w:val="20"/>
              </w:rPr>
              <w:t xml:space="preserve">Affiliate / CPA</w:t>
            </w:r>
          </w:p>
        </w:tc>
        <w:tc>
          <w:tcPr>
            <w:tcW w:type="dxa" w:w="1560"/>
            <w:tcBorders>
              <w:top w:val="single" w:color="E2E8F0" w:sz="1"/>
              <w:left w:val="single" w:color="E2E8F0" w:sz="1"/>
              <w:bottom w:val="single" w:color="E2E8F0" w:sz="1"/>
              <w:right w:val="single" w:color="E2E8F0" w:sz="1"/>
            </w:tcBorders>
            <w:shd w:fill="DBEAFE" w:val="clear"/>
            <w:tcMar>
              <w:top w:type="dxa" w:w="80"/>
              <w:left w:type="dxa" w:w="120"/>
              <w:bottom w:type="dxa" w:w="80"/>
              <w:right w:type="dxa" w:w="120"/>
            </w:tcMar>
          </w:tcPr>
          <w:p>
            <w:pPr>
              <w:jc w:val="center"/>
            </w:pPr>
            <w:r>
              <w:rPr>
                <w:rFonts w:ascii="Arial" w:cs="Arial" w:eastAsia="Arial" w:hAnsi="Arial"/>
                <w:b/>
                <w:bCs/>
                <w:color w:val="1E293B"/>
                <w:sz w:val="20"/>
                <w:szCs w:val="20"/>
              </w:rPr>
              <w:t xml:space="preserve">Phase 2</w:t>
            </w:r>
          </w:p>
        </w:tc>
      </w:tr>
    </w:tbl>
    <w:p>
      <w:pPr>
        <w:spacing w:after="120" w:before="120"/>
      </w:pPr>
    </w:p>
    <w:p>
      <w:pPr>
        <w:pStyle w:val="Heading2"/>
      </w:pPr>
      <w:r>
        <w:t xml:space="preserve">2.2 Lettings Services (OpenRent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1400"/>
        <w:gridCol w:w="1600"/>
        <w:gridCol w:w="1560"/>
      </w:tblGrid>
      <w:tr>
        <w:tc>
          <w:tcPr>
            <w:tcW w:type="dxa" w:w="2200"/>
            <w:tcBorders>
              <w:top w:val="single" w:color="E2E8F0" w:sz="1"/>
              <w:left w:val="single" w:color="E2E8F0" w:sz="1"/>
              <w:bottom w:val="single" w:color="E2E8F0" w:sz="1"/>
              <w:right w:val="single" w:color="E2E8F0" w:sz="1"/>
            </w:tcBorders>
            <w:shd w:fill="0F1117" w:val="clear"/>
            <w:tcMar>
              <w:top w:type="dxa" w:w="80"/>
              <w:left w:type="dxa" w:w="120"/>
              <w:bottom w:type="dxa" w:w="80"/>
              <w:right w:type="dxa" w:w="120"/>
            </w:tcMar>
          </w:tcPr>
          <w:p>
            <w:r>
              <w:rPr>
                <w:rFonts w:ascii="Arial" w:cs="Arial" w:eastAsia="Arial" w:hAnsi="Arial"/>
                <w:b/>
                <w:bCs/>
                <w:color w:val="FFFFFF"/>
                <w:sz w:val="20"/>
                <w:szCs w:val="20"/>
              </w:rPr>
              <w:t xml:space="preserve">Service</w:t>
            </w:r>
          </w:p>
        </w:tc>
        <w:tc>
          <w:tcPr>
            <w:tcW w:type="dxa" w:w="2600"/>
            <w:tcBorders>
              <w:top w:val="single" w:color="E2E8F0" w:sz="1"/>
              <w:left w:val="single" w:color="E2E8F0" w:sz="1"/>
              <w:bottom w:val="single" w:color="E2E8F0" w:sz="1"/>
              <w:right w:val="single" w:color="E2E8F0" w:sz="1"/>
            </w:tcBorders>
            <w:shd w:fill="0F1117" w:val="clear"/>
            <w:tcMar>
              <w:top w:type="dxa" w:w="80"/>
              <w:left w:type="dxa" w:w="120"/>
              <w:bottom w:type="dxa" w:w="80"/>
              <w:right w:type="dxa" w:w="120"/>
            </w:tcMar>
          </w:tcPr>
          <w:p>
            <w:r>
              <w:rPr>
                <w:rFonts w:ascii="Arial" w:cs="Arial" w:eastAsia="Arial" w:hAnsi="Arial"/>
                <w:b/>
                <w:bCs/>
                <w:color w:val="FFFFFF"/>
                <w:sz w:val="20"/>
                <w:szCs w:val="20"/>
              </w:rPr>
              <w:t xml:space="preserve">What It Covers</w:t>
            </w:r>
          </w:p>
        </w:tc>
        <w:tc>
          <w:tcPr>
            <w:tcW w:type="dxa" w:w="1400"/>
            <w:tcBorders>
              <w:top w:val="single" w:color="E2E8F0" w:sz="1"/>
              <w:left w:val="single" w:color="E2E8F0" w:sz="1"/>
              <w:bottom w:val="single" w:color="E2E8F0" w:sz="1"/>
              <w:right w:val="single" w:color="E2E8F0" w:sz="1"/>
            </w:tcBorders>
            <w:shd w:fill="0F1117" w:val="clear"/>
            <w:tcMar>
              <w:top w:type="dxa" w:w="80"/>
              <w:left w:type="dxa" w:w="120"/>
              <w:bottom w:type="dxa" w:w="80"/>
              <w:right w:type="dxa" w:w="120"/>
            </w:tcMar>
          </w:tcPr>
          <w:p>
            <w:r>
              <w:rPr>
                <w:rFonts w:ascii="Arial" w:cs="Arial" w:eastAsia="Arial" w:hAnsi="Arial"/>
                <w:b/>
                <w:bCs/>
                <w:color w:val="FFFFFF"/>
                <w:sz w:val="20"/>
                <w:szCs w:val="20"/>
              </w:rPr>
              <w:t xml:space="preserve">OpenRent Price</w:t>
            </w:r>
          </w:p>
        </w:tc>
        <w:tc>
          <w:tcPr>
            <w:tcW w:type="dxa" w:w="1600"/>
            <w:tcBorders>
              <w:top w:val="single" w:color="E2E8F0" w:sz="1"/>
              <w:left w:val="single" w:color="E2E8F0" w:sz="1"/>
              <w:bottom w:val="single" w:color="E2E8F0" w:sz="1"/>
              <w:right w:val="single" w:color="E2E8F0" w:sz="1"/>
            </w:tcBorders>
            <w:shd w:fill="0F1117" w:val="clear"/>
            <w:tcMar>
              <w:top w:type="dxa" w:w="80"/>
              <w:left w:type="dxa" w:w="120"/>
              <w:bottom w:type="dxa" w:w="80"/>
              <w:right w:type="dxa" w:w="120"/>
            </w:tcMar>
          </w:tcPr>
          <w:p>
            <w:r>
              <w:rPr>
                <w:rFonts w:ascii="Arial" w:cs="Arial" w:eastAsia="Arial" w:hAnsi="Arial"/>
                <w:b/>
                <w:bCs/>
                <w:color w:val="FFFFFF"/>
                <w:sz w:val="20"/>
                <w:szCs w:val="20"/>
              </w:rPr>
              <w:t xml:space="preserve">Yalla Model</w:t>
            </w:r>
          </w:p>
        </w:tc>
        <w:tc>
          <w:tcPr>
            <w:tcW w:type="dxa" w:w="1560"/>
            <w:tcBorders>
              <w:top w:val="single" w:color="E2E8F0" w:sz="1"/>
              <w:left w:val="single" w:color="E2E8F0" w:sz="1"/>
              <w:bottom w:val="single" w:color="E2E8F0" w:sz="1"/>
              <w:right w:val="single" w:color="E2E8F0" w:sz="1"/>
            </w:tcBorders>
            <w:shd w:fill="0F1117" w:val="clear"/>
            <w:tcMar>
              <w:top w:type="dxa" w:w="80"/>
              <w:left w:type="dxa" w:w="120"/>
              <w:bottom w:type="dxa" w:w="80"/>
              <w:right w:type="dxa" w:w="120"/>
            </w:tcMar>
          </w:tcPr>
          <w:p>
            <w:r>
              <w:rPr>
                <w:rFonts w:ascii="Arial" w:cs="Arial" w:eastAsia="Arial" w:hAnsi="Arial"/>
                <w:b/>
                <w:bCs/>
                <w:color w:val="FFFFFF"/>
                <w:sz w:val="20"/>
                <w:szCs w:val="20"/>
              </w:rPr>
              <w:t xml:space="preserve">Phase</w:t>
            </w:r>
          </w:p>
        </w:tc>
      </w:tr>
      <w:tr>
        <w:tc>
          <w:tcPr>
            <w:tcW w:type="dxa" w:w="2200"/>
            <w:tcBorders>
              <w:top w:val="single" w:color="E2E8F0" w:sz="1"/>
              <w:left w:val="single" w:color="E2E8F0" w:sz="1"/>
              <w:bottom w:val="single" w:color="E2E8F0" w:sz="1"/>
              <w:right w:val="single" w:color="E2E8F0" w:sz="1"/>
            </w:tcBorders>
            <w:tcMar>
              <w:top w:type="dxa" w:w="80"/>
              <w:left w:type="dxa" w:w="120"/>
              <w:bottom w:type="dxa" w:w="80"/>
              <w:right w:type="dxa" w:w="120"/>
            </w:tcMar>
          </w:tcPr>
          <w:p>
            <w:pPr>
              <w:jc w:val="left"/>
            </w:pPr>
            <w:r>
              <w:rPr>
                <w:rFonts w:ascii="Arial" w:cs="Arial" w:eastAsia="Arial" w:hAnsi="Arial"/>
                <w:b/>
                <w:bCs/>
                <w:color w:val="1E293B"/>
                <w:sz w:val="20"/>
                <w:szCs w:val="20"/>
              </w:rPr>
              <w:t xml:space="preserve">Gas Safety (CP12)</w:t>
            </w:r>
          </w:p>
        </w:tc>
        <w:tc>
          <w:tcPr>
            <w:tcW w:type="dxa" w:w="2600"/>
            <w:tcBorders>
              <w:top w:val="single" w:color="E2E8F0" w:sz="1"/>
              <w:left w:val="single" w:color="E2E8F0" w:sz="1"/>
              <w:bottom w:val="single" w:color="E2E8F0" w:sz="1"/>
              <w:right w:val="single" w:color="E2E8F0" w:sz="1"/>
            </w:tcBorders>
            <w:tcMar>
              <w:top w:type="dxa" w:w="80"/>
              <w:left w:type="dxa" w:w="120"/>
              <w:bottom w:type="dxa" w:w="80"/>
              <w:right w:type="dxa" w:w="120"/>
            </w:tcMar>
          </w:tcPr>
          <w:p>
            <w:pPr>
              <w:jc w:val="left"/>
            </w:pPr>
            <w:r>
              <w:rPr>
                <w:rFonts w:ascii="Arial" w:cs="Arial" w:eastAsia="Arial" w:hAnsi="Arial"/>
                <w:b w:val="false"/>
                <w:bCs w:val="false"/>
                <w:color w:val="475569"/>
                <w:sz w:val="20"/>
                <w:szCs w:val="20"/>
              </w:rPr>
              <w:t xml:space="preserve">Gas Safe engineer inspection + certificate</w:t>
            </w:r>
          </w:p>
        </w:tc>
        <w:tc>
          <w:tcPr>
            <w:tcW w:type="dxa" w:w="1400"/>
            <w:tcBorders>
              <w:top w:val="single" w:color="E2E8F0" w:sz="1"/>
              <w:left w:val="single" w:color="E2E8F0" w:sz="1"/>
              <w:bottom w:val="single" w:color="E2E8F0" w:sz="1"/>
              <w:right w:val="single" w:color="E2E8F0" w:sz="1"/>
            </w:tcBorders>
            <w:tcMar>
              <w:top w:type="dxa" w:w="80"/>
              <w:left w:type="dxa" w:w="120"/>
              <w:bottom w:type="dxa" w:w="80"/>
              <w:right w:type="dxa" w:w="120"/>
            </w:tcMar>
          </w:tcPr>
          <w:p>
            <w:pPr>
              <w:jc w:val="left"/>
            </w:pPr>
            <w:r>
              <w:rPr>
                <w:rFonts w:ascii="Arial" w:cs="Arial" w:eastAsia="Arial" w:hAnsi="Arial"/>
                <w:b w:val="false"/>
                <w:bCs w:val="false"/>
                <w:color w:val="475569"/>
                <w:sz w:val="20"/>
                <w:szCs w:val="20"/>
              </w:rPr>
              <w:t xml:space="preserve">£55</w:t>
            </w:r>
          </w:p>
        </w:tc>
        <w:tc>
          <w:tcPr>
            <w:tcW w:type="dxa" w:w="1600"/>
            <w:tcBorders>
              <w:top w:val="single" w:color="E2E8F0" w:sz="1"/>
              <w:left w:val="single" w:color="E2E8F0" w:sz="1"/>
              <w:bottom w:val="single" w:color="E2E8F0" w:sz="1"/>
              <w:right w:val="single" w:color="E2E8F0" w:sz="1"/>
            </w:tcBorders>
            <w:tcMar>
              <w:top w:type="dxa" w:w="80"/>
              <w:left w:type="dxa" w:w="120"/>
              <w:bottom w:type="dxa" w:w="80"/>
              <w:right w:type="dxa" w:w="120"/>
            </w:tcMar>
          </w:tcPr>
          <w:p>
            <w:pPr>
              <w:jc w:val="left"/>
            </w:pPr>
            <w:r>
              <w:rPr>
                <w:rFonts w:ascii="Arial" w:cs="Arial" w:eastAsia="Arial" w:hAnsi="Arial"/>
                <w:b w:val="false"/>
                <w:bCs w:val="false"/>
                <w:color w:val="475569"/>
                <w:sz w:val="20"/>
                <w:szCs w:val="20"/>
              </w:rPr>
              <w:t xml:space="preserve">Fixed price, auto-renew</w:t>
            </w:r>
          </w:p>
        </w:tc>
        <w:tc>
          <w:tcPr>
            <w:tcW w:type="dxa" w:w="1560"/>
            <w:tcBorders>
              <w:top w:val="single" w:color="E2E8F0" w:sz="1"/>
              <w:left w:val="single" w:color="E2E8F0" w:sz="1"/>
              <w:bottom w:val="single" w:color="E2E8F0" w:sz="1"/>
              <w:right w:val="single" w:color="E2E8F0" w:sz="1"/>
            </w:tcBorders>
            <w:shd w:fill="DBEAFE" w:val="clear"/>
            <w:tcMar>
              <w:top w:type="dxa" w:w="80"/>
              <w:left w:type="dxa" w:w="120"/>
              <w:bottom w:type="dxa" w:w="80"/>
              <w:right w:type="dxa" w:w="120"/>
            </w:tcMar>
          </w:tcPr>
          <w:p>
            <w:pPr>
              <w:jc w:val="center"/>
            </w:pPr>
            <w:r>
              <w:rPr>
                <w:rFonts w:ascii="Arial" w:cs="Arial" w:eastAsia="Arial" w:hAnsi="Arial"/>
                <w:b/>
                <w:bCs/>
                <w:color w:val="1E293B"/>
                <w:sz w:val="20"/>
                <w:szCs w:val="20"/>
              </w:rPr>
              <w:t xml:space="preserve">Phase 2</w:t>
            </w:r>
          </w:p>
        </w:tc>
      </w:tr>
      <w:tr>
        <w:tc>
          <w:tcPr>
            <w:tcW w:type="dxa" w:w="2200"/>
            <w:tcBorders>
              <w:top w:val="single" w:color="E2E8F0" w:sz="1"/>
              <w:left w:val="single" w:color="E2E8F0" w:sz="1"/>
              <w:bottom w:val="single" w:color="E2E8F0" w:sz="1"/>
              <w:right w:val="single" w:color="E2E8F0" w:sz="1"/>
            </w:tcBorders>
            <w:tcMar>
              <w:top w:type="dxa" w:w="80"/>
              <w:left w:type="dxa" w:w="120"/>
              <w:bottom w:type="dxa" w:w="80"/>
              <w:right w:type="dxa" w:w="120"/>
            </w:tcMar>
          </w:tcPr>
          <w:p>
            <w:pPr>
              <w:jc w:val="left"/>
            </w:pPr>
            <w:r>
              <w:rPr>
                <w:rFonts w:ascii="Arial" w:cs="Arial" w:eastAsia="Arial" w:hAnsi="Arial"/>
                <w:b/>
                <w:bCs/>
                <w:color w:val="1E293B"/>
                <w:sz w:val="20"/>
                <w:szCs w:val="20"/>
              </w:rPr>
              <w:t xml:space="preserve">EPC</w:t>
            </w:r>
          </w:p>
        </w:tc>
        <w:tc>
          <w:tcPr>
            <w:tcW w:type="dxa" w:w="2600"/>
            <w:tcBorders>
              <w:top w:val="single" w:color="E2E8F0" w:sz="1"/>
              <w:left w:val="single" w:color="E2E8F0" w:sz="1"/>
              <w:bottom w:val="single" w:color="E2E8F0" w:sz="1"/>
              <w:right w:val="single" w:color="E2E8F0" w:sz="1"/>
            </w:tcBorders>
            <w:tcMar>
              <w:top w:type="dxa" w:w="80"/>
              <w:left w:type="dxa" w:w="120"/>
              <w:bottom w:type="dxa" w:w="80"/>
              <w:right w:type="dxa" w:w="120"/>
            </w:tcMar>
          </w:tcPr>
          <w:p>
            <w:pPr>
              <w:jc w:val="left"/>
            </w:pPr>
            <w:r>
              <w:rPr>
                <w:rFonts w:ascii="Arial" w:cs="Arial" w:eastAsia="Arial" w:hAnsi="Arial"/>
                <w:b w:val="false"/>
                <w:bCs w:val="false"/>
                <w:color w:val="475569"/>
                <w:sz w:val="20"/>
                <w:szCs w:val="20"/>
              </w:rPr>
              <w:t xml:space="preserve">Domestic energy assessment, valid 10 yrs</w:t>
            </w:r>
          </w:p>
        </w:tc>
        <w:tc>
          <w:tcPr>
            <w:tcW w:type="dxa" w:w="1400"/>
            <w:tcBorders>
              <w:top w:val="single" w:color="E2E8F0" w:sz="1"/>
              <w:left w:val="single" w:color="E2E8F0" w:sz="1"/>
              <w:bottom w:val="single" w:color="E2E8F0" w:sz="1"/>
              <w:right w:val="single" w:color="E2E8F0" w:sz="1"/>
            </w:tcBorders>
            <w:tcMar>
              <w:top w:type="dxa" w:w="80"/>
              <w:left w:type="dxa" w:w="120"/>
              <w:bottom w:type="dxa" w:w="80"/>
              <w:right w:type="dxa" w:w="120"/>
            </w:tcMar>
          </w:tcPr>
          <w:p>
            <w:pPr>
              <w:jc w:val="left"/>
            </w:pPr>
            <w:r>
              <w:rPr>
                <w:rFonts w:ascii="Arial" w:cs="Arial" w:eastAsia="Arial" w:hAnsi="Arial"/>
                <w:b w:val="false"/>
                <w:bCs w:val="false"/>
                <w:color w:val="475569"/>
                <w:sz w:val="20"/>
                <w:szCs w:val="20"/>
              </w:rPr>
              <w:t xml:space="preserve">£99</w:t>
            </w:r>
          </w:p>
        </w:tc>
        <w:tc>
          <w:tcPr>
            <w:tcW w:type="dxa" w:w="1600"/>
            <w:tcBorders>
              <w:top w:val="single" w:color="E2E8F0" w:sz="1"/>
              <w:left w:val="single" w:color="E2E8F0" w:sz="1"/>
              <w:bottom w:val="single" w:color="E2E8F0" w:sz="1"/>
              <w:right w:val="single" w:color="E2E8F0" w:sz="1"/>
            </w:tcBorders>
            <w:tcMar>
              <w:top w:type="dxa" w:w="80"/>
              <w:left w:type="dxa" w:w="120"/>
              <w:bottom w:type="dxa" w:w="80"/>
              <w:right w:type="dxa" w:w="120"/>
            </w:tcMar>
          </w:tcPr>
          <w:p>
            <w:pPr>
              <w:jc w:val="left"/>
            </w:pPr>
            <w:r>
              <w:rPr>
                <w:rFonts w:ascii="Arial" w:cs="Arial" w:eastAsia="Arial" w:hAnsi="Arial"/>
                <w:b w:val="false"/>
                <w:bCs w:val="false"/>
                <w:color w:val="475569"/>
                <w:sz w:val="20"/>
                <w:szCs w:val="20"/>
              </w:rPr>
              <w:t xml:space="preserve">Fixed price</w:t>
            </w:r>
          </w:p>
        </w:tc>
        <w:tc>
          <w:tcPr>
            <w:tcW w:type="dxa" w:w="1560"/>
            <w:tcBorders>
              <w:top w:val="single" w:color="E2E8F0" w:sz="1"/>
              <w:left w:val="single" w:color="E2E8F0" w:sz="1"/>
              <w:bottom w:val="single" w:color="E2E8F0" w:sz="1"/>
              <w:right w:val="single" w:color="E2E8F0" w:sz="1"/>
            </w:tcBorders>
            <w:shd w:fill="DCFCE7" w:val="clear"/>
            <w:tcMar>
              <w:top w:type="dxa" w:w="80"/>
              <w:left w:type="dxa" w:w="120"/>
              <w:bottom w:type="dxa" w:w="80"/>
              <w:right w:type="dxa" w:w="120"/>
            </w:tcMar>
          </w:tcPr>
          <w:p>
            <w:pPr>
              <w:jc w:val="center"/>
            </w:pPr>
            <w:r>
              <w:rPr>
                <w:rFonts w:ascii="Arial" w:cs="Arial" w:eastAsia="Arial" w:hAnsi="Arial"/>
                <w:b/>
                <w:bCs/>
                <w:color w:val="1E293B"/>
                <w:sz w:val="20"/>
                <w:szCs w:val="20"/>
              </w:rPr>
              <w:t xml:space="preserve">Phase 1</w:t>
            </w:r>
          </w:p>
        </w:tc>
      </w:tr>
      <w:tr>
        <w:tc>
          <w:tcPr>
            <w:tcW w:type="dxa" w:w="2200"/>
            <w:tcBorders>
              <w:top w:val="single" w:color="E2E8F0" w:sz="1"/>
              <w:left w:val="single" w:color="E2E8F0" w:sz="1"/>
              <w:bottom w:val="single" w:color="E2E8F0" w:sz="1"/>
              <w:right w:val="single" w:color="E2E8F0" w:sz="1"/>
            </w:tcBorders>
            <w:tcMar>
              <w:top w:type="dxa" w:w="80"/>
              <w:left w:type="dxa" w:w="120"/>
              <w:bottom w:type="dxa" w:w="80"/>
              <w:right w:type="dxa" w:w="120"/>
            </w:tcMar>
          </w:tcPr>
          <w:p>
            <w:pPr>
              <w:jc w:val="left"/>
            </w:pPr>
            <w:r>
              <w:rPr>
                <w:rFonts w:ascii="Arial" w:cs="Arial" w:eastAsia="Arial" w:hAnsi="Arial"/>
                <w:b/>
                <w:bCs/>
                <w:color w:val="1E293B"/>
                <w:sz w:val="20"/>
                <w:szCs w:val="20"/>
              </w:rPr>
              <w:t xml:space="preserve">EICR (Electrical)</w:t>
            </w:r>
          </w:p>
        </w:tc>
        <w:tc>
          <w:tcPr>
            <w:tcW w:type="dxa" w:w="2600"/>
            <w:tcBorders>
              <w:top w:val="single" w:color="E2E8F0" w:sz="1"/>
              <w:left w:val="single" w:color="E2E8F0" w:sz="1"/>
              <w:bottom w:val="single" w:color="E2E8F0" w:sz="1"/>
              <w:right w:val="single" w:color="E2E8F0" w:sz="1"/>
            </w:tcBorders>
            <w:tcMar>
              <w:top w:type="dxa" w:w="80"/>
              <w:left w:type="dxa" w:w="120"/>
              <w:bottom w:type="dxa" w:w="80"/>
              <w:right w:type="dxa" w:w="120"/>
            </w:tcMar>
          </w:tcPr>
          <w:p>
            <w:pPr>
              <w:jc w:val="left"/>
            </w:pPr>
            <w:r>
              <w:rPr>
                <w:rFonts w:ascii="Arial" w:cs="Arial" w:eastAsia="Arial" w:hAnsi="Arial"/>
                <w:b w:val="false"/>
                <w:bCs w:val="false"/>
                <w:color w:val="475569"/>
                <w:sz w:val="20"/>
                <w:szCs w:val="20"/>
              </w:rPr>
              <w:t xml:space="preserve">Fixed wiring test + PAT testing</w:t>
            </w:r>
          </w:p>
        </w:tc>
        <w:tc>
          <w:tcPr>
            <w:tcW w:type="dxa" w:w="1400"/>
            <w:tcBorders>
              <w:top w:val="single" w:color="E2E8F0" w:sz="1"/>
              <w:left w:val="single" w:color="E2E8F0" w:sz="1"/>
              <w:bottom w:val="single" w:color="E2E8F0" w:sz="1"/>
              <w:right w:val="single" w:color="E2E8F0" w:sz="1"/>
            </w:tcBorders>
            <w:tcMar>
              <w:top w:type="dxa" w:w="80"/>
              <w:left w:type="dxa" w:w="120"/>
              <w:bottom w:type="dxa" w:w="80"/>
              <w:right w:type="dxa" w:w="120"/>
            </w:tcMar>
          </w:tcPr>
          <w:p>
            <w:pPr>
              <w:jc w:val="left"/>
            </w:pPr>
            <w:r>
              <w:rPr>
                <w:rFonts w:ascii="Arial" w:cs="Arial" w:eastAsia="Arial" w:hAnsi="Arial"/>
                <w:b w:val="false"/>
                <w:bCs w:val="false"/>
                <w:color w:val="475569"/>
                <w:sz w:val="20"/>
                <w:szCs w:val="20"/>
              </w:rPr>
              <w:t xml:space="preserve">£69</w:t>
            </w:r>
          </w:p>
        </w:tc>
        <w:tc>
          <w:tcPr>
            <w:tcW w:type="dxa" w:w="1600"/>
            <w:tcBorders>
              <w:top w:val="single" w:color="E2E8F0" w:sz="1"/>
              <w:left w:val="single" w:color="E2E8F0" w:sz="1"/>
              <w:bottom w:val="single" w:color="E2E8F0" w:sz="1"/>
              <w:right w:val="single" w:color="E2E8F0" w:sz="1"/>
            </w:tcBorders>
            <w:tcMar>
              <w:top w:type="dxa" w:w="80"/>
              <w:left w:type="dxa" w:w="120"/>
              <w:bottom w:type="dxa" w:w="80"/>
              <w:right w:type="dxa" w:w="120"/>
            </w:tcMar>
          </w:tcPr>
          <w:p>
            <w:pPr>
              <w:jc w:val="left"/>
            </w:pPr>
            <w:r>
              <w:rPr>
                <w:rFonts w:ascii="Arial" w:cs="Arial" w:eastAsia="Arial" w:hAnsi="Arial"/>
                <w:b w:val="false"/>
                <w:bCs w:val="false"/>
                <w:color w:val="475569"/>
                <w:sz w:val="20"/>
                <w:szCs w:val="20"/>
              </w:rPr>
              <w:t xml:space="preserve">Fixed price</w:t>
            </w:r>
          </w:p>
        </w:tc>
        <w:tc>
          <w:tcPr>
            <w:tcW w:type="dxa" w:w="1560"/>
            <w:tcBorders>
              <w:top w:val="single" w:color="E2E8F0" w:sz="1"/>
              <w:left w:val="single" w:color="E2E8F0" w:sz="1"/>
              <w:bottom w:val="single" w:color="E2E8F0" w:sz="1"/>
              <w:right w:val="single" w:color="E2E8F0" w:sz="1"/>
            </w:tcBorders>
            <w:shd w:fill="DBEAFE" w:val="clear"/>
            <w:tcMar>
              <w:top w:type="dxa" w:w="80"/>
              <w:left w:type="dxa" w:w="120"/>
              <w:bottom w:type="dxa" w:w="80"/>
              <w:right w:type="dxa" w:w="120"/>
            </w:tcMar>
          </w:tcPr>
          <w:p>
            <w:pPr>
              <w:jc w:val="center"/>
            </w:pPr>
            <w:r>
              <w:rPr>
                <w:rFonts w:ascii="Arial" w:cs="Arial" w:eastAsia="Arial" w:hAnsi="Arial"/>
                <w:b/>
                <w:bCs/>
                <w:color w:val="1E293B"/>
                <w:sz w:val="20"/>
                <w:szCs w:val="20"/>
              </w:rPr>
              <w:t xml:space="preserve">Phase 2</w:t>
            </w:r>
          </w:p>
        </w:tc>
      </w:tr>
      <w:tr>
        <w:tc>
          <w:tcPr>
            <w:tcW w:type="dxa" w:w="2200"/>
            <w:tcBorders>
              <w:top w:val="single" w:color="E2E8F0" w:sz="1"/>
              <w:left w:val="single" w:color="E2E8F0" w:sz="1"/>
              <w:bottom w:val="single" w:color="E2E8F0" w:sz="1"/>
              <w:right w:val="single" w:color="E2E8F0" w:sz="1"/>
            </w:tcBorders>
            <w:tcMar>
              <w:top w:type="dxa" w:w="80"/>
              <w:left w:type="dxa" w:w="120"/>
              <w:bottom w:type="dxa" w:w="80"/>
              <w:right w:type="dxa" w:w="120"/>
            </w:tcMar>
          </w:tcPr>
          <w:p>
            <w:pPr>
              <w:jc w:val="left"/>
            </w:pPr>
            <w:r>
              <w:rPr>
                <w:rFonts w:ascii="Arial" w:cs="Arial" w:eastAsia="Arial" w:hAnsi="Arial"/>
                <w:b/>
                <w:bCs/>
                <w:color w:val="1E293B"/>
                <w:sz w:val="20"/>
                <w:szCs w:val="20"/>
              </w:rPr>
              <w:t xml:space="preserve">Tenant Referencing</w:t>
            </w:r>
          </w:p>
        </w:tc>
        <w:tc>
          <w:tcPr>
            <w:tcW w:type="dxa" w:w="2600"/>
            <w:tcBorders>
              <w:top w:val="single" w:color="E2E8F0" w:sz="1"/>
              <w:left w:val="single" w:color="E2E8F0" w:sz="1"/>
              <w:bottom w:val="single" w:color="E2E8F0" w:sz="1"/>
              <w:right w:val="single" w:color="E2E8F0" w:sz="1"/>
            </w:tcBorders>
            <w:tcMar>
              <w:top w:type="dxa" w:w="80"/>
              <w:left w:type="dxa" w:w="120"/>
              <w:bottom w:type="dxa" w:w="80"/>
              <w:right w:type="dxa" w:w="120"/>
            </w:tcMar>
          </w:tcPr>
          <w:p>
            <w:pPr>
              <w:jc w:val="left"/>
            </w:pPr>
            <w:r>
              <w:rPr>
                <w:rFonts w:ascii="Arial" w:cs="Arial" w:eastAsia="Arial" w:hAnsi="Arial"/>
                <w:b w:val="false"/>
                <w:bCs w:val="false"/>
                <w:color w:val="475569"/>
                <w:sz w:val="20"/>
                <w:szCs w:val="20"/>
              </w:rPr>
              <w:t xml:space="preserve">Credit check, right-to-rent, employer ref</w:t>
            </w:r>
          </w:p>
        </w:tc>
        <w:tc>
          <w:tcPr>
            <w:tcW w:type="dxa" w:w="1400"/>
            <w:tcBorders>
              <w:top w:val="single" w:color="E2E8F0" w:sz="1"/>
              <w:left w:val="single" w:color="E2E8F0" w:sz="1"/>
              <w:bottom w:val="single" w:color="E2E8F0" w:sz="1"/>
              <w:right w:val="single" w:color="E2E8F0" w:sz="1"/>
            </w:tcBorders>
            <w:tcMar>
              <w:top w:type="dxa" w:w="80"/>
              <w:left w:type="dxa" w:w="120"/>
              <w:bottom w:type="dxa" w:w="80"/>
              <w:right w:type="dxa" w:w="120"/>
            </w:tcMar>
          </w:tcPr>
          <w:p>
            <w:pPr>
              <w:jc w:val="left"/>
            </w:pPr>
            <w:r>
              <w:rPr>
                <w:rFonts w:ascii="Arial" w:cs="Arial" w:eastAsia="Arial" w:hAnsi="Arial"/>
                <w:b w:val="false"/>
                <w:bCs w:val="false"/>
                <w:color w:val="475569"/>
                <w:sz w:val="20"/>
                <w:szCs w:val="20"/>
              </w:rPr>
              <w:t xml:space="preserve">£20–30</w:t>
            </w:r>
          </w:p>
        </w:tc>
        <w:tc>
          <w:tcPr>
            <w:tcW w:type="dxa" w:w="1600"/>
            <w:tcBorders>
              <w:top w:val="single" w:color="E2E8F0" w:sz="1"/>
              <w:left w:val="single" w:color="E2E8F0" w:sz="1"/>
              <w:bottom w:val="single" w:color="E2E8F0" w:sz="1"/>
              <w:right w:val="single" w:color="E2E8F0" w:sz="1"/>
            </w:tcBorders>
            <w:tcMar>
              <w:top w:type="dxa" w:w="80"/>
              <w:left w:type="dxa" w:w="120"/>
              <w:bottom w:type="dxa" w:w="80"/>
              <w:right w:type="dxa" w:w="120"/>
            </w:tcMar>
          </w:tcPr>
          <w:p>
            <w:pPr>
              <w:jc w:val="left"/>
            </w:pPr>
            <w:r>
              <w:rPr>
                <w:rFonts w:ascii="Arial" w:cs="Arial" w:eastAsia="Arial" w:hAnsi="Arial"/>
                <w:b w:val="false"/>
                <w:bCs w:val="false"/>
                <w:color w:val="475569"/>
                <w:sz w:val="20"/>
                <w:szCs w:val="20"/>
              </w:rPr>
              <w:t xml:space="preserve">Per-check fee</w:t>
            </w:r>
          </w:p>
        </w:tc>
        <w:tc>
          <w:tcPr>
            <w:tcW w:type="dxa" w:w="1560"/>
            <w:tcBorders>
              <w:top w:val="single" w:color="E2E8F0" w:sz="1"/>
              <w:left w:val="single" w:color="E2E8F0" w:sz="1"/>
              <w:bottom w:val="single" w:color="E2E8F0" w:sz="1"/>
              <w:right w:val="single" w:color="E2E8F0" w:sz="1"/>
            </w:tcBorders>
            <w:shd w:fill="DBEAFE" w:val="clear"/>
            <w:tcMar>
              <w:top w:type="dxa" w:w="80"/>
              <w:left w:type="dxa" w:w="120"/>
              <w:bottom w:type="dxa" w:w="80"/>
              <w:right w:type="dxa" w:w="120"/>
            </w:tcMar>
          </w:tcPr>
          <w:p>
            <w:pPr>
              <w:jc w:val="center"/>
            </w:pPr>
            <w:r>
              <w:rPr>
                <w:rFonts w:ascii="Arial" w:cs="Arial" w:eastAsia="Arial" w:hAnsi="Arial"/>
                <w:b/>
                <w:bCs/>
                <w:color w:val="1E293B"/>
                <w:sz w:val="20"/>
                <w:szCs w:val="20"/>
              </w:rPr>
              <w:t xml:space="preserve">Phase 2</w:t>
            </w:r>
          </w:p>
        </w:tc>
      </w:tr>
      <w:tr>
        <w:tc>
          <w:tcPr>
            <w:tcW w:type="dxa" w:w="2200"/>
            <w:tcBorders>
              <w:top w:val="single" w:color="E2E8F0" w:sz="1"/>
              <w:left w:val="single" w:color="E2E8F0" w:sz="1"/>
              <w:bottom w:val="single" w:color="E2E8F0" w:sz="1"/>
              <w:right w:val="single" w:color="E2E8F0" w:sz="1"/>
            </w:tcBorders>
            <w:tcMar>
              <w:top w:type="dxa" w:w="80"/>
              <w:left w:type="dxa" w:w="120"/>
              <w:bottom w:type="dxa" w:w="80"/>
              <w:right w:type="dxa" w:w="120"/>
            </w:tcMar>
          </w:tcPr>
          <w:p>
            <w:pPr>
              <w:jc w:val="left"/>
            </w:pPr>
            <w:r>
              <w:rPr>
                <w:rFonts w:ascii="Arial" w:cs="Arial" w:eastAsia="Arial" w:hAnsi="Arial"/>
                <w:b/>
                <w:bCs/>
                <w:color w:val="1E293B"/>
                <w:sz w:val="20"/>
                <w:szCs w:val="20"/>
              </w:rPr>
              <w:t xml:space="preserve">Inventory</w:t>
            </w:r>
          </w:p>
        </w:tc>
        <w:tc>
          <w:tcPr>
            <w:tcW w:type="dxa" w:w="2600"/>
            <w:tcBorders>
              <w:top w:val="single" w:color="E2E8F0" w:sz="1"/>
              <w:left w:val="single" w:color="E2E8F0" w:sz="1"/>
              <w:bottom w:val="single" w:color="E2E8F0" w:sz="1"/>
              <w:right w:val="single" w:color="E2E8F0" w:sz="1"/>
            </w:tcBorders>
            <w:tcMar>
              <w:top w:type="dxa" w:w="80"/>
              <w:left w:type="dxa" w:w="120"/>
              <w:bottom w:type="dxa" w:w="80"/>
              <w:right w:type="dxa" w:w="120"/>
            </w:tcMar>
          </w:tcPr>
          <w:p>
            <w:pPr>
              <w:jc w:val="left"/>
            </w:pPr>
            <w:r>
              <w:rPr>
                <w:rFonts w:ascii="Arial" w:cs="Arial" w:eastAsia="Arial" w:hAnsi="Arial"/>
                <w:b w:val="false"/>
                <w:bCs w:val="false"/>
                <w:color w:val="475569"/>
                <w:sz w:val="20"/>
                <w:szCs w:val="20"/>
              </w:rPr>
              <w:t xml:space="preserve">Check-in/check-out reports with photos</w:t>
            </w:r>
          </w:p>
        </w:tc>
        <w:tc>
          <w:tcPr>
            <w:tcW w:type="dxa" w:w="1400"/>
            <w:tcBorders>
              <w:top w:val="single" w:color="E2E8F0" w:sz="1"/>
              <w:left w:val="single" w:color="E2E8F0" w:sz="1"/>
              <w:bottom w:val="single" w:color="E2E8F0" w:sz="1"/>
              <w:right w:val="single" w:color="E2E8F0" w:sz="1"/>
            </w:tcBorders>
            <w:tcMar>
              <w:top w:type="dxa" w:w="80"/>
              <w:left w:type="dxa" w:w="120"/>
              <w:bottom w:type="dxa" w:w="80"/>
              <w:right w:type="dxa" w:w="120"/>
            </w:tcMar>
          </w:tcPr>
          <w:p>
            <w:pPr>
              <w:jc w:val="left"/>
            </w:pPr>
            <w:r>
              <w:rPr>
                <w:rFonts w:ascii="Arial" w:cs="Arial" w:eastAsia="Arial" w:hAnsi="Arial"/>
                <w:b w:val="false"/>
                <w:bCs w:val="false"/>
                <w:color w:val="475569"/>
                <w:sz w:val="20"/>
                <w:szCs w:val="20"/>
              </w:rPr>
              <w:t xml:space="preserve">£75–150</w:t>
            </w:r>
          </w:p>
        </w:tc>
        <w:tc>
          <w:tcPr>
            <w:tcW w:type="dxa" w:w="1600"/>
            <w:tcBorders>
              <w:top w:val="single" w:color="E2E8F0" w:sz="1"/>
              <w:left w:val="single" w:color="E2E8F0" w:sz="1"/>
              <w:bottom w:val="single" w:color="E2E8F0" w:sz="1"/>
              <w:right w:val="single" w:color="E2E8F0" w:sz="1"/>
            </w:tcBorders>
            <w:tcMar>
              <w:top w:type="dxa" w:w="80"/>
              <w:left w:type="dxa" w:w="120"/>
              <w:bottom w:type="dxa" w:w="80"/>
              <w:right w:type="dxa" w:w="120"/>
            </w:tcMar>
          </w:tcPr>
          <w:p>
            <w:pPr>
              <w:jc w:val="left"/>
            </w:pPr>
            <w:r>
              <w:rPr>
                <w:rFonts w:ascii="Arial" w:cs="Arial" w:eastAsia="Arial" w:hAnsi="Arial"/>
                <w:b w:val="false"/>
                <w:bCs w:val="false"/>
                <w:color w:val="475569"/>
                <w:sz w:val="20"/>
                <w:szCs w:val="20"/>
              </w:rPr>
              <w:t xml:space="preserve">15% commission</w:t>
            </w:r>
          </w:p>
        </w:tc>
        <w:tc>
          <w:tcPr>
            <w:tcW w:type="dxa" w:w="1560"/>
            <w:tcBorders>
              <w:top w:val="single" w:color="E2E8F0" w:sz="1"/>
              <w:left w:val="single" w:color="E2E8F0" w:sz="1"/>
              <w:bottom w:val="single" w:color="E2E8F0" w:sz="1"/>
              <w:right w:val="single" w:color="E2E8F0" w:sz="1"/>
            </w:tcBorders>
            <w:shd w:fill="DBEAFE" w:val="clear"/>
            <w:tcMar>
              <w:top w:type="dxa" w:w="80"/>
              <w:left w:type="dxa" w:w="120"/>
              <w:bottom w:type="dxa" w:w="80"/>
              <w:right w:type="dxa" w:w="120"/>
            </w:tcMar>
          </w:tcPr>
          <w:p>
            <w:pPr>
              <w:jc w:val="center"/>
            </w:pPr>
            <w:r>
              <w:rPr>
                <w:rFonts w:ascii="Arial" w:cs="Arial" w:eastAsia="Arial" w:hAnsi="Arial"/>
                <w:b/>
                <w:bCs/>
                <w:color w:val="1E293B"/>
                <w:sz w:val="20"/>
                <w:szCs w:val="20"/>
              </w:rPr>
              <w:t xml:space="preserve">Phase 2</w:t>
            </w:r>
          </w:p>
        </w:tc>
      </w:tr>
      <w:tr>
        <w:tc>
          <w:tcPr>
            <w:tcW w:type="dxa" w:w="2200"/>
            <w:tcBorders>
              <w:top w:val="single" w:color="E2E8F0" w:sz="1"/>
              <w:left w:val="single" w:color="E2E8F0" w:sz="1"/>
              <w:bottom w:val="single" w:color="E2E8F0" w:sz="1"/>
              <w:right w:val="single" w:color="E2E8F0" w:sz="1"/>
            </w:tcBorders>
            <w:tcMar>
              <w:top w:type="dxa" w:w="80"/>
              <w:left w:type="dxa" w:w="120"/>
              <w:bottom w:type="dxa" w:w="80"/>
              <w:right w:type="dxa" w:w="120"/>
            </w:tcMar>
          </w:tcPr>
          <w:p>
            <w:pPr>
              <w:jc w:val="left"/>
            </w:pPr>
            <w:r>
              <w:rPr>
                <w:rFonts w:ascii="Arial" w:cs="Arial" w:eastAsia="Arial" w:hAnsi="Arial"/>
                <w:b/>
                <w:bCs/>
                <w:color w:val="1E293B"/>
                <w:sz w:val="20"/>
                <w:szCs w:val="20"/>
              </w:rPr>
              <w:t xml:space="preserve">Rent Collection</w:t>
            </w:r>
          </w:p>
        </w:tc>
        <w:tc>
          <w:tcPr>
            <w:tcW w:type="dxa" w:w="2600"/>
            <w:tcBorders>
              <w:top w:val="single" w:color="E2E8F0" w:sz="1"/>
              <w:left w:val="single" w:color="E2E8F0" w:sz="1"/>
              <w:bottom w:val="single" w:color="E2E8F0" w:sz="1"/>
              <w:right w:val="single" w:color="E2E8F0" w:sz="1"/>
            </w:tcBorders>
            <w:tcMar>
              <w:top w:type="dxa" w:w="80"/>
              <w:left w:type="dxa" w:w="120"/>
              <w:bottom w:type="dxa" w:w="80"/>
              <w:right w:type="dxa" w:w="120"/>
            </w:tcMar>
          </w:tcPr>
          <w:p>
            <w:pPr>
              <w:jc w:val="left"/>
            </w:pPr>
            <w:r>
              <w:rPr>
                <w:rFonts w:ascii="Arial" w:cs="Arial" w:eastAsia="Arial" w:hAnsi="Arial"/>
                <w:b w:val="false"/>
                <w:bCs w:val="false"/>
                <w:color w:val="475569"/>
                <w:sz w:val="20"/>
                <w:szCs w:val="20"/>
              </w:rPr>
              <w:t xml:space="preserve">Standing order setup, arrears alerts</w:t>
            </w:r>
          </w:p>
        </w:tc>
        <w:tc>
          <w:tcPr>
            <w:tcW w:type="dxa" w:w="1400"/>
            <w:tcBorders>
              <w:top w:val="single" w:color="E2E8F0" w:sz="1"/>
              <w:left w:val="single" w:color="E2E8F0" w:sz="1"/>
              <w:bottom w:val="single" w:color="E2E8F0" w:sz="1"/>
              <w:right w:val="single" w:color="E2E8F0" w:sz="1"/>
            </w:tcBorders>
            <w:tcMar>
              <w:top w:type="dxa" w:w="80"/>
              <w:left w:type="dxa" w:w="120"/>
              <w:bottom w:type="dxa" w:w="80"/>
              <w:right w:type="dxa" w:w="120"/>
            </w:tcMar>
          </w:tcPr>
          <w:p>
            <w:pPr>
              <w:jc w:val="left"/>
            </w:pPr>
            <w:r>
              <w:rPr>
                <w:rFonts w:ascii="Arial" w:cs="Arial" w:eastAsia="Arial" w:hAnsi="Arial"/>
                <w:b w:val="false"/>
                <w:bCs w:val="false"/>
                <w:color w:val="475569"/>
                <w:sz w:val="20"/>
                <w:szCs w:val="20"/>
              </w:rPr>
              <w:t xml:space="preserve">£50/yr</w:t>
            </w:r>
          </w:p>
        </w:tc>
        <w:tc>
          <w:tcPr>
            <w:tcW w:type="dxa" w:w="1600"/>
            <w:tcBorders>
              <w:top w:val="single" w:color="E2E8F0" w:sz="1"/>
              <w:left w:val="single" w:color="E2E8F0" w:sz="1"/>
              <w:bottom w:val="single" w:color="E2E8F0" w:sz="1"/>
              <w:right w:val="single" w:color="E2E8F0" w:sz="1"/>
            </w:tcBorders>
            <w:tcMar>
              <w:top w:type="dxa" w:w="80"/>
              <w:left w:type="dxa" w:w="120"/>
              <w:bottom w:type="dxa" w:w="80"/>
              <w:right w:type="dxa" w:w="120"/>
            </w:tcMar>
          </w:tcPr>
          <w:p>
            <w:pPr>
              <w:jc w:val="left"/>
            </w:pPr>
            <w:r>
              <w:rPr>
                <w:rFonts w:ascii="Arial" w:cs="Arial" w:eastAsia="Arial" w:hAnsi="Arial"/>
                <w:b w:val="false"/>
                <w:bCs w:val="false"/>
                <w:color w:val="475569"/>
                <w:sz w:val="20"/>
                <w:szCs w:val="20"/>
              </w:rPr>
              <w:t xml:space="preserve">Subscription</w:t>
            </w:r>
          </w:p>
        </w:tc>
        <w:tc>
          <w:tcPr>
            <w:tcW w:type="dxa" w:w="1560"/>
            <w:tcBorders>
              <w:top w:val="single" w:color="E2E8F0" w:sz="1"/>
              <w:left w:val="single" w:color="E2E8F0" w:sz="1"/>
              <w:bottom w:val="single" w:color="E2E8F0" w:sz="1"/>
              <w:right w:val="single" w:color="E2E8F0" w:sz="1"/>
            </w:tcBorders>
            <w:shd w:fill="FEF3C7" w:val="clear"/>
            <w:tcMar>
              <w:top w:type="dxa" w:w="80"/>
              <w:left w:type="dxa" w:w="120"/>
              <w:bottom w:type="dxa" w:w="80"/>
              <w:right w:type="dxa" w:w="120"/>
            </w:tcMar>
          </w:tcPr>
          <w:p>
            <w:pPr>
              <w:jc w:val="center"/>
            </w:pPr>
            <w:r>
              <w:rPr>
                <w:rFonts w:ascii="Arial" w:cs="Arial" w:eastAsia="Arial" w:hAnsi="Arial"/>
                <w:b/>
                <w:bCs/>
                <w:color w:val="1E293B"/>
                <w:sz w:val="20"/>
                <w:szCs w:val="20"/>
              </w:rPr>
              <w:t xml:space="preserve">Phase 3</w:t>
            </w:r>
          </w:p>
        </w:tc>
      </w:tr>
    </w:tbl>
    <w:p>
      <w:pPr>
        <w:spacing w:after="120" w:before="120"/>
      </w:pPr>
    </w:p>
    <w:p>
      <w:pPr>
        <w:pStyle w:val="Heading2"/>
      </w:pPr>
      <w:r>
        <w:t xml:space="preserve">2.3 Moving &amp; Post-Move Services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1200"/>
        <w:gridCol w:w="1600"/>
        <w:gridCol w:w="1560"/>
      </w:tblGrid>
      <w:tr>
        <w:tc>
          <w:tcPr>
            <w:tcW w:type="dxa" w:w="2200"/>
            <w:tcBorders>
              <w:top w:val="single" w:color="E2E8F0" w:sz="1"/>
              <w:left w:val="single" w:color="E2E8F0" w:sz="1"/>
              <w:bottom w:val="single" w:color="E2E8F0" w:sz="1"/>
              <w:right w:val="single" w:color="E2E8F0" w:sz="1"/>
            </w:tcBorders>
            <w:shd w:fill="0F1117" w:val="clear"/>
            <w:tcMar>
              <w:top w:type="dxa" w:w="80"/>
              <w:left w:type="dxa" w:w="120"/>
              <w:bottom w:type="dxa" w:w="80"/>
              <w:right w:type="dxa" w:w="120"/>
            </w:tcMar>
          </w:tcPr>
          <w:p>
            <w:r>
              <w:rPr>
                <w:rFonts w:ascii="Arial" w:cs="Arial" w:eastAsia="Arial" w:hAnsi="Arial"/>
                <w:b/>
                <w:bCs/>
                <w:color w:val="FFFFFF"/>
                <w:sz w:val="20"/>
                <w:szCs w:val="20"/>
              </w:rPr>
              <w:t xml:space="preserve">Service</w:t>
            </w:r>
          </w:p>
        </w:tc>
        <w:tc>
          <w:tcPr>
            <w:tcW w:type="dxa" w:w="2800"/>
            <w:tcBorders>
              <w:top w:val="single" w:color="E2E8F0" w:sz="1"/>
              <w:left w:val="single" w:color="E2E8F0" w:sz="1"/>
              <w:bottom w:val="single" w:color="E2E8F0" w:sz="1"/>
              <w:right w:val="single" w:color="E2E8F0" w:sz="1"/>
            </w:tcBorders>
            <w:shd w:fill="0F1117" w:val="clear"/>
            <w:tcMar>
              <w:top w:type="dxa" w:w="80"/>
              <w:left w:type="dxa" w:w="120"/>
              <w:bottom w:type="dxa" w:w="80"/>
              <w:right w:type="dxa" w:w="120"/>
            </w:tcMar>
          </w:tcPr>
          <w:p>
            <w:r>
              <w:rPr>
                <w:rFonts w:ascii="Arial" w:cs="Arial" w:eastAsia="Arial" w:hAnsi="Arial"/>
                <w:b/>
                <w:bCs/>
                <w:color w:val="FFFFFF"/>
                <w:sz w:val="20"/>
                <w:szCs w:val="20"/>
              </w:rPr>
              <w:t xml:space="preserve">What It Covers</w:t>
            </w:r>
          </w:p>
        </w:tc>
        <w:tc>
          <w:tcPr>
            <w:tcW w:type="dxa" w:w="1200"/>
            <w:tcBorders>
              <w:top w:val="single" w:color="E2E8F0" w:sz="1"/>
              <w:left w:val="single" w:color="E2E8F0" w:sz="1"/>
              <w:bottom w:val="single" w:color="E2E8F0" w:sz="1"/>
              <w:right w:val="single" w:color="E2E8F0" w:sz="1"/>
            </w:tcBorders>
            <w:shd w:fill="0F1117" w:val="clear"/>
            <w:tcMar>
              <w:top w:type="dxa" w:w="80"/>
              <w:left w:type="dxa" w:w="120"/>
              <w:bottom w:type="dxa" w:w="80"/>
              <w:right w:type="dxa" w:w="120"/>
            </w:tcMar>
          </w:tcPr>
          <w:p>
            <w:r>
              <w:rPr>
                <w:rFonts w:ascii="Arial" w:cs="Arial" w:eastAsia="Arial" w:hAnsi="Arial"/>
                <w:b/>
                <w:bCs/>
                <w:color w:val="FFFFFF"/>
                <w:sz w:val="20"/>
                <w:szCs w:val="20"/>
              </w:rPr>
              <w:t xml:space="preserve">Typical Price</w:t>
            </w:r>
          </w:p>
        </w:tc>
        <w:tc>
          <w:tcPr>
            <w:tcW w:type="dxa" w:w="1600"/>
            <w:tcBorders>
              <w:top w:val="single" w:color="E2E8F0" w:sz="1"/>
              <w:left w:val="single" w:color="E2E8F0" w:sz="1"/>
              <w:bottom w:val="single" w:color="E2E8F0" w:sz="1"/>
              <w:right w:val="single" w:color="E2E8F0" w:sz="1"/>
            </w:tcBorders>
            <w:shd w:fill="0F1117" w:val="clear"/>
            <w:tcMar>
              <w:top w:type="dxa" w:w="80"/>
              <w:left w:type="dxa" w:w="120"/>
              <w:bottom w:type="dxa" w:w="80"/>
              <w:right w:type="dxa" w:w="120"/>
            </w:tcMar>
          </w:tcPr>
          <w:p>
            <w:r>
              <w:rPr>
                <w:rFonts w:ascii="Arial" w:cs="Arial" w:eastAsia="Arial" w:hAnsi="Arial"/>
                <w:b/>
                <w:bCs/>
                <w:color w:val="FFFFFF"/>
                <w:sz w:val="20"/>
                <w:szCs w:val="20"/>
              </w:rPr>
              <w:t xml:space="preserve">Revenue Model</w:t>
            </w:r>
          </w:p>
        </w:tc>
        <w:tc>
          <w:tcPr>
            <w:tcW w:type="dxa" w:w="1560"/>
            <w:tcBorders>
              <w:top w:val="single" w:color="E2E8F0" w:sz="1"/>
              <w:left w:val="single" w:color="E2E8F0" w:sz="1"/>
              <w:bottom w:val="single" w:color="E2E8F0" w:sz="1"/>
              <w:right w:val="single" w:color="E2E8F0" w:sz="1"/>
            </w:tcBorders>
            <w:shd w:fill="0F1117" w:val="clear"/>
            <w:tcMar>
              <w:top w:type="dxa" w:w="80"/>
              <w:left w:type="dxa" w:w="120"/>
              <w:bottom w:type="dxa" w:w="80"/>
              <w:right w:type="dxa" w:w="120"/>
            </w:tcMar>
          </w:tcPr>
          <w:p>
            <w:r>
              <w:rPr>
                <w:rFonts w:ascii="Arial" w:cs="Arial" w:eastAsia="Arial" w:hAnsi="Arial"/>
                <w:b/>
                <w:bCs/>
                <w:color w:val="FFFFFF"/>
                <w:sz w:val="20"/>
                <w:szCs w:val="20"/>
              </w:rPr>
              <w:t xml:space="preserve">Phase</w:t>
            </w:r>
          </w:p>
        </w:tc>
      </w:tr>
      <w:tr>
        <w:tc>
          <w:tcPr>
            <w:tcW w:type="dxa" w:w="2200"/>
            <w:tcBorders>
              <w:top w:val="single" w:color="E2E8F0" w:sz="1"/>
              <w:left w:val="single" w:color="E2E8F0" w:sz="1"/>
              <w:bottom w:val="single" w:color="E2E8F0" w:sz="1"/>
              <w:right w:val="single" w:color="E2E8F0" w:sz="1"/>
            </w:tcBorders>
            <w:tcMar>
              <w:top w:type="dxa" w:w="80"/>
              <w:left w:type="dxa" w:w="120"/>
              <w:bottom w:type="dxa" w:w="80"/>
              <w:right w:type="dxa" w:w="120"/>
            </w:tcMar>
          </w:tcPr>
          <w:p>
            <w:pPr>
              <w:jc w:val="left"/>
            </w:pPr>
            <w:r>
              <w:rPr>
                <w:rFonts w:ascii="Arial" w:cs="Arial" w:eastAsia="Arial" w:hAnsi="Arial"/>
                <w:b/>
                <w:bCs/>
                <w:color w:val="1E293B"/>
                <w:sz w:val="20"/>
                <w:szCs w:val="20"/>
              </w:rPr>
              <w:t xml:space="preserve">Removals</w:t>
            </w:r>
          </w:p>
        </w:tc>
        <w:tc>
          <w:tcPr>
            <w:tcW w:type="dxa" w:w="2800"/>
            <w:tcBorders>
              <w:top w:val="single" w:color="E2E8F0" w:sz="1"/>
              <w:left w:val="single" w:color="E2E8F0" w:sz="1"/>
              <w:bottom w:val="single" w:color="E2E8F0" w:sz="1"/>
              <w:right w:val="single" w:color="E2E8F0" w:sz="1"/>
            </w:tcBorders>
            <w:tcMar>
              <w:top w:type="dxa" w:w="80"/>
              <w:left w:type="dxa" w:w="120"/>
              <w:bottom w:type="dxa" w:w="80"/>
              <w:right w:type="dxa" w:w="120"/>
            </w:tcMar>
          </w:tcPr>
          <w:p>
            <w:pPr>
              <w:jc w:val="left"/>
            </w:pPr>
            <w:r>
              <w:rPr>
                <w:rFonts w:ascii="Arial" w:cs="Arial" w:eastAsia="Arial" w:hAnsi="Arial"/>
                <w:b w:val="false"/>
                <w:bCs w:val="false"/>
                <w:color w:val="475569"/>
                <w:sz w:val="20"/>
                <w:szCs w:val="20"/>
              </w:rPr>
              <w:t xml:space="preserve">Full house moves, man-and-van, packing</w:t>
            </w:r>
          </w:p>
        </w:tc>
        <w:tc>
          <w:tcPr>
            <w:tcW w:type="dxa" w:w="1200"/>
            <w:tcBorders>
              <w:top w:val="single" w:color="E2E8F0" w:sz="1"/>
              <w:left w:val="single" w:color="E2E8F0" w:sz="1"/>
              <w:bottom w:val="single" w:color="E2E8F0" w:sz="1"/>
              <w:right w:val="single" w:color="E2E8F0" w:sz="1"/>
            </w:tcBorders>
            <w:tcMar>
              <w:top w:type="dxa" w:w="80"/>
              <w:left w:type="dxa" w:w="120"/>
              <w:bottom w:type="dxa" w:w="80"/>
              <w:right w:type="dxa" w:w="120"/>
            </w:tcMar>
          </w:tcPr>
          <w:p>
            <w:pPr>
              <w:jc w:val="left"/>
            </w:pPr>
            <w:r>
              <w:rPr>
                <w:rFonts w:ascii="Arial" w:cs="Arial" w:eastAsia="Arial" w:hAnsi="Arial"/>
                <w:b w:val="false"/>
                <w:bCs w:val="false"/>
                <w:color w:val="475569"/>
                <w:sz w:val="20"/>
                <w:szCs w:val="20"/>
              </w:rPr>
              <w:t xml:space="preserve">£500–2,000</w:t>
            </w:r>
          </w:p>
        </w:tc>
        <w:tc>
          <w:tcPr>
            <w:tcW w:type="dxa" w:w="1600"/>
            <w:tcBorders>
              <w:top w:val="single" w:color="E2E8F0" w:sz="1"/>
              <w:left w:val="single" w:color="E2E8F0" w:sz="1"/>
              <w:bottom w:val="single" w:color="E2E8F0" w:sz="1"/>
              <w:right w:val="single" w:color="E2E8F0" w:sz="1"/>
            </w:tcBorders>
            <w:tcMar>
              <w:top w:type="dxa" w:w="80"/>
              <w:left w:type="dxa" w:w="120"/>
              <w:bottom w:type="dxa" w:w="80"/>
              <w:right w:type="dxa" w:w="120"/>
            </w:tcMar>
          </w:tcPr>
          <w:p>
            <w:pPr>
              <w:jc w:val="left"/>
            </w:pPr>
            <w:r>
              <w:rPr>
                <w:rFonts w:ascii="Arial" w:cs="Arial" w:eastAsia="Arial" w:hAnsi="Arial"/>
                <w:b w:val="false"/>
                <w:bCs w:val="false"/>
                <w:color w:val="475569"/>
                <w:sz w:val="20"/>
                <w:szCs w:val="20"/>
              </w:rPr>
              <w:t xml:space="preserve">10% commission</w:t>
            </w:r>
          </w:p>
        </w:tc>
        <w:tc>
          <w:tcPr>
            <w:tcW w:type="dxa" w:w="1560"/>
            <w:tcBorders>
              <w:top w:val="single" w:color="E2E8F0" w:sz="1"/>
              <w:left w:val="single" w:color="E2E8F0" w:sz="1"/>
              <w:bottom w:val="single" w:color="E2E8F0" w:sz="1"/>
              <w:right w:val="single" w:color="E2E8F0" w:sz="1"/>
            </w:tcBorders>
            <w:shd w:fill="DCFCE7" w:val="clear"/>
            <w:tcMar>
              <w:top w:type="dxa" w:w="80"/>
              <w:left w:type="dxa" w:w="120"/>
              <w:bottom w:type="dxa" w:w="80"/>
              <w:right w:type="dxa" w:w="120"/>
            </w:tcMar>
          </w:tcPr>
          <w:p>
            <w:pPr>
              <w:jc w:val="center"/>
            </w:pPr>
            <w:r>
              <w:rPr>
                <w:rFonts w:ascii="Arial" w:cs="Arial" w:eastAsia="Arial" w:hAnsi="Arial"/>
                <w:b/>
                <w:bCs/>
                <w:color w:val="1E293B"/>
                <w:sz w:val="20"/>
                <w:szCs w:val="20"/>
              </w:rPr>
              <w:t xml:space="preserve">Phase 1</w:t>
            </w:r>
          </w:p>
        </w:tc>
      </w:tr>
      <w:tr>
        <w:tc>
          <w:tcPr>
            <w:tcW w:type="dxa" w:w="2200"/>
            <w:tcBorders>
              <w:top w:val="single" w:color="E2E8F0" w:sz="1"/>
              <w:left w:val="single" w:color="E2E8F0" w:sz="1"/>
              <w:bottom w:val="single" w:color="E2E8F0" w:sz="1"/>
              <w:right w:val="single" w:color="E2E8F0" w:sz="1"/>
            </w:tcBorders>
            <w:tcMar>
              <w:top w:type="dxa" w:w="80"/>
              <w:left w:type="dxa" w:w="120"/>
              <w:bottom w:type="dxa" w:w="80"/>
              <w:right w:type="dxa" w:w="120"/>
            </w:tcMar>
          </w:tcPr>
          <w:p>
            <w:pPr>
              <w:jc w:val="left"/>
            </w:pPr>
            <w:r>
              <w:rPr>
                <w:rFonts w:ascii="Arial" w:cs="Arial" w:eastAsia="Arial" w:hAnsi="Arial"/>
                <w:b/>
                <w:bCs/>
                <w:color w:val="1E293B"/>
                <w:sz w:val="20"/>
                <w:szCs w:val="20"/>
              </w:rPr>
              <w:t xml:space="preserve">Storage</w:t>
            </w:r>
          </w:p>
        </w:tc>
        <w:tc>
          <w:tcPr>
            <w:tcW w:type="dxa" w:w="2800"/>
            <w:tcBorders>
              <w:top w:val="single" w:color="E2E8F0" w:sz="1"/>
              <w:left w:val="single" w:color="E2E8F0" w:sz="1"/>
              <w:bottom w:val="single" w:color="E2E8F0" w:sz="1"/>
              <w:right w:val="single" w:color="E2E8F0" w:sz="1"/>
            </w:tcBorders>
            <w:tcMar>
              <w:top w:type="dxa" w:w="80"/>
              <w:left w:type="dxa" w:w="120"/>
              <w:bottom w:type="dxa" w:w="80"/>
              <w:right w:type="dxa" w:w="120"/>
            </w:tcMar>
          </w:tcPr>
          <w:p>
            <w:pPr>
              <w:jc w:val="left"/>
            </w:pPr>
            <w:r>
              <w:rPr>
                <w:rFonts w:ascii="Arial" w:cs="Arial" w:eastAsia="Arial" w:hAnsi="Arial"/>
                <w:b w:val="false"/>
                <w:bCs w:val="false"/>
                <w:color w:val="475569"/>
                <w:sz w:val="20"/>
                <w:szCs w:val="20"/>
              </w:rPr>
              <w:t xml:space="preserve">Short/long-term storage between moves</w:t>
            </w:r>
          </w:p>
        </w:tc>
        <w:tc>
          <w:tcPr>
            <w:tcW w:type="dxa" w:w="1200"/>
            <w:tcBorders>
              <w:top w:val="single" w:color="E2E8F0" w:sz="1"/>
              <w:left w:val="single" w:color="E2E8F0" w:sz="1"/>
              <w:bottom w:val="single" w:color="E2E8F0" w:sz="1"/>
              <w:right w:val="single" w:color="E2E8F0" w:sz="1"/>
            </w:tcBorders>
            <w:tcMar>
              <w:top w:type="dxa" w:w="80"/>
              <w:left w:type="dxa" w:w="120"/>
              <w:bottom w:type="dxa" w:w="80"/>
              <w:right w:type="dxa" w:w="120"/>
            </w:tcMar>
          </w:tcPr>
          <w:p>
            <w:pPr>
              <w:jc w:val="left"/>
            </w:pPr>
            <w:r>
              <w:rPr>
                <w:rFonts w:ascii="Arial" w:cs="Arial" w:eastAsia="Arial" w:hAnsi="Arial"/>
                <w:b w:val="false"/>
                <w:bCs w:val="false"/>
                <w:color w:val="475569"/>
                <w:sz w:val="20"/>
                <w:szCs w:val="20"/>
              </w:rPr>
              <w:t xml:space="preserve">£50–200/mo</w:t>
            </w:r>
          </w:p>
        </w:tc>
        <w:tc>
          <w:tcPr>
            <w:tcW w:type="dxa" w:w="1600"/>
            <w:tcBorders>
              <w:top w:val="single" w:color="E2E8F0" w:sz="1"/>
              <w:left w:val="single" w:color="E2E8F0" w:sz="1"/>
              <w:bottom w:val="single" w:color="E2E8F0" w:sz="1"/>
              <w:right w:val="single" w:color="E2E8F0" w:sz="1"/>
            </w:tcBorders>
            <w:tcMar>
              <w:top w:type="dxa" w:w="80"/>
              <w:left w:type="dxa" w:w="120"/>
              <w:bottom w:type="dxa" w:w="80"/>
              <w:right w:type="dxa" w:w="120"/>
            </w:tcMar>
          </w:tcPr>
          <w:p>
            <w:pPr>
              <w:jc w:val="left"/>
            </w:pPr>
            <w:r>
              <w:rPr>
                <w:rFonts w:ascii="Arial" w:cs="Arial" w:eastAsia="Arial" w:hAnsi="Arial"/>
                <w:b w:val="false"/>
                <w:bCs w:val="false"/>
                <w:color w:val="475569"/>
                <w:sz w:val="20"/>
                <w:szCs w:val="20"/>
              </w:rPr>
              <w:t xml:space="preserve">Affiliate / lead fee</w:t>
            </w:r>
          </w:p>
        </w:tc>
        <w:tc>
          <w:tcPr>
            <w:tcW w:type="dxa" w:w="1560"/>
            <w:tcBorders>
              <w:top w:val="single" w:color="E2E8F0" w:sz="1"/>
              <w:left w:val="single" w:color="E2E8F0" w:sz="1"/>
              <w:bottom w:val="single" w:color="E2E8F0" w:sz="1"/>
              <w:right w:val="single" w:color="E2E8F0" w:sz="1"/>
            </w:tcBorders>
            <w:shd w:fill="DBEAFE" w:val="clear"/>
            <w:tcMar>
              <w:top w:type="dxa" w:w="80"/>
              <w:left w:type="dxa" w:w="120"/>
              <w:bottom w:type="dxa" w:w="80"/>
              <w:right w:type="dxa" w:w="120"/>
            </w:tcMar>
          </w:tcPr>
          <w:p>
            <w:pPr>
              <w:jc w:val="center"/>
            </w:pPr>
            <w:r>
              <w:rPr>
                <w:rFonts w:ascii="Arial" w:cs="Arial" w:eastAsia="Arial" w:hAnsi="Arial"/>
                <w:b/>
                <w:bCs/>
                <w:color w:val="1E293B"/>
                <w:sz w:val="20"/>
                <w:szCs w:val="20"/>
              </w:rPr>
              <w:t xml:space="preserve">Phase 2</w:t>
            </w:r>
          </w:p>
        </w:tc>
      </w:tr>
      <w:tr>
        <w:tc>
          <w:tcPr>
            <w:tcW w:type="dxa" w:w="2200"/>
            <w:tcBorders>
              <w:top w:val="single" w:color="E2E8F0" w:sz="1"/>
              <w:left w:val="single" w:color="E2E8F0" w:sz="1"/>
              <w:bottom w:val="single" w:color="E2E8F0" w:sz="1"/>
              <w:right w:val="single" w:color="E2E8F0" w:sz="1"/>
            </w:tcBorders>
            <w:tcMar>
              <w:top w:type="dxa" w:w="80"/>
              <w:left w:type="dxa" w:w="120"/>
              <w:bottom w:type="dxa" w:w="80"/>
              <w:right w:type="dxa" w:w="120"/>
            </w:tcMar>
          </w:tcPr>
          <w:p>
            <w:pPr>
              <w:jc w:val="left"/>
            </w:pPr>
            <w:r>
              <w:rPr>
                <w:rFonts w:ascii="Arial" w:cs="Arial" w:eastAsia="Arial" w:hAnsi="Arial"/>
                <w:b/>
                <w:bCs/>
                <w:color w:val="1E293B"/>
                <w:sz w:val="20"/>
                <w:szCs w:val="20"/>
              </w:rPr>
              <w:t xml:space="preserve">Cleaning</w:t>
            </w:r>
          </w:p>
        </w:tc>
        <w:tc>
          <w:tcPr>
            <w:tcW w:type="dxa" w:w="2800"/>
            <w:tcBorders>
              <w:top w:val="single" w:color="E2E8F0" w:sz="1"/>
              <w:left w:val="single" w:color="E2E8F0" w:sz="1"/>
              <w:bottom w:val="single" w:color="E2E8F0" w:sz="1"/>
              <w:right w:val="single" w:color="E2E8F0" w:sz="1"/>
            </w:tcBorders>
            <w:tcMar>
              <w:top w:type="dxa" w:w="80"/>
              <w:left w:type="dxa" w:w="120"/>
              <w:bottom w:type="dxa" w:w="80"/>
              <w:right w:type="dxa" w:w="120"/>
            </w:tcMar>
          </w:tcPr>
          <w:p>
            <w:pPr>
              <w:jc w:val="left"/>
            </w:pPr>
            <w:r>
              <w:rPr>
                <w:rFonts w:ascii="Arial" w:cs="Arial" w:eastAsia="Arial" w:hAnsi="Arial"/>
                <w:b w:val="false"/>
                <w:bCs w:val="false"/>
                <w:color w:val="475569"/>
                <w:sz w:val="20"/>
                <w:szCs w:val="20"/>
              </w:rPr>
              <w:t xml:space="preserve">End-of-tenancy, deep clean, move-in clean</w:t>
            </w:r>
          </w:p>
        </w:tc>
        <w:tc>
          <w:tcPr>
            <w:tcW w:type="dxa" w:w="1200"/>
            <w:tcBorders>
              <w:top w:val="single" w:color="E2E8F0" w:sz="1"/>
              <w:left w:val="single" w:color="E2E8F0" w:sz="1"/>
              <w:bottom w:val="single" w:color="E2E8F0" w:sz="1"/>
              <w:right w:val="single" w:color="E2E8F0" w:sz="1"/>
            </w:tcBorders>
            <w:tcMar>
              <w:top w:type="dxa" w:w="80"/>
              <w:left w:type="dxa" w:w="120"/>
              <w:bottom w:type="dxa" w:w="80"/>
              <w:right w:type="dxa" w:w="120"/>
            </w:tcMar>
          </w:tcPr>
          <w:p>
            <w:pPr>
              <w:jc w:val="left"/>
            </w:pPr>
            <w:r>
              <w:rPr>
                <w:rFonts w:ascii="Arial" w:cs="Arial" w:eastAsia="Arial" w:hAnsi="Arial"/>
                <w:b w:val="false"/>
                <w:bCs w:val="false"/>
                <w:color w:val="475569"/>
                <w:sz w:val="20"/>
                <w:szCs w:val="20"/>
              </w:rPr>
              <w:t xml:space="preserve">£150–400</w:t>
            </w:r>
          </w:p>
        </w:tc>
        <w:tc>
          <w:tcPr>
            <w:tcW w:type="dxa" w:w="1600"/>
            <w:tcBorders>
              <w:top w:val="single" w:color="E2E8F0" w:sz="1"/>
              <w:left w:val="single" w:color="E2E8F0" w:sz="1"/>
              <w:bottom w:val="single" w:color="E2E8F0" w:sz="1"/>
              <w:right w:val="single" w:color="E2E8F0" w:sz="1"/>
            </w:tcBorders>
            <w:tcMar>
              <w:top w:type="dxa" w:w="80"/>
              <w:left w:type="dxa" w:w="120"/>
              <w:bottom w:type="dxa" w:w="80"/>
              <w:right w:type="dxa" w:w="120"/>
            </w:tcMar>
          </w:tcPr>
          <w:p>
            <w:pPr>
              <w:jc w:val="left"/>
            </w:pPr>
            <w:r>
              <w:rPr>
                <w:rFonts w:ascii="Arial" w:cs="Arial" w:eastAsia="Arial" w:hAnsi="Arial"/>
                <w:b w:val="false"/>
                <w:bCs w:val="false"/>
                <w:color w:val="475569"/>
                <w:sz w:val="20"/>
                <w:szCs w:val="20"/>
              </w:rPr>
              <w:t xml:space="preserve">15% commission</w:t>
            </w:r>
          </w:p>
        </w:tc>
        <w:tc>
          <w:tcPr>
            <w:tcW w:type="dxa" w:w="1560"/>
            <w:tcBorders>
              <w:top w:val="single" w:color="E2E8F0" w:sz="1"/>
              <w:left w:val="single" w:color="E2E8F0" w:sz="1"/>
              <w:bottom w:val="single" w:color="E2E8F0" w:sz="1"/>
              <w:right w:val="single" w:color="E2E8F0" w:sz="1"/>
            </w:tcBorders>
            <w:shd w:fill="DCFCE7" w:val="clear"/>
            <w:tcMar>
              <w:top w:type="dxa" w:w="80"/>
              <w:left w:type="dxa" w:w="120"/>
              <w:bottom w:type="dxa" w:w="80"/>
              <w:right w:type="dxa" w:w="120"/>
            </w:tcMar>
          </w:tcPr>
          <w:p>
            <w:pPr>
              <w:jc w:val="center"/>
            </w:pPr>
            <w:r>
              <w:rPr>
                <w:rFonts w:ascii="Arial" w:cs="Arial" w:eastAsia="Arial" w:hAnsi="Arial"/>
                <w:b/>
                <w:bCs/>
                <w:color w:val="1E293B"/>
                <w:sz w:val="20"/>
                <w:szCs w:val="20"/>
              </w:rPr>
              <w:t xml:space="preserve">Phase 1</w:t>
            </w:r>
          </w:p>
        </w:tc>
      </w:tr>
      <w:tr>
        <w:tc>
          <w:tcPr>
            <w:tcW w:type="dxa" w:w="2200"/>
            <w:tcBorders>
              <w:top w:val="single" w:color="E2E8F0" w:sz="1"/>
              <w:left w:val="single" w:color="E2E8F0" w:sz="1"/>
              <w:bottom w:val="single" w:color="E2E8F0" w:sz="1"/>
              <w:right w:val="single" w:color="E2E8F0" w:sz="1"/>
            </w:tcBorders>
            <w:tcMar>
              <w:top w:type="dxa" w:w="80"/>
              <w:left w:type="dxa" w:w="120"/>
              <w:bottom w:type="dxa" w:w="80"/>
              <w:right w:type="dxa" w:w="120"/>
            </w:tcMar>
          </w:tcPr>
          <w:p>
            <w:pPr>
              <w:jc w:val="left"/>
            </w:pPr>
            <w:r>
              <w:rPr>
                <w:rFonts w:ascii="Arial" w:cs="Arial" w:eastAsia="Arial" w:hAnsi="Arial"/>
                <w:b/>
                <w:bCs/>
                <w:color w:val="1E293B"/>
                <w:sz w:val="20"/>
                <w:szCs w:val="20"/>
              </w:rPr>
              <w:t xml:space="preserve">Broadband</w:t>
            </w:r>
          </w:p>
        </w:tc>
        <w:tc>
          <w:tcPr>
            <w:tcW w:type="dxa" w:w="2800"/>
            <w:tcBorders>
              <w:top w:val="single" w:color="E2E8F0" w:sz="1"/>
              <w:left w:val="single" w:color="E2E8F0" w:sz="1"/>
              <w:bottom w:val="single" w:color="E2E8F0" w:sz="1"/>
              <w:right w:val="single" w:color="E2E8F0" w:sz="1"/>
            </w:tcBorders>
            <w:tcMar>
              <w:top w:type="dxa" w:w="80"/>
              <w:left w:type="dxa" w:w="120"/>
              <w:bottom w:type="dxa" w:w="80"/>
              <w:right w:type="dxa" w:w="120"/>
            </w:tcMar>
          </w:tcPr>
          <w:p>
            <w:pPr>
              <w:jc w:val="left"/>
            </w:pPr>
            <w:r>
              <w:rPr>
                <w:rFonts w:ascii="Arial" w:cs="Arial" w:eastAsia="Arial" w:hAnsi="Arial"/>
                <w:b w:val="false"/>
                <w:bCs w:val="false"/>
                <w:color w:val="475569"/>
                <w:sz w:val="20"/>
                <w:szCs w:val="20"/>
              </w:rPr>
              <w:t xml:space="preserve">New home broadband setup + comparison</w:t>
            </w:r>
          </w:p>
        </w:tc>
        <w:tc>
          <w:tcPr>
            <w:tcW w:type="dxa" w:w="1200"/>
            <w:tcBorders>
              <w:top w:val="single" w:color="E2E8F0" w:sz="1"/>
              <w:left w:val="single" w:color="E2E8F0" w:sz="1"/>
              <w:bottom w:val="single" w:color="E2E8F0" w:sz="1"/>
              <w:right w:val="single" w:color="E2E8F0" w:sz="1"/>
            </w:tcBorders>
            <w:tcMar>
              <w:top w:type="dxa" w:w="80"/>
              <w:left w:type="dxa" w:w="120"/>
              <w:bottom w:type="dxa" w:w="80"/>
              <w:right w:type="dxa" w:w="120"/>
            </w:tcMar>
          </w:tcPr>
          <w:p>
            <w:pPr>
              <w:jc w:val="left"/>
            </w:pPr>
            <w:r>
              <w:rPr>
                <w:rFonts w:ascii="Arial" w:cs="Arial" w:eastAsia="Arial" w:hAnsi="Arial"/>
                <w:b w:val="false"/>
                <w:bCs w:val="false"/>
                <w:color w:val="475569"/>
                <w:sz w:val="20"/>
                <w:szCs w:val="20"/>
              </w:rPr>
              <w:t xml:space="preserve">Free setup</w:t>
            </w:r>
          </w:p>
        </w:tc>
        <w:tc>
          <w:tcPr>
            <w:tcW w:type="dxa" w:w="1600"/>
            <w:tcBorders>
              <w:top w:val="single" w:color="E2E8F0" w:sz="1"/>
              <w:left w:val="single" w:color="E2E8F0" w:sz="1"/>
              <w:bottom w:val="single" w:color="E2E8F0" w:sz="1"/>
              <w:right w:val="single" w:color="E2E8F0" w:sz="1"/>
            </w:tcBorders>
            <w:tcMar>
              <w:top w:type="dxa" w:w="80"/>
              <w:left w:type="dxa" w:w="120"/>
              <w:bottom w:type="dxa" w:w="80"/>
              <w:right w:type="dxa" w:w="120"/>
            </w:tcMar>
          </w:tcPr>
          <w:p>
            <w:pPr>
              <w:jc w:val="left"/>
            </w:pPr>
            <w:r>
              <w:rPr>
                <w:rFonts w:ascii="Arial" w:cs="Arial" w:eastAsia="Arial" w:hAnsi="Arial"/>
                <w:b w:val="false"/>
                <w:bCs w:val="false"/>
                <w:color w:val="475569"/>
                <w:sz w:val="20"/>
                <w:szCs w:val="20"/>
              </w:rPr>
              <w:t xml:space="preserve">CPA £20–40</w:t>
            </w:r>
          </w:p>
        </w:tc>
        <w:tc>
          <w:tcPr>
            <w:tcW w:type="dxa" w:w="1560"/>
            <w:tcBorders>
              <w:top w:val="single" w:color="E2E8F0" w:sz="1"/>
              <w:left w:val="single" w:color="E2E8F0" w:sz="1"/>
              <w:bottom w:val="single" w:color="E2E8F0" w:sz="1"/>
              <w:right w:val="single" w:color="E2E8F0" w:sz="1"/>
            </w:tcBorders>
            <w:shd w:fill="DBEAFE" w:val="clear"/>
            <w:tcMar>
              <w:top w:type="dxa" w:w="80"/>
              <w:left w:type="dxa" w:w="120"/>
              <w:bottom w:type="dxa" w:w="80"/>
              <w:right w:type="dxa" w:w="120"/>
            </w:tcMar>
          </w:tcPr>
          <w:p>
            <w:pPr>
              <w:jc w:val="center"/>
            </w:pPr>
            <w:r>
              <w:rPr>
                <w:rFonts w:ascii="Arial" w:cs="Arial" w:eastAsia="Arial" w:hAnsi="Arial"/>
                <w:b/>
                <w:bCs/>
                <w:color w:val="1E293B"/>
                <w:sz w:val="20"/>
                <w:szCs w:val="20"/>
              </w:rPr>
              <w:t xml:space="preserve">Phase 2</w:t>
            </w:r>
          </w:p>
        </w:tc>
      </w:tr>
      <w:tr>
        <w:tc>
          <w:tcPr>
            <w:tcW w:type="dxa" w:w="2200"/>
            <w:tcBorders>
              <w:top w:val="single" w:color="E2E8F0" w:sz="1"/>
              <w:left w:val="single" w:color="E2E8F0" w:sz="1"/>
              <w:bottom w:val="single" w:color="E2E8F0" w:sz="1"/>
              <w:right w:val="single" w:color="E2E8F0" w:sz="1"/>
            </w:tcBorders>
            <w:tcMar>
              <w:top w:type="dxa" w:w="80"/>
              <w:left w:type="dxa" w:w="120"/>
              <w:bottom w:type="dxa" w:w="80"/>
              <w:right w:type="dxa" w:w="120"/>
            </w:tcMar>
          </w:tcPr>
          <w:p>
            <w:pPr>
              <w:jc w:val="left"/>
            </w:pPr>
            <w:r>
              <w:rPr>
                <w:rFonts w:ascii="Arial" w:cs="Arial" w:eastAsia="Arial" w:hAnsi="Arial"/>
                <w:b/>
                <w:bCs/>
                <w:color w:val="1E293B"/>
                <w:sz w:val="20"/>
                <w:szCs w:val="20"/>
              </w:rPr>
              <w:t xml:space="preserve">Energy</w:t>
            </w:r>
          </w:p>
        </w:tc>
        <w:tc>
          <w:tcPr>
            <w:tcW w:type="dxa" w:w="2800"/>
            <w:tcBorders>
              <w:top w:val="single" w:color="E2E8F0" w:sz="1"/>
              <w:left w:val="single" w:color="E2E8F0" w:sz="1"/>
              <w:bottom w:val="single" w:color="E2E8F0" w:sz="1"/>
              <w:right w:val="single" w:color="E2E8F0" w:sz="1"/>
            </w:tcBorders>
            <w:tcMar>
              <w:top w:type="dxa" w:w="80"/>
              <w:left w:type="dxa" w:w="120"/>
              <w:bottom w:type="dxa" w:w="80"/>
              <w:right w:type="dxa" w:w="120"/>
            </w:tcMar>
          </w:tcPr>
          <w:p>
            <w:pPr>
              <w:jc w:val="left"/>
            </w:pPr>
            <w:r>
              <w:rPr>
                <w:rFonts w:ascii="Arial" w:cs="Arial" w:eastAsia="Arial" w:hAnsi="Arial"/>
                <w:b w:val="false"/>
                <w:bCs w:val="false"/>
                <w:color w:val="475569"/>
                <w:sz w:val="20"/>
                <w:szCs w:val="20"/>
              </w:rPr>
              <w:t xml:space="preserve">Gas/electric switch at new address</w:t>
            </w:r>
          </w:p>
        </w:tc>
        <w:tc>
          <w:tcPr>
            <w:tcW w:type="dxa" w:w="1200"/>
            <w:tcBorders>
              <w:top w:val="single" w:color="E2E8F0" w:sz="1"/>
              <w:left w:val="single" w:color="E2E8F0" w:sz="1"/>
              <w:bottom w:val="single" w:color="E2E8F0" w:sz="1"/>
              <w:right w:val="single" w:color="E2E8F0" w:sz="1"/>
            </w:tcBorders>
            <w:tcMar>
              <w:top w:type="dxa" w:w="80"/>
              <w:left w:type="dxa" w:w="120"/>
              <w:bottom w:type="dxa" w:w="80"/>
              <w:right w:type="dxa" w:w="120"/>
            </w:tcMar>
          </w:tcPr>
          <w:p>
            <w:pPr>
              <w:jc w:val="left"/>
            </w:pPr>
            <w:r>
              <w:rPr>
                <w:rFonts w:ascii="Arial" w:cs="Arial" w:eastAsia="Arial" w:hAnsi="Arial"/>
                <w:b w:val="false"/>
                <w:bCs w:val="false"/>
                <w:color w:val="475569"/>
                <w:sz w:val="20"/>
                <w:szCs w:val="20"/>
              </w:rPr>
              <w:t xml:space="preserve">Free switch</w:t>
            </w:r>
          </w:p>
        </w:tc>
        <w:tc>
          <w:tcPr>
            <w:tcW w:type="dxa" w:w="1600"/>
            <w:tcBorders>
              <w:top w:val="single" w:color="E2E8F0" w:sz="1"/>
              <w:left w:val="single" w:color="E2E8F0" w:sz="1"/>
              <w:bottom w:val="single" w:color="E2E8F0" w:sz="1"/>
              <w:right w:val="single" w:color="E2E8F0" w:sz="1"/>
            </w:tcBorders>
            <w:tcMar>
              <w:top w:type="dxa" w:w="80"/>
              <w:left w:type="dxa" w:w="120"/>
              <w:bottom w:type="dxa" w:w="80"/>
              <w:right w:type="dxa" w:w="120"/>
            </w:tcMar>
          </w:tcPr>
          <w:p>
            <w:pPr>
              <w:jc w:val="left"/>
            </w:pPr>
            <w:r>
              <w:rPr>
                <w:rFonts w:ascii="Arial" w:cs="Arial" w:eastAsia="Arial" w:hAnsi="Arial"/>
                <w:b w:val="false"/>
                <w:bCs w:val="false"/>
                <w:color w:val="475569"/>
                <w:sz w:val="20"/>
                <w:szCs w:val="20"/>
              </w:rPr>
              <w:t xml:space="preserve">CPA £15–30</w:t>
            </w:r>
          </w:p>
        </w:tc>
        <w:tc>
          <w:tcPr>
            <w:tcW w:type="dxa" w:w="1560"/>
            <w:tcBorders>
              <w:top w:val="single" w:color="E2E8F0" w:sz="1"/>
              <w:left w:val="single" w:color="E2E8F0" w:sz="1"/>
              <w:bottom w:val="single" w:color="E2E8F0" w:sz="1"/>
              <w:right w:val="single" w:color="E2E8F0" w:sz="1"/>
            </w:tcBorders>
            <w:shd w:fill="DBEAFE" w:val="clear"/>
            <w:tcMar>
              <w:top w:type="dxa" w:w="80"/>
              <w:left w:type="dxa" w:w="120"/>
              <w:bottom w:type="dxa" w:w="80"/>
              <w:right w:type="dxa" w:w="120"/>
            </w:tcMar>
          </w:tcPr>
          <w:p>
            <w:pPr>
              <w:jc w:val="center"/>
            </w:pPr>
            <w:r>
              <w:rPr>
                <w:rFonts w:ascii="Arial" w:cs="Arial" w:eastAsia="Arial" w:hAnsi="Arial"/>
                <w:b/>
                <w:bCs/>
                <w:color w:val="1E293B"/>
                <w:sz w:val="20"/>
                <w:szCs w:val="20"/>
              </w:rPr>
              <w:t xml:space="preserve">Phase 2</w:t>
            </w:r>
          </w:p>
        </w:tc>
      </w:tr>
      <w:tr>
        <w:tc>
          <w:tcPr>
            <w:tcW w:type="dxa" w:w="2200"/>
            <w:tcBorders>
              <w:top w:val="single" w:color="E2E8F0" w:sz="1"/>
              <w:left w:val="single" w:color="E2E8F0" w:sz="1"/>
              <w:bottom w:val="single" w:color="E2E8F0" w:sz="1"/>
              <w:right w:val="single" w:color="E2E8F0" w:sz="1"/>
            </w:tcBorders>
            <w:tcMar>
              <w:top w:type="dxa" w:w="80"/>
              <w:left w:type="dxa" w:w="120"/>
              <w:bottom w:type="dxa" w:w="80"/>
              <w:right w:type="dxa" w:w="120"/>
            </w:tcMar>
          </w:tcPr>
          <w:p>
            <w:pPr>
              <w:jc w:val="left"/>
            </w:pPr>
            <w:r>
              <w:rPr>
                <w:rFonts w:ascii="Arial" w:cs="Arial" w:eastAsia="Arial" w:hAnsi="Arial"/>
                <w:b/>
                <w:bCs/>
                <w:color w:val="1E293B"/>
                <w:sz w:val="20"/>
                <w:szCs w:val="20"/>
              </w:rPr>
              <w:t xml:space="preserve">Address Updates</w:t>
            </w:r>
          </w:p>
        </w:tc>
        <w:tc>
          <w:tcPr>
            <w:tcW w:type="dxa" w:w="2800"/>
            <w:tcBorders>
              <w:top w:val="single" w:color="E2E8F0" w:sz="1"/>
              <w:left w:val="single" w:color="E2E8F0" w:sz="1"/>
              <w:bottom w:val="single" w:color="E2E8F0" w:sz="1"/>
              <w:right w:val="single" w:color="E2E8F0" w:sz="1"/>
            </w:tcBorders>
            <w:tcMar>
              <w:top w:type="dxa" w:w="80"/>
              <w:left w:type="dxa" w:w="120"/>
              <w:bottom w:type="dxa" w:w="80"/>
              <w:right w:type="dxa" w:w="120"/>
            </w:tcMar>
          </w:tcPr>
          <w:p>
            <w:pPr>
              <w:jc w:val="left"/>
            </w:pPr>
            <w:r>
              <w:rPr>
                <w:rFonts w:ascii="Arial" w:cs="Arial" w:eastAsia="Arial" w:hAnsi="Arial"/>
                <w:b w:val="false"/>
                <w:bCs w:val="false"/>
                <w:color w:val="475569"/>
                <w:sz w:val="20"/>
                <w:szCs w:val="20"/>
              </w:rPr>
              <w:t xml:space="preserve">HMRC, DVLA, banks, subscriptions</w:t>
            </w:r>
          </w:p>
        </w:tc>
        <w:tc>
          <w:tcPr>
            <w:tcW w:type="dxa" w:w="1200"/>
            <w:tcBorders>
              <w:top w:val="single" w:color="E2E8F0" w:sz="1"/>
              <w:left w:val="single" w:color="E2E8F0" w:sz="1"/>
              <w:bottom w:val="single" w:color="E2E8F0" w:sz="1"/>
              <w:right w:val="single" w:color="E2E8F0" w:sz="1"/>
            </w:tcBorders>
            <w:tcMar>
              <w:top w:type="dxa" w:w="80"/>
              <w:left w:type="dxa" w:w="120"/>
              <w:bottom w:type="dxa" w:w="80"/>
              <w:right w:type="dxa" w:w="120"/>
            </w:tcMar>
          </w:tcPr>
          <w:p>
            <w:pPr>
              <w:jc w:val="left"/>
            </w:pPr>
            <w:r>
              <w:rPr>
                <w:rFonts w:ascii="Arial" w:cs="Arial" w:eastAsia="Arial" w:hAnsi="Arial"/>
                <w:b w:val="false"/>
                <w:bCs w:val="false"/>
                <w:color w:val="475569"/>
                <w:sz w:val="20"/>
                <w:szCs w:val="20"/>
              </w:rPr>
              <w:t xml:space="preserve">Free/£5</w:t>
            </w:r>
          </w:p>
        </w:tc>
        <w:tc>
          <w:tcPr>
            <w:tcW w:type="dxa" w:w="1600"/>
            <w:tcBorders>
              <w:top w:val="single" w:color="E2E8F0" w:sz="1"/>
              <w:left w:val="single" w:color="E2E8F0" w:sz="1"/>
              <w:bottom w:val="single" w:color="E2E8F0" w:sz="1"/>
              <w:right w:val="single" w:color="E2E8F0" w:sz="1"/>
            </w:tcBorders>
            <w:tcMar>
              <w:top w:type="dxa" w:w="80"/>
              <w:left w:type="dxa" w:w="120"/>
              <w:bottom w:type="dxa" w:w="80"/>
              <w:right w:type="dxa" w:w="120"/>
            </w:tcMar>
          </w:tcPr>
          <w:p>
            <w:pPr>
              <w:jc w:val="left"/>
            </w:pPr>
            <w:r>
              <w:rPr>
                <w:rFonts w:ascii="Arial" w:cs="Arial" w:eastAsia="Arial" w:hAnsi="Arial"/>
                <w:b w:val="false"/>
                <w:bCs w:val="false"/>
                <w:color w:val="475569"/>
                <w:sz w:val="20"/>
                <w:szCs w:val="20"/>
              </w:rPr>
              <w:t xml:space="preserve">Freemium upsell</w:t>
            </w:r>
          </w:p>
        </w:tc>
        <w:tc>
          <w:tcPr>
            <w:tcW w:type="dxa" w:w="1560"/>
            <w:tcBorders>
              <w:top w:val="single" w:color="E2E8F0" w:sz="1"/>
              <w:left w:val="single" w:color="E2E8F0" w:sz="1"/>
              <w:bottom w:val="single" w:color="E2E8F0" w:sz="1"/>
              <w:right w:val="single" w:color="E2E8F0" w:sz="1"/>
            </w:tcBorders>
            <w:shd w:fill="FEF3C7" w:val="clear"/>
            <w:tcMar>
              <w:top w:type="dxa" w:w="80"/>
              <w:left w:type="dxa" w:w="120"/>
              <w:bottom w:type="dxa" w:w="80"/>
              <w:right w:type="dxa" w:w="120"/>
            </w:tcMar>
          </w:tcPr>
          <w:p>
            <w:pPr>
              <w:jc w:val="center"/>
            </w:pPr>
            <w:r>
              <w:rPr>
                <w:rFonts w:ascii="Arial" w:cs="Arial" w:eastAsia="Arial" w:hAnsi="Arial"/>
                <w:b/>
                <w:bCs/>
                <w:color w:val="1E293B"/>
                <w:sz w:val="20"/>
                <w:szCs w:val="20"/>
              </w:rPr>
              <w:t xml:space="preserve">Phase 3</w:t>
            </w:r>
          </w:p>
        </w:tc>
      </w:tr>
      <w:tr>
        <w:tc>
          <w:tcPr>
            <w:tcW w:type="dxa" w:w="2200"/>
            <w:tcBorders>
              <w:top w:val="single" w:color="E2E8F0" w:sz="1"/>
              <w:left w:val="single" w:color="E2E8F0" w:sz="1"/>
              <w:bottom w:val="single" w:color="E2E8F0" w:sz="1"/>
              <w:right w:val="single" w:color="E2E8F0" w:sz="1"/>
            </w:tcBorders>
            <w:tcMar>
              <w:top w:type="dxa" w:w="80"/>
              <w:left w:type="dxa" w:w="120"/>
              <w:bottom w:type="dxa" w:w="80"/>
              <w:right w:type="dxa" w:w="120"/>
            </w:tcMar>
          </w:tcPr>
          <w:p>
            <w:pPr>
              <w:jc w:val="left"/>
            </w:pPr>
            <w:r>
              <w:rPr>
                <w:rFonts w:ascii="Arial" w:cs="Arial" w:eastAsia="Arial" w:hAnsi="Arial"/>
                <w:b/>
                <w:bCs/>
                <w:color w:val="1E293B"/>
                <w:sz w:val="20"/>
                <w:szCs w:val="20"/>
              </w:rPr>
              <w:t xml:space="preserve">Tradespeople</w:t>
            </w:r>
          </w:p>
        </w:tc>
        <w:tc>
          <w:tcPr>
            <w:tcW w:type="dxa" w:w="2800"/>
            <w:tcBorders>
              <w:top w:val="single" w:color="E2E8F0" w:sz="1"/>
              <w:left w:val="single" w:color="E2E8F0" w:sz="1"/>
              <w:bottom w:val="single" w:color="E2E8F0" w:sz="1"/>
              <w:right w:val="single" w:color="E2E8F0" w:sz="1"/>
            </w:tcBorders>
            <w:tcMar>
              <w:top w:type="dxa" w:w="80"/>
              <w:left w:type="dxa" w:w="120"/>
              <w:bottom w:type="dxa" w:w="80"/>
              <w:right w:type="dxa" w:w="120"/>
            </w:tcMar>
          </w:tcPr>
          <w:p>
            <w:pPr>
              <w:jc w:val="left"/>
            </w:pPr>
            <w:r>
              <w:rPr>
                <w:rFonts w:ascii="Arial" w:cs="Arial" w:eastAsia="Arial" w:hAnsi="Arial"/>
                <w:b w:val="false"/>
                <w:bCs w:val="false"/>
                <w:color w:val="475569"/>
                <w:sz w:val="20"/>
                <w:szCs w:val="20"/>
              </w:rPr>
              <w:t xml:space="preserve">Electricians, plumbers, painters, gardeners</w:t>
            </w:r>
          </w:p>
        </w:tc>
        <w:tc>
          <w:tcPr>
            <w:tcW w:type="dxa" w:w="1200"/>
            <w:tcBorders>
              <w:top w:val="single" w:color="E2E8F0" w:sz="1"/>
              <w:left w:val="single" w:color="E2E8F0" w:sz="1"/>
              <w:bottom w:val="single" w:color="E2E8F0" w:sz="1"/>
              <w:right w:val="single" w:color="E2E8F0" w:sz="1"/>
            </w:tcBorders>
            <w:tcMar>
              <w:top w:type="dxa" w:w="80"/>
              <w:left w:type="dxa" w:w="120"/>
              <w:bottom w:type="dxa" w:w="80"/>
              <w:right w:type="dxa" w:w="120"/>
            </w:tcMar>
          </w:tcPr>
          <w:p>
            <w:pPr>
              <w:jc w:val="left"/>
            </w:pPr>
            <w:r>
              <w:rPr>
                <w:rFonts w:ascii="Arial" w:cs="Arial" w:eastAsia="Arial" w:hAnsi="Arial"/>
                <w:b w:val="false"/>
                <w:bCs w:val="false"/>
                <w:color w:val="475569"/>
                <w:sz w:val="20"/>
                <w:szCs w:val="20"/>
              </w:rPr>
              <w:t xml:space="preserve">Varies</w:t>
            </w:r>
          </w:p>
        </w:tc>
        <w:tc>
          <w:tcPr>
            <w:tcW w:type="dxa" w:w="1600"/>
            <w:tcBorders>
              <w:top w:val="single" w:color="E2E8F0" w:sz="1"/>
              <w:left w:val="single" w:color="E2E8F0" w:sz="1"/>
              <w:bottom w:val="single" w:color="E2E8F0" w:sz="1"/>
              <w:right w:val="single" w:color="E2E8F0" w:sz="1"/>
            </w:tcBorders>
            <w:tcMar>
              <w:top w:type="dxa" w:w="80"/>
              <w:left w:type="dxa" w:w="120"/>
              <w:bottom w:type="dxa" w:w="80"/>
              <w:right w:type="dxa" w:w="120"/>
            </w:tcMar>
          </w:tcPr>
          <w:p>
            <w:pPr>
              <w:jc w:val="left"/>
            </w:pPr>
            <w:r>
              <w:rPr>
                <w:rFonts w:ascii="Arial" w:cs="Arial" w:eastAsia="Arial" w:hAnsi="Arial"/>
                <w:b w:val="false"/>
                <w:bCs w:val="false"/>
                <w:color w:val="475569"/>
                <w:sz w:val="20"/>
                <w:szCs w:val="20"/>
              </w:rPr>
              <w:t xml:space="preserve">Lead fee / sub</w:t>
            </w:r>
          </w:p>
        </w:tc>
        <w:tc>
          <w:tcPr>
            <w:tcW w:type="dxa" w:w="1560"/>
            <w:tcBorders>
              <w:top w:val="single" w:color="E2E8F0" w:sz="1"/>
              <w:left w:val="single" w:color="E2E8F0" w:sz="1"/>
              <w:bottom w:val="single" w:color="E2E8F0" w:sz="1"/>
              <w:right w:val="single" w:color="E2E8F0" w:sz="1"/>
            </w:tcBorders>
            <w:shd w:fill="FEF3C7" w:val="clear"/>
            <w:tcMar>
              <w:top w:type="dxa" w:w="80"/>
              <w:left w:type="dxa" w:w="120"/>
              <w:bottom w:type="dxa" w:w="80"/>
              <w:right w:type="dxa" w:w="120"/>
            </w:tcMar>
          </w:tcPr>
          <w:p>
            <w:pPr>
              <w:jc w:val="center"/>
            </w:pPr>
            <w:r>
              <w:rPr>
                <w:rFonts w:ascii="Arial" w:cs="Arial" w:eastAsia="Arial" w:hAnsi="Arial"/>
                <w:b/>
                <w:bCs/>
                <w:color w:val="1E293B"/>
                <w:sz w:val="20"/>
                <w:szCs w:val="20"/>
              </w:rPr>
              <w:t xml:space="preserve">Phase 3</w:t>
            </w:r>
          </w:p>
        </w:tc>
      </w:tr>
      <w:tr>
        <w:tc>
          <w:tcPr>
            <w:tcW w:type="dxa" w:w="2200"/>
            <w:tcBorders>
              <w:top w:val="single" w:color="E2E8F0" w:sz="1"/>
              <w:left w:val="single" w:color="E2E8F0" w:sz="1"/>
              <w:bottom w:val="single" w:color="E2E8F0" w:sz="1"/>
              <w:right w:val="single" w:color="E2E8F0" w:sz="1"/>
            </w:tcBorders>
            <w:tcMar>
              <w:top w:type="dxa" w:w="80"/>
              <w:left w:type="dxa" w:w="120"/>
              <w:bottom w:type="dxa" w:w="80"/>
              <w:right w:type="dxa" w:w="120"/>
            </w:tcMar>
          </w:tcPr>
          <w:p>
            <w:pPr>
              <w:jc w:val="left"/>
            </w:pPr>
            <w:r>
              <w:rPr>
                <w:rFonts w:ascii="Arial" w:cs="Arial" w:eastAsia="Arial" w:hAnsi="Arial"/>
                <w:b/>
                <w:bCs/>
                <w:color w:val="1E293B"/>
                <w:sz w:val="20"/>
                <w:szCs w:val="20"/>
              </w:rPr>
              <w:t xml:space="preserve">Interior Design</w:t>
            </w:r>
          </w:p>
        </w:tc>
        <w:tc>
          <w:tcPr>
            <w:tcW w:type="dxa" w:w="2800"/>
            <w:tcBorders>
              <w:top w:val="single" w:color="E2E8F0" w:sz="1"/>
              <w:left w:val="single" w:color="E2E8F0" w:sz="1"/>
              <w:bottom w:val="single" w:color="E2E8F0" w:sz="1"/>
              <w:right w:val="single" w:color="E2E8F0" w:sz="1"/>
            </w:tcBorders>
            <w:tcMar>
              <w:top w:type="dxa" w:w="80"/>
              <w:left w:type="dxa" w:w="120"/>
              <w:bottom w:type="dxa" w:w="80"/>
              <w:right w:type="dxa" w:w="120"/>
            </w:tcMar>
          </w:tcPr>
          <w:p>
            <w:pPr>
              <w:jc w:val="left"/>
            </w:pPr>
            <w:r>
              <w:rPr>
                <w:rFonts w:ascii="Arial" w:cs="Arial" w:eastAsia="Arial" w:hAnsi="Arial"/>
                <w:b w:val="false"/>
                <w:bCs w:val="false"/>
                <w:color w:val="475569"/>
                <w:sz w:val="20"/>
                <w:szCs w:val="20"/>
              </w:rPr>
              <w:t xml:space="preserve">Design consultants, renovation managers</w:t>
            </w:r>
          </w:p>
        </w:tc>
        <w:tc>
          <w:tcPr>
            <w:tcW w:type="dxa" w:w="1200"/>
            <w:tcBorders>
              <w:top w:val="single" w:color="E2E8F0" w:sz="1"/>
              <w:left w:val="single" w:color="E2E8F0" w:sz="1"/>
              <w:bottom w:val="single" w:color="E2E8F0" w:sz="1"/>
              <w:right w:val="single" w:color="E2E8F0" w:sz="1"/>
            </w:tcBorders>
            <w:tcMar>
              <w:top w:type="dxa" w:w="80"/>
              <w:left w:type="dxa" w:w="120"/>
              <w:bottom w:type="dxa" w:w="80"/>
              <w:right w:type="dxa" w:w="120"/>
            </w:tcMar>
          </w:tcPr>
          <w:p>
            <w:pPr>
              <w:jc w:val="left"/>
            </w:pPr>
            <w:r>
              <w:rPr>
                <w:rFonts w:ascii="Arial" w:cs="Arial" w:eastAsia="Arial" w:hAnsi="Arial"/>
                <w:b w:val="false"/>
                <w:bCs w:val="false"/>
                <w:color w:val="475569"/>
                <w:sz w:val="20"/>
                <w:szCs w:val="20"/>
              </w:rPr>
              <w:t xml:space="preserve">£500+</w:t>
            </w:r>
          </w:p>
        </w:tc>
        <w:tc>
          <w:tcPr>
            <w:tcW w:type="dxa" w:w="1600"/>
            <w:tcBorders>
              <w:top w:val="single" w:color="E2E8F0" w:sz="1"/>
              <w:left w:val="single" w:color="E2E8F0" w:sz="1"/>
              <w:bottom w:val="single" w:color="E2E8F0" w:sz="1"/>
              <w:right w:val="single" w:color="E2E8F0" w:sz="1"/>
            </w:tcBorders>
            <w:tcMar>
              <w:top w:type="dxa" w:w="80"/>
              <w:left w:type="dxa" w:w="120"/>
              <w:bottom w:type="dxa" w:w="80"/>
              <w:right w:type="dxa" w:w="120"/>
            </w:tcMar>
          </w:tcPr>
          <w:p>
            <w:pPr>
              <w:jc w:val="left"/>
            </w:pPr>
            <w:r>
              <w:rPr>
                <w:rFonts w:ascii="Arial" w:cs="Arial" w:eastAsia="Arial" w:hAnsi="Arial"/>
                <w:b w:val="false"/>
                <w:bCs w:val="false"/>
                <w:color w:val="475569"/>
                <w:sz w:val="20"/>
                <w:szCs w:val="20"/>
              </w:rPr>
              <w:t xml:space="preserve">15% commission</w:t>
            </w:r>
          </w:p>
        </w:tc>
        <w:tc>
          <w:tcPr>
            <w:tcW w:type="dxa" w:w="1560"/>
            <w:tcBorders>
              <w:top w:val="single" w:color="E2E8F0" w:sz="1"/>
              <w:left w:val="single" w:color="E2E8F0" w:sz="1"/>
              <w:bottom w:val="single" w:color="E2E8F0" w:sz="1"/>
              <w:right w:val="single" w:color="E2E8F0" w:sz="1"/>
            </w:tcBorders>
            <w:shd w:fill="FEF3C7" w:val="clear"/>
            <w:tcMar>
              <w:top w:type="dxa" w:w="80"/>
              <w:left w:type="dxa" w:w="120"/>
              <w:bottom w:type="dxa" w:w="80"/>
              <w:right w:type="dxa" w:w="120"/>
            </w:tcMar>
          </w:tcPr>
          <w:p>
            <w:pPr>
              <w:jc w:val="center"/>
            </w:pPr>
            <w:r>
              <w:rPr>
                <w:rFonts w:ascii="Arial" w:cs="Arial" w:eastAsia="Arial" w:hAnsi="Arial"/>
                <w:b/>
                <w:bCs/>
                <w:color w:val="1E293B"/>
                <w:sz w:val="20"/>
                <w:szCs w:val="20"/>
              </w:rPr>
              <w:t xml:space="preserve">Phase 3</w:t>
            </w:r>
          </w:p>
        </w:tc>
      </w:tr>
    </w:tbl>
    <w:p>
      <w:r>
        <w:br w:type="page"/>
      </w:r>
    </w:p>
    <w:p>
      <w:pPr>
        <w:pStyle w:val="Heading1"/>
      </w:pPr>
      <w:r>
        <w:t xml:space="preserve">3. Mortgage Referrals — Fast-Track Revenue</w:t>
      </w:r>
    </w:p>
    <w:p>
      <w:pPr>
        <w:spacing w:after="160"/>
      </w:pPr>
      <w:r>
        <w:rPr>
          <w:rFonts w:ascii="Arial" w:cs="Arial" w:eastAsia="Arial" w:hAnsi="Arial"/>
          <w:color w:val="475569"/>
          <w:sz w:val="22"/>
          <w:szCs w:val="22"/>
        </w:rPr>
        <w:t xml:space="preserve">Mortgage referrals are the highest-value, lowest-effort marketplace category. A single referral earns £50–100, the integration is minimal, and no FCA registration is needed if Yalla operates as an introducer. This section details the three models and why Model 1 should launch in Phase 1.</w:t>
      </w:r>
    </w:p>
    <w:p>
      <w:pPr>
        <w:spacing w:after="120" w:before="120"/>
      </w:pPr>
    </w:p>
    <w:p>
      <w:pPr>
        <w:pStyle w:val="Heading2"/>
      </w:pPr>
      <w:r>
        <w:t xml:space="preserve">3.1 Model 1: Introducer / Affiliate (Phase 1)</w:t>
      </w:r>
    </w:p>
    <w:p>
      <w:pPr>
        <w:spacing w:after="160"/>
      </w:pPr>
      <w:r>
        <w:rPr>
          <w:rFonts w:ascii="Arial" w:cs="Arial" w:eastAsia="Arial" w:hAnsi="Arial"/>
          <w:color w:val="475569"/>
          <w:sz w:val="22"/>
          <w:szCs w:val="22"/>
        </w:rPr>
        <w:t xml:space="preserve">Yalla refers users to an FCA-authorised mortgage broker. No advice given, no FCA registration needed. Yalla is classified as an “introducer” under FCA rules — you simply pass on the user’s contact details and let the broker handle everything.</w:t>
      </w:r>
    </w:p>
    <w:p>
      <w:pPr>
        <w:spacing w:after="120" w:before="120"/>
      </w:pPr>
    </w:p>
    <w:p>
      <w:pPr>
        <w:spacing w:after="160"/>
      </w:pPr>
      <w:r>
        <w:rPr>
          <w:rFonts w:ascii="Arial" w:cs="Arial" w:eastAsia="Arial" w:hAnsi="Arial"/>
          <w:b/>
          <w:bCs/>
          <w:color w:val="1E293B"/>
          <w:sz w:val="22"/>
          <w:szCs w:val="22"/>
        </w:rPr>
        <w:t xml:space="preserve">How it works: </w:t>
      </w:r>
      <w:r>
        <w:rPr>
          <w:rFonts w:ascii="Arial" w:cs="Arial" w:eastAsia="Arial" w:hAnsi="Arial"/>
          <w:color w:val="475569"/>
          <w:sz w:val="22"/>
          <w:szCs w:val="22"/>
        </w:rPr>
        <w:t xml:space="preserve"/>
      </w:r>
    </w:p>
    <w:p>
      <w:pPr>
        <w:pStyle w:val="ListParagraph"/>
        <w:numPr>
          <w:ilvl w:val="0"/>
          <w:numId w:val="2"/>
        </w:numPr>
        <w:spacing w:after="80"/>
      </w:pPr>
      <w:r>
        <w:rPr>
          <w:rFonts w:ascii="Arial" w:cs="Arial" w:eastAsia="Arial" w:hAnsi="Arial"/>
          <w:color w:val="475569"/>
          <w:sz w:val="22"/>
          <w:szCs w:val="22"/>
        </w:rPr>
        <w:t xml:space="preserve">Hunter gets offer accepted → dashboard shows “Get a mortgage in principle” card.</w:t>
      </w:r>
    </w:p>
    <w:p>
      <w:pPr>
        <w:pStyle w:val="ListParagraph"/>
        <w:numPr>
          <w:ilvl w:val="0"/>
          <w:numId w:val="2"/>
        </w:numPr>
        <w:spacing w:after="80"/>
      </w:pPr>
      <w:r>
        <w:rPr>
          <w:rFonts w:ascii="Arial" w:cs="Arial" w:eastAsia="Arial" w:hAnsi="Arial"/>
          <w:color w:val="475569"/>
          <w:sz w:val="22"/>
          <w:szCs w:val="22"/>
        </w:rPr>
        <w:t xml:space="preserve">User clicks → form collects name, email, phone, property value, deposit, income.</w:t>
      </w:r>
    </w:p>
    <w:p>
      <w:pPr>
        <w:pStyle w:val="ListParagraph"/>
        <w:numPr>
          <w:ilvl w:val="0"/>
          <w:numId w:val="2"/>
        </w:numPr>
        <w:spacing w:after="80"/>
      </w:pPr>
      <w:r>
        <w:rPr>
          <w:rFonts w:ascii="Arial" w:cs="Arial" w:eastAsia="Arial" w:hAnsi="Arial"/>
          <w:color w:val="475569"/>
          <w:sz w:val="22"/>
          <w:szCs w:val="22"/>
        </w:rPr>
        <w:t xml:space="preserve">Data sent to partner broker via API or webhook. Broker contacts user within 24 hours.</w:t>
      </w:r>
    </w:p>
    <w:p>
      <w:pPr>
        <w:pStyle w:val="ListParagraph"/>
        <w:numPr>
          <w:ilvl w:val="0"/>
          <w:numId w:val="2"/>
        </w:numPr>
        <w:spacing w:after="80"/>
      </w:pPr>
      <w:r>
        <w:rPr>
          <w:rFonts w:ascii="Arial" w:cs="Arial" w:eastAsia="Arial" w:hAnsi="Arial"/>
          <w:color w:val="475569"/>
          <w:sz w:val="22"/>
          <w:szCs w:val="22"/>
        </w:rPr>
        <w:t xml:space="preserve">Yalla earns £50–100 per referral that converts to a mortgage application.</w:t>
      </w:r>
    </w:p>
    <w:p>
      <w:pPr>
        <w:spacing w:after="120" w:before="120"/>
      </w:pPr>
    </w:p>
    <w:p>
      <w:pPr>
        <w:spacing w:after="160"/>
      </w:pPr>
      <w:r>
        <w:rPr>
          <w:rFonts w:ascii="Arial" w:cs="Arial" w:eastAsia="Arial" w:hAnsi="Arial"/>
          <w:b/>
          <w:bCs/>
          <w:color w:val="1E293B"/>
          <w:sz w:val="22"/>
          <w:szCs w:val="22"/>
        </w:rPr>
        <w:t xml:space="preserve">Partner options: </w:t>
      </w:r>
      <w:r>
        <w:rPr>
          <w:rFonts w:ascii="Arial" w:cs="Arial" w:eastAsia="Arial" w:hAnsi="Arial"/>
          <w:color w:val="475569"/>
          <w:sz w:val="22"/>
          <w:szCs w:val="22"/>
        </w:rPr>
        <w:t xml:space="preserve"/>
      </w:r>
    </w:p>
    <w:p>
      <w:pPr>
        <w:pStyle w:val="ListParagraph"/>
        <w:numPr>
          <w:ilvl w:val="0"/>
          <w:numId w:val="3"/>
        </w:numPr>
        <w:spacing w:after="80"/>
      </w:pPr>
      <w:r>
        <w:rPr>
          <w:rFonts w:ascii="Arial" w:cs="Arial" w:eastAsia="Arial" w:hAnsi="Arial"/>
          <w:color w:val="475569"/>
          <w:sz w:val="22"/>
          <w:szCs w:val="22"/>
        </w:rPr>
        <w:t xml:space="preserve">Habito — digital-first, whole-of-market, strong API. Referral programme pays £100+ per completion.</w:t>
      </w:r>
    </w:p>
    <w:p>
      <w:pPr>
        <w:pStyle w:val="ListParagraph"/>
        <w:numPr>
          <w:ilvl w:val="0"/>
          <w:numId w:val="3"/>
        </w:numPr>
        <w:spacing w:after="80"/>
      </w:pPr>
      <w:r>
        <w:rPr>
          <w:rFonts w:ascii="Arial" w:cs="Arial" w:eastAsia="Arial" w:hAnsi="Arial"/>
          <w:color w:val="475569"/>
          <w:sz w:val="22"/>
          <w:szCs w:val="22"/>
        </w:rPr>
        <w:t xml:space="preserve">Mojo Mortgages — online broker with referral partnerships. Fast onboarding.</w:t>
      </w:r>
    </w:p>
    <w:p>
      <w:pPr>
        <w:pStyle w:val="ListParagraph"/>
        <w:numPr>
          <w:ilvl w:val="0"/>
          <w:numId w:val="3"/>
        </w:numPr>
        <w:spacing w:after="80"/>
      </w:pPr>
      <w:r>
        <w:rPr>
          <w:rFonts w:ascii="Arial" w:cs="Arial" w:eastAsia="Arial" w:hAnsi="Arial"/>
          <w:color w:val="475569"/>
          <w:sz w:val="22"/>
          <w:szCs w:val="22"/>
        </w:rPr>
        <w:t xml:space="preserve">London &amp; Country (L&amp;C) — largest fee-free broker in UK. Established partner programmes.</w:t>
      </w:r>
    </w:p>
    <w:p>
      <w:pPr>
        <w:pStyle w:val="ListParagraph"/>
        <w:numPr>
          <w:ilvl w:val="0"/>
          <w:numId w:val="3"/>
        </w:numPr>
        <w:spacing w:after="80"/>
      </w:pPr>
      <w:r>
        <w:rPr>
          <w:rFonts w:ascii="Arial" w:cs="Arial" w:eastAsia="Arial" w:hAnsi="Arial"/>
          <w:color w:val="475569"/>
          <w:sz w:val="22"/>
          <w:szCs w:val="22"/>
        </w:rPr>
        <w:t xml:space="preserve">Local brokers — independent brokers in your launch areas who want leads. Higher conversion, personal touch.</w:t>
      </w:r>
    </w:p>
    <w:p>
      <w:pPr>
        <w:spacing w:after="120" w:before="120"/>
      </w:pPr>
    </w:p>
    <w:p>
      <w:pPr>
        <w:spacing w:after="160"/>
      </w:pPr>
      <w:r>
        <w:rPr>
          <w:rFonts w:ascii="Arial" w:cs="Arial" w:eastAsia="Arial" w:hAnsi="Arial"/>
          <w:b/>
          <w:bCs/>
          <w:color w:val="1E293B"/>
          <w:sz w:val="22"/>
          <w:szCs w:val="22"/>
        </w:rPr>
        <w:t xml:space="preserve">Implementation effort: </w:t>
      </w:r>
      <w:r>
        <w:rPr>
          <w:rFonts w:ascii="Arial" w:cs="Arial" w:eastAsia="Arial" w:hAnsi="Arial"/>
          <w:color w:val="475569"/>
          <w:sz w:val="22"/>
          <w:szCs w:val="22"/>
        </w:rPr>
        <w:t xml:space="preserve">One API integration or tracked referral link. One dashboard card component. One email notification. Can be live in a single sprint.</w:t>
      </w:r>
    </w:p>
    <w:p>
      <w:pPr>
        <w:spacing w:after="160"/>
      </w:pPr>
      <w:r>
        <w:rPr>
          <w:rFonts w:ascii="Arial" w:cs="Arial" w:eastAsia="Arial" w:hAnsi="Arial"/>
          <w:b/>
          <w:bCs/>
          <w:color w:val="1E293B"/>
          <w:sz w:val="22"/>
          <w:szCs w:val="22"/>
        </w:rPr>
        <w:t xml:space="preserve">Revenue potential: </w:t>
      </w:r>
      <w:r>
        <w:rPr>
          <w:rFonts w:ascii="Arial" w:cs="Arial" w:eastAsia="Arial" w:hAnsi="Arial"/>
          <w:color w:val="475569"/>
          <w:sz w:val="22"/>
          <w:szCs w:val="22"/>
        </w:rPr>
        <w:t xml:space="preserve">10 referrals/month × £75 avg = £750/month. 50 referrals/month = £3,750/month. This alone covers platform operating costs.</w:t>
      </w:r>
    </w:p>
    <w:p>
      <w:pPr>
        <w:spacing w:after="120" w:before="120"/>
      </w:pPr>
    </w:p>
    <w:p>
      <w:pPr>
        <w:pStyle w:val="Heading2"/>
      </w:pPr>
      <w:r>
        <w:t xml:space="preserve">3.2 Model 2: Embedded Comparison (Phase 2)</w:t>
      </w:r>
    </w:p>
    <w:p>
      <w:pPr>
        <w:spacing w:after="160"/>
      </w:pPr>
      <w:r>
        <w:rPr>
          <w:rFonts w:ascii="Arial" w:cs="Arial" w:eastAsia="Arial" w:hAnsi="Arial"/>
          <w:color w:val="475569"/>
          <w:sz w:val="22"/>
          <w:szCs w:val="22"/>
        </w:rPr>
        <w:t xml:space="preserve">Partner with a mortgage comparison engine (e.g. Dashly, Twenty7Tec, MortgageGym) that provides an embeddable widget. User enters property price, deposit, and income → sees personalised mortgage rates inside their Yalla dashboard → clicks through to apply with chosen lender or broker.</w:t>
      </w:r>
    </w:p>
    <w:p>
      <w:pPr>
        <w:pStyle w:val="ListParagraph"/>
        <w:numPr>
          <w:ilvl w:val="0"/>
          <w:numId w:val="3"/>
        </w:numPr>
        <w:spacing w:after="80"/>
      </w:pPr>
      <w:r>
        <w:rPr>
          <w:rFonts w:ascii="Arial" w:cs="Arial" w:eastAsia="Arial" w:hAnsi="Arial"/>
          <w:color w:val="475569"/>
          <w:sz w:val="22"/>
          <w:szCs w:val="22"/>
        </w:rPr>
        <w:t xml:space="preserve">The comparison provider handles all FCA compliance.</w:t>
      </w:r>
    </w:p>
    <w:p>
      <w:pPr>
        <w:pStyle w:val="ListParagraph"/>
        <w:numPr>
          <w:ilvl w:val="0"/>
          <w:numId w:val="3"/>
        </w:numPr>
        <w:spacing w:after="80"/>
      </w:pPr>
      <w:r>
        <w:rPr>
          <w:rFonts w:ascii="Arial" w:cs="Arial" w:eastAsia="Arial" w:hAnsi="Arial"/>
          <w:color w:val="475569"/>
          <w:sz w:val="22"/>
          <w:szCs w:val="22"/>
        </w:rPr>
        <w:t xml:space="preserve">Yalla earns CPA (£30–80 per application) or rev-share.</w:t>
      </w:r>
    </w:p>
    <w:p>
      <w:pPr>
        <w:pStyle w:val="ListParagraph"/>
        <w:numPr>
          <w:ilvl w:val="0"/>
          <w:numId w:val="3"/>
        </w:numPr>
        <w:spacing w:after="80"/>
      </w:pPr>
      <w:r>
        <w:rPr>
          <w:rFonts w:ascii="Arial" w:cs="Arial" w:eastAsia="Arial" w:hAnsi="Arial"/>
          <w:color w:val="475569"/>
          <w:sz w:val="22"/>
          <w:szCs w:val="22"/>
        </w:rPr>
        <w:t xml:space="preserve">Feels more integrated — user never leaves Yalla dashboard.</w:t>
      </w:r>
    </w:p>
    <w:p>
      <w:pPr>
        <w:pStyle w:val="ListParagraph"/>
        <w:numPr>
          <w:ilvl w:val="0"/>
          <w:numId w:val="3"/>
        </w:numPr>
        <w:spacing w:after="80"/>
      </w:pPr>
      <w:r>
        <w:rPr>
          <w:rFonts w:ascii="Arial" w:cs="Arial" w:eastAsia="Arial" w:hAnsi="Arial"/>
          <w:color w:val="475569"/>
          <w:sz w:val="22"/>
          <w:szCs w:val="22"/>
        </w:rPr>
        <w:t xml:space="preserve">Requires widget integration and data-sharing agreement.</w:t>
      </w:r>
    </w:p>
    <w:p>
      <w:pPr>
        <w:spacing w:after="120" w:before="120"/>
      </w:pPr>
    </w:p>
    <w:p>
      <w:pPr>
        <w:pStyle w:val="Heading2"/>
      </w:pPr>
      <w:r>
        <w:t xml:space="preserve">3.3 Model 3: Appointed Representative (Future)</w:t>
      </w:r>
    </w:p>
    <w:p>
      <w:pPr>
        <w:spacing w:after="160"/>
      </w:pPr>
      <w:r>
        <w:rPr>
          <w:rFonts w:ascii="Arial" w:cs="Arial" w:eastAsia="Arial" w:hAnsi="Arial"/>
          <w:color w:val="475569"/>
          <w:sz w:val="22"/>
          <w:szCs w:val="22"/>
        </w:rPr>
        <w:t xml:space="preserve">Yalla registers as an Appointed Representative (AR) under an FCA-authorised network (e.g. Openwork, Primis, Quilter). This allows Yalla to offer mortgage advice directly — highest revenue per conversion but requires compliance infrastructure, ongoing training, and regulatory oversight.</w:t>
      </w:r>
    </w:p>
    <w:p>
      <w:pPr>
        <w:pStyle w:val="ListParagraph"/>
        <w:numPr>
          <w:ilvl w:val="0"/>
          <w:numId w:val="3"/>
        </w:numPr>
        <w:spacing w:after="80"/>
      </w:pPr>
      <w:r>
        <w:rPr>
          <w:rFonts w:ascii="Arial" w:cs="Arial" w:eastAsia="Arial" w:hAnsi="Arial"/>
          <w:color w:val="475569"/>
          <w:sz w:val="22"/>
          <w:szCs w:val="22"/>
        </w:rPr>
        <w:t xml:space="preserve">Only viable at significant scale (500+ referrals/month).</w:t>
      </w:r>
    </w:p>
    <w:p>
      <w:pPr>
        <w:pStyle w:val="ListParagraph"/>
        <w:numPr>
          <w:ilvl w:val="0"/>
          <w:numId w:val="3"/>
        </w:numPr>
        <w:spacing w:after="80"/>
      </w:pPr>
      <w:r>
        <w:rPr>
          <w:rFonts w:ascii="Arial" w:cs="Arial" w:eastAsia="Arial" w:hAnsi="Arial"/>
          <w:color w:val="475569"/>
          <w:sz w:val="22"/>
          <w:szCs w:val="22"/>
        </w:rPr>
        <w:t xml:space="preserve">Requires dedicated compliance officer and FCA-compliant processes.</w:t>
      </w:r>
    </w:p>
    <w:p>
      <w:pPr>
        <w:pStyle w:val="ListParagraph"/>
        <w:numPr>
          <w:ilvl w:val="0"/>
          <w:numId w:val="3"/>
        </w:numPr>
        <w:spacing w:after="80"/>
      </w:pPr>
      <w:r>
        <w:rPr>
          <w:rFonts w:ascii="Arial" w:cs="Arial" w:eastAsia="Arial" w:hAnsi="Arial"/>
          <w:color w:val="475569"/>
          <w:sz w:val="22"/>
          <w:szCs w:val="22"/>
        </w:rPr>
        <w:t xml:space="preserve">Revenue: £200–500+ per completed mortgage (proc fee from lender).</w:t>
      </w:r>
    </w:p>
    <w:p>
      <w:pPr>
        <w:pStyle w:val="ListParagraph"/>
        <w:numPr>
          <w:ilvl w:val="0"/>
          <w:numId w:val="3"/>
        </w:numPr>
        <w:spacing w:after="80"/>
      </w:pPr>
      <w:r>
        <w:rPr>
          <w:rFonts w:ascii="Arial" w:cs="Arial" w:eastAsia="Arial" w:hAnsi="Arial"/>
          <w:color w:val="475569"/>
          <w:sz w:val="22"/>
          <w:szCs w:val="22"/>
        </w:rPr>
        <w:t xml:space="preserve">Recommendation: evaluate at Month 12+ based on referral volume.</w:t>
      </w:r>
    </w:p>
    <w:p>
      <w:r>
        <w:br w:type="page"/>
      </w:r>
    </w:p>
    <w:p>
      <w:pPr>
        <w:pStyle w:val="Heading1"/>
      </w:pPr>
      <w:r>
        <w:t xml:space="preserve">4. Provider Onboarding Model</w:t>
      </w:r>
    </w:p>
    <w:p>
      <w:pPr>
        <w:spacing w:after="160"/>
      </w:pPr>
      <w:r>
        <w:rPr>
          <w:rFonts w:ascii="Arial" w:cs="Arial" w:eastAsia="Arial" w:hAnsi="Arial"/>
          <w:color w:val="475569"/>
          <w:sz w:val="22"/>
          <w:szCs w:val="22"/>
        </w:rPr>
        <w:t xml:space="preserve">Upwork is used ONCE per provider — to find them. After that, they’re on Yalla.House permanently. Every provider recruited increases marketplace value forever.</w:t>
      </w:r>
    </w:p>
    <w:p>
      <w:pPr>
        <w:spacing w:after="120" w:before="120"/>
      </w:pPr>
    </w:p>
    <w:p>
      <w:pPr>
        <w:pStyle w:val="Heading2"/>
      </w:pPr>
      <w:r>
        <w:t xml:space="preserve">4.1 The Funnel</w:t>
      </w:r>
    </w:p>
    <w:p>
      <w:pPr>
        <w:pStyle w:val="ListParagraph"/>
        <w:numPr>
          <w:ilvl w:val="0"/>
          <w:numId w:val="2"/>
        </w:numPr>
        <w:spacing w:after="80"/>
      </w:pPr>
      <w:r>
        <w:rPr>
          <w:rFonts w:ascii="Arial" w:cs="Arial" w:eastAsia="Arial" w:hAnsi="Arial"/>
          <w:color w:val="475569"/>
          <w:sz w:val="22"/>
          <w:szCs w:val="22"/>
        </w:rPr>
        <w:t xml:space="preserve">VA on Upwork researches providers in target postcodes (one-time task).</w:t>
      </w:r>
    </w:p>
    <w:p>
      <w:pPr>
        <w:pStyle w:val="ListParagraph"/>
        <w:numPr>
          <w:ilvl w:val="0"/>
          <w:numId w:val="2"/>
        </w:numPr>
        <w:spacing w:after="80"/>
      </w:pPr>
      <w:r>
        <w:rPr>
          <w:rFonts w:ascii="Arial" w:cs="Arial" w:eastAsia="Arial" w:hAnsi="Arial"/>
          <w:color w:val="475569"/>
          <w:sz w:val="22"/>
          <w:szCs w:val="22"/>
        </w:rPr>
        <w:t xml:space="preserve">VA sends templated outreach: “Free listing on Yalla.House, receive qualified leads from property owners and buyers in your area.”</w:t>
      </w:r>
    </w:p>
    <w:p>
      <w:pPr>
        <w:pStyle w:val="ListParagraph"/>
        <w:numPr>
          <w:ilvl w:val="0"/>
          <w:numId w:val="2"/>
        </w:numPr>
        <w:spacing w:after="80"/>
      </w:pPr>
      <w:r>
        <w:rPr>
          <w:rFonts w:ascii="Arial" w:cs="Arial" w:eastAsia="Arial" w:hAnsi="Arial"/>
          <w:color w:val="475569"/>
          <w:sz w:val="22"/>
          <w:szCs w:val="22"/>
        </w:rPr>
        <w:t xml:space="preserve">Provider clicks sign-up link → lands on Yalla.House provider onboarding page.</w:t>
      </w:r>
    </w:p>
    <w:p>
      <w:pPr>
        <w:pStyle w:val="ListParagraph"/>
        <w:numPr>
          <w:ilvl w:val="0"/>
          <w:numId w:val="2"/>
        </w:numPr>
        <w:spacing w:after="80"/>
      </w:pPr>
      <w:r>
        <w:rPr>
          <w:rFonts w:ascii="Arial" w:cs="Arial" w:eastAsia="Arial" w:hAnsi="Arial"/>
          <w:color w:val="475569"/>
          <w:sz w:val="22"/>
          <w:szCs w:val="22"/>
        </w:rPr>
        <w:t xml:space="preserve">Provider creates Yalla account, completes profile (services, areas, pricing, accreditations, portfolio).</w:t>
      </w:r>
    </w:p>
    <w:p>
      <w:pPr>
        <w:pStyle w:val="ListParagraph"/>
        <w:numPr>
          <w:ilvl w:val="0"/>
          <w:numId w:val="2"/>
        </w:numPr>
        <w:spacing w:after="80"/>
      </w:pPr>
      <w:r>
        <w:rPr>
          <w:rFonts w:ascii="Arial" w:cs="Arial" w:eastAsia="Arial" w:hAnsi="Arial"/>
          <w:color w:val="475569"/>
          <w:sz w:val="22"/>
          <w:szCs w:val="22"/>
        </w:rPr>
        <w:t xml:space="preserve">Profile goes live on marketplace. Provider receives leads directly in their Yalla dashboard.</w:t>
      </w:r>
    </w:p>
    <w:p>
      <w:pPr>
        <w:pStyle w:val="ListParagraph"/>
        <w:numPr>
          <w:ilvl w:val="0"/>
          <w:numId w:val="2"/>
        </w:numPr>
        <w:spacing w:after="80"/>
      </w:pPr>
      <w:r>
        <w:rPr>
          <w:rFonts w:ascii="Arial" w:cs="Arial" w:eastAsia="Arial" w:hAnsi="Arial"/>
          <w:color w:val="475569"/>
          <w:sz w:val="22"/>
          <w:szCs w:val="22"/>
        </w:rPr>
        <w:t xml:space="preserve">Provider manages all enquiries, quotes, and bookings within Yalla — no Upwork dependency.</w:t>
      </w:r>
    </w:p>
    <w:p>
      <w:pPr>
        <w:spacing w:after="120" w:before="120"/>
      </w:pPr>
    </w:p>
    <w:p>
      <w:pPr>
        <w:spacing w:after="160"/>
      </w:pPr>
      <w:r>
        <w:rPr>
          <w:rFonts w:ascii="Arial" w:cs="Arial" w:eastAsia="Arial" w:hAnsi="Arial"/>
          <w:b/>
          <w:bCs/>
          <w:color w:val="1E293B"/>
          <w:sz w:val="22"/>
          <w:szCs w:val="22"/>
        </w:rPr>
        <w:t xml:space="preserve">Result: </w:t>
      </w:r>
      <w:r>
        <w:rPr>
          <w:rFonts w:ascii="Arial" w:cs="Arial" w:eastAsia="Arial" w:hAnsi="Arial"/>
          <w:color w:val="475569"/>
          <w:sz w:val="22"/>
          <w:szCs w:val="22"/>
        </w:rPr>
        <w:t xml:space="preserve">Upwork cost is a one-time acquisition cost per provider (£2–5 per sign-up). The provider then generates recurring revenue on the platform indefinitely.</w:t>
      </w:r>
    </w:p>
    <w:p>
      <w:pPr>
        <w:spacing w:after="120" w:before="120"/>
      </w:pPr>
    </w:p>
    <w:p>
      <w:pPr>
        <w:pStyle w:val="Heading2"/>
      </w:pPr>
      <w:r>
        <w:t xml:space="preserve">4.2 Unclaimed Profiles (Directory Seeding)</w:t>
      </w:r>
    </w:p>
    <w:p>
      <w:pPr>
        <w:pStyle w:val="ListParagraph"/>
        <w:numPr>
          <w:ilvl w:val="0"/>
          <w:numId w:val="3"/>
        </w:numPr>
        <w:spacing w:after="80"/>
      </w:pPr>
      <w:r>
        <w:rPr>
          <w:rFonts w:ascii="Arial" w:cs="Arial" w:eastAsia="Arial" w:hAnsi="Arial"/>
          <w:color w:val="475569"/>
          <w:sz w:val="22"/>
          <w:szCs w:val="22"/>
        </w:rPr>
        <w:t xml:space="preserve">Scrape public data: business name, category, coverage area, website, Google rating, accreditations.</w:t>
      </w:r>
    </w:p>
    <w:p>
      <w:pPr>
        <w:pStyle w:val="ListParagraph"/>
        <w:numPr>
          <w:ilvl w:val="0"/>
          <w:numId w:val="3"/>
        </w:numPr>
        <w:spacing w:after="80"/>
      </w:pPr>
      <w:r>
        <w:rPr>
          <w:rFonts w:ascii="Arial" w:cs="Arial" w:eastAsia="Arial" w:hAnsi="Arial"/>
          <w:color w:val="475569"/>
          <w:sz w:val="22"/>
          <w:szCs w:val="22"/>
        </w:rPr>
        <w:t xml:space="preserve">Sources: Checkatrade, TrustATrader, Google Maps, Law Society, RICS, Gas Safe Register.</w:t>
      </w:r>
    </w:p>
    <w:p>
      <w:pPr>
        <w:pStyle w:val="ListParagraph"/>
        <w:numPr>
          <w:ilvl w:val="0"/>
          <w:numId w:val="3"/>
        </w:numPr>
        <w:spacing w:after="80"/>
      </w:pPr>
      <w:r>
        <w:rPr>
          <w:rFonts w:ascii="Arial" w:cs="Arial" w:eastAsia="Arial" w:hAnsi="Arial"/>
          <w:color w:val="475569"/>
          <w:sz w:val="22"/>
          <w:szCs w:val="22"/>
        </w:rPr>
        <w:t xml:space="preserve">Display as “Unclaimed” profiles with “Claim this listing — it’s free” CTA.</w:t>
      </w:r>
    </w:p>
    <w:p>
      <w:pPr>
        <w:pStyle w:val="ListParagraph"/>
        <w:numPr>
          <w:ilvl w:val="0"/>
          <w:numId w:val="3"/>
        </w:numPr>
        <w:spacing w:after="80"/>
      </w:pPr>
      <w:r>
        <w:rPr>
          <w:rFonts w:ascii="Arial" w:cs="Arial" w:eastAsia="Arial" w:hAnsi="Arial"/>
          <w:color w:val="475569"/>
          <w:sz w:val="22"/>
          <w:szCs w:val="22"/>
        </w:rPr>
        <w:t xml:space="preserve">Claim flow = onboarding flow: verify identity, add pricing, activate, start receiving leads.</w:t>
      </w:r>
    </w:p>
    <w:p>
      <w:pPr>
        <w:spacing w:after="160"/>
      </w:pPr>
      <w:r>
        <w:rPr>
          <w:rFonts w:ascii="Arial" w:cs="Arial" w:eastAsia="Arial" w:hAnsi="Arial"/>
          <w:b/>
          <w:bCs/>
          <w:color w:val="1E293B"/>
          <w:sz w:val="22"/>
          <w:szCs w:val="22"/>
        </w:rPr>
        <w:t xml:space="preserve">Why: </w:t>
      </w:r>
      <w:r>
        <w:rPr>
          <w:rFonts w:ascii="Arial" w:cs="Arial" w:eastAsia="Arial" w:hAnsi="Arial"/>
          <w:color w:val="475569"/>
          <w:sz w:val="22"/>
          <w:szCs w:val="22"/>
        </w:rPr>
        <w:t xml:space="preserve">Providers Google themselves, find their Yalla profile, and claim it. Google Business Profile playbook.</w:t>
      </w:r>
    </w:p>
    <w:p>
      <w:r>
        <w:br w:type="page"/>
      </w:r>
    </w:p>
    <w:p>
      <w:pPr>
        <w:pStyle w:val="Heading1"/>
      </w:pPr>
      <w:r>
        <w:t xml:space="preserve">5. Automation Strategy</w:t>
      </w:r>
    </w:p>
    <w:p>
      <w:pPr>
        <w:spacing w:after="160"/>
      </w:pPr>
      <w:r>
        <w:rPr>
          <w:rFonts w:ascii="Arial" w:cs="Arial" w:eastAsia="Arial" w:hAnsi="Arial"/>
          <w:color w:val="475569"/>
          <w:sz w:val="22"/>
          <w:szCs w:val="22"/>
        </w:rPr>
        <w:t xml:space="preserve">Every manual process should have an automation target. The goal is zero human intervention for standard service requests.</w:t>
      </w:r>
    </w:p>
    <w:p>
      <w:pPr>
        <w:spacing w:after="120" w:before="120"/>
      </w:pPr>
    </w:p>
    <w:p>
      <w:pPr>
        <w:pStyle w:val="Heading2"/>
      </w:pPr>
      <w:r>
        <w:t xml:space="preserve">5.1 Automated Service Triggers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360"/>
      </w:tblGrid>
      <w:tr>
        <w:tc>
          <w:tcPr>
            <w:tcW w:type="dxa" w:w="2800"/>
            <w:tcBorders>
              <w:top w:val="single" w:color="E2E8F0" w:sz="1"/>
              <w:left w:val="single" w:color="E2E8F0" w:sz="1"/>
              <w:bottom w:val="single" w:color="E2E8F0" w:sz="1"/>
              <w:right w:val="single" w:color="E2E8F0" w:sz="1"/>
            </w:tcBorders>
            <w:shd w:fill="0F1117" w:val="clear"/>
            <w:tcMar>
              <w:top w:type="dxa" w:w="80"/>
              <w:left w:type="dxa" w:w="120"/>
              <w:bottom w:type="dxa" w:w="80"/>
              <w:right w:type="dxa" w:w="120"/>
            </w:tcMar>
          </w:tcPr>
          <w:p>
            <w:r>
              <w:rPr>
                <w:rFonts w:ascii="Arial" w:cs="Arial" w:eastAsia="Arial" w:hAnsi="Arial"/>
                <w:b/>
                <w:bCs/>
                <w:color w:val="FFFFFF"/>
                <w:sz w:val="20"/>
                <w:szCs w:val="20"/>
              </w:rPr>
              <w:t xml:space="preserve">Trigger Event</w:t>
            </w:r>
          </w:p>
        </w:tc>
        <w:tc>
          <w:tcPr>
            <w:tcW w:type="dxa" w:w="3200"/>
            <w:tcBorders>
              <w:top w:val="single" w:color="E2E8F0" w:sz="1"/>
              <w:left w:val="single" w:color="E2E8F0" w:sz="1"/>
              <w:bottom w:val="single" w:color="E2E8F0" w:sz="1"/>
              <w:right w:val="single" w:color="E2E8F0" w:sz="1"/>
            </w:tcBorders>
            <w:shd w:fill="0F1117" w:val="clear"/>
            <w:tcMar>
              <w:top w:type="dxa" w:w="80"/>
              <w:left w:type="dxa" w:w="120"/>
              <w:bottom w:type="dxa" w:w="80"/>
              <w:right w:type="dxa" w:w="120"/>
            </w:tcMar>
          </w:tcPr>
          <w:p>
            <w:r>
              <w:rPr>
                <w:rFonts w:ascii="Arial" w:cs="Arial" w:eastAsia="Arial" w:hAnsi="Arial"/>
                <w:b/>
                <w:bCs/>
                <w:color w:val="FFFFFF"/>
                <w:sz w:val="20"/>
                <w:szCs w:val="20"/>
              </w:rPr>
              <w:t xml:space="preserve">Service Surfaced</w:t>
            </w:r>
          </w:p>
        </w:tc>
        <w:tc>
          <w:tcPr>
            <w:tcW w:type="dxa" w:w="3360"/>
            <w:tcBorders>
              <w:top w:val="single" w:color="E2E8F0" w:sz="1"/>
              <w:left w:val="single" w:color="E2E8F0" w:sz="1"/>
              <w:bottom w:val="single" w:color="E2E8F0" w:sz="1"/>
              <w:right w:val="single" w:color="E2E8F0" w:sz="1"/>
            </w:tcBorders>
            <w:shd w:fill="0F1117" w:val="clear"/>
            <w:tcMar>
              <w:top w:type="dxa" w:w="80"/>
              <w:left w:type="dxa" w:w="120"/>
              <w:bottom w:type="dxa" w:w="80"/>
              <w:right w:type="dxa" w:w="120"/>
            </w:tcMar>
          </w:tcPr>
          <w:p>
            <w:r>
              <w:rPr>
                <w:rFonts w:ascii="Arial" w:cs="Arial" w:eastAsia="Arial" w:hAnsi="Arial"/>
                <w:b/>
                <w:bCs/>
                <w:color w:val="FFFFFF"/>
                <w:sz w:val="20"/>
                <w:szCs w:val="20"/>
              </w:rPr>
              <w:t xml:space="preserve">Automation</w:t>
            </w:r>
          </w:p>
        </w:tc>
      </w:tr>
      <w:tr>
        <w:tc>
          <w:tcPr>
            <w:tcW w:type="dxa" w:w="2800"/>
            <w:tcBorders>
              <w:top w:val="single" w:color="E2E8F0" w:sz="1"/>
              <w:left w:val="single" w:color="E2E8F0" w:sz="1"/>
              <w:bottom w:val="single" w:color="E2E8F0" w:sz="1"/>
              <w:right w:val="single" w:color="E2E8F0" w:sz="1"/>
            </w:tcBorders>
            <w:tcMar>
              <w:top w:type="dxa" w:w="80"/>
              <w:left w:type="dxa" w:w="120"/>
              <w:bottom w:type="dxa" w:w="80"/>
              <w:right w:type="dxa" w:w="120"/>
            </w:tcMar>
          </w:tcPr>
          <w:p>
            <w:pPr>
              <w:jc w:val="left"/>
            </w:pPr>
            <w:r>
              <w:rPr>
                <w:rFonts w:ascii="Arial" w:cs="Arial" w:eastAsia="Arial" w:hAnsi="Arial"/>
                <w:b/>
                <w:bCs/>
                <w:color w:val="1E293B"/>
                <w:sz w:val="20"/>
                <w:szCs w:val="20"/>
              </w:rPr>
              <w:t xml:space="preserve">Listing created</w:t>
            </w:r>
          </w:p>
        </w:tc>
        <w:tc>
          <w:tcPr>
            <w:tcW w:type="dxa" w:w="3200"/>
            <w:tcBorders>
              <w:top w:val="single" w:color="E2E8F0" w:sz="1"/>
              <w:left w:val="single" w:color="E2E8F0" w:sz="1"/>
              <w:bottom w:val="single" w:color="E2E8F0" w:sz="1"/>
              <w:right w:val="single" w:color="E2E8F0" w:sz="1"/>
            </w:tcBorders>
            <w:tcMar>
              <w:top w:type="dxa" w:w="80"/>
              <w:left w:type="dxa" w:w="120"/>
              <w:bottom w:type="dxa" w:w="80"/>
              <w:right w:type="dxa" w:w="120"/>
            </w:tcMar>
          </w:tcPr>
          <w:p>
            <w:pPr>
              <w:jc w:val="left"/>
            </w:pPr>
            <w:r>
              <w:rPr>
                <w:rFonts w:ascii="Arial" w:cs="Arial" w:eastAsia="Arial" w:hAnsi="Arial"/>
                <w:b w:val="false"/>
                <w:bCs w:val="false"/>
                <w:color w:val="475569"/>
                <w:sz w:val="20"/>
                <w:szCs w:val="20"/>
              </w:rPr>
              <w:t xml:space="preserve">EPC, photography, floor plans</w:t>
            </w:r>
          </w:p>
        </w:tc>
        <w:tc>
          <w:tcPr>
            <w:tcW w:type="dxa" w:w="3360"/>
            <w:tcBorders>
              <w:top w:val="single" w:color="E2E8F0" w:sz="1"/>
              <w:left w:val="single" w:color="E2E8F0" w:sz="1"/>
              <w:bottom w:val="single" w:color="E2E8F0" w:sz="1"/>
              <w:right w:val="single" w:color="E2E8F0" w:sz="1"/>
            </w:tcBorders>
            <w:tcMar>
              <w:top w:type="dxa" w:w="80"/>
              <w:left w:type="dxa" w:w="120"/>
              <w:bottom w:type="dxa" w:w="80"/>
              <w:right w:type="dxa" w:w="120"/>
            </w:tcMar>
          </w:tcPr>
          <w:p>
            <w:pPr>
              <w:jc w:val="left"/>
            </w:pPr>
            <w:r>
              <w:rPr>
                <w:rFonts w:ascii="Arial" w:cs="Arial" w:eastAsia="Arial" w:hAnsi="Arial"/>
                <w:b w:val="false"/>
                <w:bCs w:val="false"/>
                <w:color w:val="475569"/>
                <w:sz w:val="20"/>
                <w:szCs w:val="20"/>
              </w:rPr>
              <w:t xml:space="preserve">Dashboard widget + email nudge</w:t>
            </w:r>
          </w:p>
        </w:tc>
      </w:tr>
      <w:tr>
        <w:tc>
          <w:tcPr>
            <w:tcW w:type="dxa" w:w="2800"/>
            <w:tcBorders>
              <w:top w:val="single" w:color="E2E8F0" w:sz="1"/>
              <w:left w:val="single" w:color="E2E8F0" w:sz="1"/>
              <w:bottom w:val="single" w:color="E2E8F0" w:sz="1"/>
              <w:right w:val="single" w:color="E2E8F0" w:sz="1"/>
            </w:tcBorders>
            <w:tcMar>
              <w:top w:type="dxa" w:w="80"/>
              <w:left w:type="dxa" w:w="120"/>
              <w:bottom w:type="dxa" w:w="80"/>
              <w:right w:type="dxa" w:w="120"/>
            </w:tcMar>
          </w:tcPr>
          <w:p>
            <w:pPr>
              <w:jc w:val="left"/>
            </w:pPr>
            <w:r>
              <w:rPr>
                <w:rFonts w:ascii="Arial" w:cs="Arial" w:eastAsia="Arial" w:hAnsi="Arial"/>
                <w:b/>
                <w:bCs/>
                <w:color w:val="1E293B"/>
                <w:sz w:val="20"/>
                <w:szCs w:val="20"/>
              </w:rPr>
              <w:t xml:space="preserve">Listing goes live</w:t>
            </w:r>
          </w:p>
        </w:tc>
        <w:tc>
          <w:tcPr>
            <w:tcW w:type="dxa" w:w="3200"/>
            <w:tcBorders>
              <w:top w:val="single" w:color="E2E8F0" w:sz="1"/>
              <w:left w:val="single" w:color="E2E8F0" w:sz="1"/>
              <w:bottom w:val="single" w:color="E2E8F0" w:sz="1"/>
              <w:right w:val="single" w:color="E2E8F0" w:sz="1"/>
            </w:tcBorders>
            <w:tcMar>
              <w:top w:type="dxa" w:w="80"/>
              <w:left w:type="dxa" w:w="120"/>
              <w:bottom w:type="dxa" w:w="80"/>
              <w:right w:type="dxa" w:w="120"/>
            </w:tcMar>
          </w:tcPr>
          <w:p>
            <w:pPr>
              <w:jc w:val="left"/>
            </w:pPr>
            <w:r>
              <w:rPr>
                <w:rFonts w:ascii="Arial" w:cs="Arial" w:eastAsia="Arial" w:hAnsi="Arial"/>
                <w:b w:val="false"/>
                <w:bCs w:val="false"/>
                <w:color w:val="475569"/>
                <w:sz w:val="20"/>
                <w:szCs w:val="20"/>
              </w:rPr>
              <w:t xml:space="preserve">Conveyancer, home staging</w:t>
            </w:r>
          </w:p>
        </w:tc>
        <w:tc>
          <w:tcPr>
            <w:tcW w:type="dxa" w:w="3360"/>
            <w:tcBorders>
              <w:top w:val="single" w:color="E2E8F0" w:sz="1"/>
              <w:left w:val="single" w:color="E2E8F0" w:sz="1"/>
              <w:bottom w:val="single" w:color="E2E8F0" w:sz="1"/>
              <w:right w:val="single" w:color="E2E8F0" w:sz="1"/>
            </w:tcBorders>
            <w:tcMar>
              <w:top w:type="dxa" w:w="80"/>
              <w:left w:type="dxa" w:w="120"/>
              <w:bottom w:type="dxa" w:w="80"/>
              <w:right w:type="dxa" w:w="120"/>
            </w:tcMar>
          </w:tcPr>
          <w:p>
            <w:pPr>
              <w:jc w:val="left"/>
            </w:pPr>
            <w:r>
              <w:rPr>
                <w:rFonts w:ascii="Arial" w:cs="Arial" w:eastAsia="Arial" w:hAnsi="Arial"/>
                <w:b w:val="false"/>
                <w:bCs w:val="false"/>
                <w:color w:val="475569"/>
                <w:sz w:val="20"/>
                <w:szCs w:val="20"/>
              </w:rPr>
              <w:t xml:space="preserve">Contextual card in dashboard</w:t>
            </w:r>
          </w:p>
        </w:tc>
      </w:tr>
      <w:tr>
        <w:tc>
          <w:tcPr>
            <w:tcW w:type="dxa" w:w="2800"/>
            <w:tcBorders>
              <w:top w:val="single" w:color="E2E8F0" w:sz="1"/>
              <w:left w:val="single" w:color="E2E8F0" w:sz="1"/>
              <w:bottom w:val="single" w:color="E2E8F0" w:sz="1"/>
              <w:right w:val="single" w:color="E2E8F0" w:sz="1"/>
            </w:tcBorders>
            <w:tcMar>
              <w:top w:type="dxa" w:w="80"/>
              <w:left w:type="dxa" w:w="120"/>
              <w:bottom w:type="dxa" w:w="80"/>
              <w:right w:type="dxa" w:w="120"/>
            </w:tcMar>
          </w:tcPr>
          <w:p>
            <w:pPr>
              <w:jc w:val="left"/>
            </w:pPr>
            <w:r>
              <w:rPr>
                <w:rFonts w:ascii="Arial" w:cs="Arial" w:eastAsia="Arial" w:hAnsi="Arial"/>
                <w:b/>
                <w:bCs/>
                <w:color w:val="1E293B"/>
                <w:sz w:val="20"/>
                <w:szCs w:val="20"/>
              </w:rPr>
              <w:t xml:space="preserve">Offer accepted</w:t>
            </w:r>
          </w:p>
        </w:tc>
        <w:tc>
          <w:tcPr>
            <w:tcW w:type="dxa" w:w="3200"/>
            <w:tcBorders>
              <w:top w:val="single" w:color="E2E8F0" w:sz="1"/>
              <w:left w:val="single" w:color="E2E8F0" w:sz="1"/>
              <w:bottom w:val="single" w:color="E2E8F0" w:sz="1"/>
              <w:right w:val="single" w:color="E2E8F0" w:sz="1"/>
            </w:tcBorders>
            <w:tcMar>
              <w:top w:type="dxa" w:w="80"/>
              <w:left w:type="dxa" w:w="120"/>
              <w:bottom w:type="dxa" w:w="80"/>
              <w:right w:type="dxa" w:w="120"/>
            </w:tcMar>
          </w:tcPr>
          <w:p>
            <w:pPr>
              <w:jc w:val="left"/>
            </w:pPr>
            <w:r>
              <w:rPr>
                <w:rFonts w:ascii="Arial" w:cs="Arial" w:eastAsia="Arial" w:hAnsi="Arial"/>
                <w:b w:val="false"/>
                <w:bCs w:val="false"/>
                <w:color w:val="475569"/>
                <w:sz w:val="20"/>
                <w:szCs w:val="20"/>
              </w:rPr>
              <w:t xml:space="preserve">Mortgage broker, surveyor, solicitor</w:t>
            </w:r>
          </w:p>
        </w:tc>
        <w:tc>
          <w:tcPr>
            <w:tcW w:type="dxa" w:w="3360"/>
            <w:tcBorders>
              <w:top w:val="single" w:color="E2E8F0" w:sz="1"/>
              <w:left w:val="single" w:color="E2E8F0" w:sz="1"/>
              <w:bottom w:val="single" w:color="E2E8F0" w:sz="1"/>
              <w:right w:val="single" w:color="E2E8F0" w:sz="1"/>
            </w:tcBorders>
            <w:tcMar>
              <w:top w:type="dxa" w:w="80"/>
              <w:left w:type="dxa" w:w="120"/>
              <w:bottom w:type="dxa" w:w="80"/>
              <w:right w:type="dxa" w:w="120"/>
            </w:tcMar>
          </w:tcPr>
          <w:p>
            <w:pPr>
              <w:jc w:val="left"/>
            </w:pPr>
            <w:r>
              <w:rPr>
                <w:rFonts w:ascii="Arial" w:cs="Arial" w:eastAsia="Arial" w:hAnsi="Arial"/>
                <w:b w:val="false"/>
                <w:bCs w:val="false"/>
                <w:color w:val="475569"/>
                <w:sz w:val="20"/>
                <w:szCs w:val="20"/>
              </w:rPr>
              <w:t xml:space="preserve">Automated checklist + quote requests</w:t>
            </w:r>
          </w:p>
        </w:tc>
      </w:tr>
      <w:tr>
        <w:tc>
          <w:tcPr>
            <w:tcW w:type="dxa" w:w="2800"/>
            <w:tcBorders>
              <w:top w:val="single" w:color="E2E8F0" w:sz="1"/>
              <w:left w:val="single" w:color="E2E8F0" w:sz="1"/>
              <w:bottom w:val="single" w:color="E2E8F0" w:sz="1"/>
              <w:right w:val="single" w:color="E2E8F0" w:sz="1"/>
            </w:tcBorders>
            <w:tcMar>
              <w:top w:type="dxa" w:w="80"/>
              <w:left w:type="dxa" w:w="120"/>
              <w:bottom w:type="dxa" w:w="80"/>
              <w:right w:type="dxa" w:w="120"/>
            </w:tcMar>
          </w:tcPr>
          <w:p>
            <w:pPr>
              <w:jc w:val="left"/>
            </w:pPr>
            <w:r>
              <w:rPr>
                <w:rFonts w:ascii="Arial" w:cs="Arial" w:eastAsia="Arial" w:hAnsi="Arial"/>
                <w:b/>
                <w:bCs/>
                <w:color w:val="1E293B"/>
                <w:sz w:val="20"/>
                <w:szCs w:val="20"/>
              </w:rPr>
              <w:t xml:space="preserve">Exchange date set</w:t>
            </w:r>
          </w:p>
        </w:tc>
        <w:tc>
          <w:tcPr>
            <w:tcW w:type="dxa" w:w="3200"/>
            <w:tcBorders>
              <w:top w:val="single" w:color="E2E8F0" w:sz="1"/>
              <w:left w:val="single" w:color="E2E8F0" w:sz="1"/>
              <w:bottom w:val="single" w:color="E2E8F0" w:sz="1"/>
              <w:right w:val="single" w:color="E2E8F0" w:sz="1"/>
            </w:tcBorders>
            <w:tcMar>
              <w:top w:type="dxa" w:w="80"/>
              <w:left w:type="dxa" w:w="120"/>
              <w:bottom w:type="dxa" w:w="80"/>
              <w:right w:type="dxa" w:w="120"/>
            </w:tcMar>
          </w:tcPr>
          <w:p>
            <w:pPr>
              <w:jc w:val="left"/>
            </w:pPr>
            <w:r>
              <w:rPr>
                <w:rFonts w:ascii="Arial" w:cs="Arial" w:eastAsia="Arial" w:hAnsi="Arial"/>
                <w:b w:val="false"/>
                <w:bCs w:val="false"/>
                <w:color w:val="475569"/>
                <w:sz w:val="20"/>
                <w:szCs w:val="20"/>
              </w:rPr>
              <w:t xml:space="preserve">Removals, cleaning, storage</w:t>
            </w:r>
          </w:p>
        </w:tc>
        <w:tc>
          <w:tcPr>
            <w:tcW w:type="dxa" w:w="3360"/>
            <w:tcBorders>
              <w:top w:val="single" w:color="E2E8F0" w:sz="1"/>
              <w:left w:val="single" w:color="E2E8F0" w:sz="1"/>
              <w:bottom w:val="single" w:color="E2E8F0" w:sz="1"/>
              <w:right w:val="single" w:color="E2E8F0" w:sz="1"/>
            </w:tcBorders>
            <w:tcMar>
              <w:top w:type="dxa" w:w="80"/>
              <w:left w:type="dxa" w:w="120"/>
              <w:bottom w:type="dxa" w:w="80"/>
              <w:right w:type="dxa" w:w="120"/>
            </w:tcMar>
          </w:tcPr>
          <w:p>
            <w:pPr>
              <w:jc w:val="left"/>
            </w:pPr>
            <w:r>
              <w:rPr>
                <w:rFonts w:ascii="Arial" w:cs="Arial" w:eastAsia="Arial" w:hAnsi="Arial"/>
                <w:b w:val="false"/>
                <w:bCs w:val="false"/>
                <w:color w:val="475569"/>
                <w:sz w:val="20"/>
                <w:szCs w:val="20"/>
              </w:rPr>
              <w:t xml:space="preserve">Moving countdown + booking prompts</w:t>
            </w:r>
          </w:p>
        </w:tc>
      </w:tr>
      <w:tr>
        <w:tc>
          <w:tcPr>
            <w:tcW w:type="dxa" w:w="2800"/>
            <w:tcBorders>
              <w:top w:val="single" w:color="E2E8F0" w:sz="1"/>
              <w:left w:val="single" w:color="E2E8F0" w:sz="1"/>
              <w:bottom w:val="single" w:color="E2E8F0" w:sz="1"/>
              <w:right w:val="single" w:color="E2E8F0" w:sz="1"/>
            </w:tcBorders>
            <w:tcMar>
              <w:top w:type="dxa" w:w="80"/>
              <w:left w:type="dxa" w:w="120"/>
              <w:bottom w:type="dxa" w:w="80"/>
              <w:right w:type="dxa" w:w="120"/>
            </w:tcMar>
          </w:tcPr>
          <w:p>
            <w:pPr>
              <w:jc w:val="left"/>
            </w:pPr>
            <w:r>
              <w:rPr>
                <w:rFonts w:ascii="Arial" w:cs="Arial" w:eastAsia="Arial" w:hAnsi="Arial"/>
                <w:b/>
                <w:bCs/>
                <w:color w:val="1E293B"/>
                <w:sz w:val="20"/>
                <w:szCs w:val="20"/>
              </w:rPr>
              <w:t xml:space="preserve">Completion day</w:t>
            </w:r>
          </w:p>
        </w:tc>
        <w:tc>
          <w:tcPr>
            <w:tcW w:type="dxa" w:w="3200"/>
            <w:tcBorders>
              <w:top w:val="single" w:color="E2E8F0" w:sz="1"/>
              <w:left w:val="single" w:color="E2E8F0" w:sz="1"/>
              <w:bottom w:val="single" w:color="E2E8F0" w:sz="1"/>
              <w:right w:val="single" w:color="E2E8F0" w:sz="1"/>
            </w:tcBorders>
            <w:tcMar>
              <w:top w:type="dxa" w:w="80"/>
              <w:left w:type="dxa" w:w="120"/>
              <w:bottom w:type="dxa" w:w="80"/>
              <w:right w:type="dxa" w:w="120"/>
            </w:tcMar>
          </w:tcPr>
          <w:p>
            <w:pPr>
              <w:jc w:val="left"/>
            </w:pPr>
            <w:r>
              <w:rPr>
                <w:rFonts w:ascii="Arial" w:cs="Arial" w:eastAsia="Arial" w:hAnsi="Arial"/>
                <w:b w:val="false"/>
                <w:bCs w:val="false"/>
                <w:color w:val="475569"/>
                <w:sz w:val="20"/>
                <w:szCs w:val="20"/>
              </w:rPr>
              <w:t xml:space="preserve">Broadband, energy, address updates</w:t>
            </w:r>
          </w:p>
        </w:tc>
        <w:tc>
          <w:tcPr>
            <w:tcW w:type="dxa" w:w="3360"/>
            <w:tcBorders>
              <w:top w:val="single" w:color="E2E8F0" w:sz="1"/>
              <w:left w:val="single" w:color="E2E8F0" w:sz="1"/>
              <w:bottom w:val="single" w:color="E2E8F0" w:sz="1"/>
              <w:right w:val="single" w:color="E2E8F0" w:sz="1"/>
            </w:tcBorders>
            <w:tcMar>
              <w:top w:type="dxa" w:w="80"/>
              <w:left w:type="dxa" w:w="120"/>
              <w:bottom w:type="dxa" w:w="80"/>
              <w:right w:type="dxa" w:w="120"/>
            </w:tcMar>
          </w:tcPr>
          <w:p>
            <w:pPr>
              <w:jc w:val="left"/>
            </w:pPr>
            <w:r>
              <w:rPr>
                <w:rFonts w:ascii="Arial" w:cs="Arial" w:eastAsia="Arial" w:hAnsi="Arial"/>
                <w:b w:val="false"/>
                <w:bCs w:val="false"/>
                <w:color w:val="475569"/>
                <w:sz w:val="20"/>
                <w:szCs w:val="20"/>
              </w:rPr>
              <w:t xml:space="preserve">One-click setup wizard</w:t>
            </w:r>
          </w:p>
        </w:tc>
      </w:tr>
      <w:tr>
        <w:tc>
          <w:tcPr>
            <w:tcW w:type="dxa" w:w="2800"/>
            <w:tcBorders>
              <w:top w:val="single" w:color="E2E8F0" w:sz="1"/>
              <w:left w:val="single" w:color="E2E8F0" w:sz="1"/>
              <w:bottom w:val="single" w:color="E2E8F0" w:sz="1"/>
              <w:right w:val="single" w:color="E2E8F0" w:sz="1"/>
            </w:tcBorders>
            <w:tcMar>
              <w:top w:type="dxa" w:w="80"/>
              <w:left w:type="dxa" w:w="120"/>
              <w:bottom w:type="dxa" w:w="80"/>
              <w:right w:type="dxa" w:w="120"/>
            </w:tcMar>
          </w:tcPr>
          <w:p>
            <w:pPr>
              <w:jc w:val="left"/>
            </w:pPr>
            <w:r>
              <w:rPr>
                <w:rFonts w:ascii="Arial" w:cs="Arial" w:eastAsia="Arial" w:hAnsi="Arial"/>
                <w:b/>
                <w:bCs/>
                <w:color w:val="1E293B"/>
                <w:sz w:val="20"/>
                <w:szCs w:val="20"/>
              </w:rPr>
              <w:t xml:space="preserve">Post-move</w:t>
            </w:r>
          </w:p>
        </w:tc>
        <w:tc>
          <w:tcPr>
            <w:tcW w:type="dxa" w:w="3200"/>
            <w:tcBorders>
              <w:top w:val="single" w:color="E2E8F0" w:sz="1"/>
              <w:left w:val="single" w:color="E2E8F0" w:sz="1"/>
              <w:bottom w:val="single" w:color="E2E8F0" w:sz="1"/>
              <w:right w:val="single" w:color="E2E8F0" w:sz="1"/>
            </w:tcBorders>
            <w:tcMar>
              <w:top w:type="dxa" w:w="80"/>
              <w:left w:type="dxa" w:w="120"/>
              <w:bottom w:type="dxa" w:w="80"/>
              <w:right w:type="dxa" w:w="120"/>
            </w:tcMar>
          </w:tcPr>
          <w:p>
            <w:pPr>
              <w:jc w:val="left"/>
            </w:pPr>
            <w:r>
              <w:rPr>
                <w:rFonts w:ascii="Arial" w:cs="Arial" w:eastAsia="Arial" w:hAnsi="Arial"/>
                <w:b w:val="false"/>
                <w:bCs w:val="false"/>
                <w:color w:val="475569"/>
                <w:sz w:val="20"/>
                <w:szCs w:val="20"/>
              </w:rPr>
              <w:t xml:space="preserve">Tradespeople, interior design, insurance</w:t>
            </w:r>
          </w:p>
        </w:tc>
        <w:tc>
          <w:tcPr>
            <w:tcW w:type="dxa" w:w="3360"/>
            <w:tcBorders>
              <w:top w:val="single" w:color="E2E8F0" w:sz="1"/>
              <w:left w:val="single" w:color="E2E8F0" w:sz="1"/>
              <w:bottom w:val="single" w:color="E2E8F0" w:sz="1"/>
              <w:right w:val="single" w:color="E2E8F0" w:sz="1"/>
            </w:tcBorders>
            <w:tcMar>
              <w:top w:type="dxa" w:w="80"/>
              <w:left w:type="dxa" w:w="120"/>
              <w:bottom w:type="dxa" w:w="80"/>
              <w:right w:type="dxa" w:w="120"/>
            </w:tcMar>
          </w:tcPr>
          <w:p>
            <w:pPr>
              <w:jc w:val="left"/>
            </w:pPr>
            <w:r>
              <w:rPr>
                <w:rFonts w:ascii="Arial" w:cs="Arial" w:eastAsia="Arial" w:hAnsi="Arial"/>
                <w:b w:val="false"/>
                <w:bCs w:val="false"/>
                <w:color w:val="475569"/>
                <w:sz w:val="20"/>
                <w:szCs w:val="20"/>
              </w:rPr>
              <w:t xml:space="preserve">Follow-up email sequence</w:t>
            </w:r>
          </w:p>
        </w:tc>
      </w:tr>
      <w:tr>
        <w:tc>
          <w:tcPr>
            <w:tcW w:type="dxa" w:w="2800"/>
            <w:tcBorders>
              <w:top w:val="single" w:color="E2E8F0" w:sz="1"/>
              <w:left w:val="single" w:color="E2E8F0" w:sz="1"/>
              <w:bottom w:val="single" w:color="E2E8F0" w:sz="1"/>
              <w:right w:val="single" w:color="E2E8F0" w:sz="1"/>
            </w:tcBorders>
            <w:tcMar>
              <w:top w:type="dxa" w:w="80"/>
              <w:left w:type="dxa" w:w="120"/>
              <w:bottom w:type="dxa" w:w="80"/>
              <w:right w:type="dxa" w:w="120"/>
            </w:tcMar>
          </w:tcPr>
          <w:p>
            <w:pPr>
              <w:jc w:val="left"/>
            </w:pPr>
            <w:r>
              <w:rPr>
                <w:rFonts w:ascii="Arial" w:cs="Arial" w:eastAsia="Arial" w:hAnsi="Arial"/>
                <w:b/>
                <w:bCs/>
                <w:color w:val="1E293B"/>
                <w:sz w:val="20"/>
                <w:szCs w:val="20"/>
              </w:rPr>
              <w:t xml:space="preserve">Rental listing</w:t>
            </w:r>
          </w:p>
        </w:tc>
        <w:tc>
          <w:tcPr>
            <w:tcW w:type="dxa" w:w="3200"/>
            <w:tcBorders>
              <w:top w:val="single" w:color="E2E8F0" w:sz="1"/>
              <w:left w:val="single" w:color="E2E8F0" w:sz="1"/>
              <w:bottom w:val="single" w:color="E2E8F0" w:sz="1"/>
              <w:right w:val="single" w:color="E2E8F0" w:sz="1"/>
            </w:tcBorders>
            <w:tcMar>
              <w:top w:type="dxa" w:w="80"/>
              <w:left w:type="dxa" w:w="120"/>
              <w:bottom w:type="dxa" w:w="80"/>
              <w:right w:type="dxa" w:w="120"/>
            </w:tcMar>
          </w:tcPr>
          <w:p>
            <w:pPr>
              <w:jc w:val="left"/>
            </w:pPr>
            <w:r>
              <w:rPr>
                <w:rFonts w:ascii="Arial" w:cs="Arial" w:eastAsia="Arial" w:hAnsi="Arial"/>
                <w:b w:val="false"/>
                <w:bCs w:val="false"/>
                <w:color w:val="475569"/>
                <w:sz w:val="20"/>
                <w:szCs w:val="20"/>
              </w:rPr>
              <w:t xml:space="preserve">Gas safety, EICR, EPC, referencing</w:t>
            </w:r>
          </w:p>
        </w:tc>
        <w:tc>
          <w:tcPr>
            <w:tcW w:type="dxa" w:w="3360"/>
            <w:tcBorders>
              <w:top w:val="single" w:color="E2E8F0" w:sz="1"/>
              <w:left w:val="single" w:color="E2E8F0" w:sz="1"/>
              <w:bottom w:val="single" w:color="E2E8F0" w:sz="1"/>
              <w:right w:val="single" w:color="E2E8F0" w:sz="1"/>
            </w:tcBorders>
            <w:tcMar>
              <w:top w:type="dxa" w:w="80"/>
              <w:left w:type="dxa" w:w="120"/>
              <w:bottom w:type="dxa" w:w="80"/>
              <w:right w:type="dxa" w:w="120"/>
            </w:tcMar>
          </w:tcPr>
          <w:p>
            <w:pPr>
              <w:jc w:val="left"/>
            </w:pPr>
            <w:r>
              <w:rPr>
                <w:rFonts w:ascii="Arial" w:cs="Arial" w:eastAsia="Arial" w:hAnsi="Arial"/>
                <w:b w:val="false"/>
                <w:bCs w:val="false"/>
                <w:color w:val="475569"/>
                <w:sz w:val="20"/>
                <w:szCs w:val="20"/>
              </w:rPr>
              <w:t xml:space="preserve">Compliance checklist with booking</w:t>
            </w:r>
          </w:p>
        </w:tc>
      </w:tr>
      <w:tr>
        <w:tc>
          <w:tcPr>
            <w:tcW w:type="dxa" w:w="2800"/>
            <w:tcBorders>
              <w:top w:val="single" w:color="E2E8F0" w:sz="1"/>
              <w:left w:val="single" w:color="E2E8F0" w:sz="1"/>
              <w:bottom w:val="single" w:color="E2E8F0" w:sz="1"/>
              <w:right w:val="single" w:color="E2E8F0" w:sz="1"/>
            </w:tcBorders>
            <w:tcMar>
              <w:top w:type="dxa" w:w="80"/>
              <w:left w:type="dxa" w:w="120"/>
              <w:bottom w:type="dxa" w:w="80"/>
              <w:right w:type="dxa" w:w="120"/>
            </w:tcMar>
          </w:tcPr>
          <w:p>
            <w:pPr>
              <w:jc w:val="left"/>
            </w:pPr>
            <w:r>
              <w:rPr>
                <w:rFonts w:ascii="Arial" w:cs="Arial" w:eastAsia="Arial" w:hAnsi="Arial"/>
                <w:b/>
                <w:bCs/>
                <w:color w:val="1E293B"/>
                <w:sz w:val="20"/>
                <w:szCs w:val="20"/>
              </w:rPr>
              <w:t xml:space="preserve">Mortgage needed</w:t>
            </w:r>
          </w:p>
        </w:tc>
        <w:tc>
          <w:tcPr>
            <w:tcW w:type="dxa" w:w="3200"/>
            <w:tcBorders>
              <w:top w:val="single" w:color="E2E8F0" w:sz="1"/>
              <w:left w:val="single" w:color="E2E8F0" w:sz="1"/>
              <w:bottom w:val="single" w:color="E2E8F0" w:sz="1"/>
              <w:right w:val="single" w:color="E2E8F0" w:sz="1"/>
            </w:tcBorders>
            <w:tcMar>
              <w:top w:type="dxa" w:w="80"/>
              <w:left w:type="dxa" w:w="120"/>
              <w:bottom w:type="dxa" w:w="80"/>
              <w:right w:type="dxa" w:w="120"/>
            </w:tcMar>
          </w:tcPr>
          <w:p>
            <w:pPr>
              <w:jc w:val="left"/>
            </w:pPr>
            <w:r>
              <w:rPr>
                <w:rFonts w:ascii="Arial" w:cs="Arial" w:eastAsia="Arial" w:hAnsi="Arial"/>
                <w:b w:val="false"/>
                <w:bCs w:val="false"/>
                <w:color w:val="475569"/>
                <w:sz w:val="20"/>
                <w:szCs w:val="20"/>
              </w:rPr>
              <w:t xml:space="preserve">Mortgage broker (introducer model)</w:t>
            </w:r>
          </w:p>
        </w:tc>
        <w:tc>
          <w:tcPr>
            <w:tcW w:type="dxa" w:w="3360"/>
            <w:tcBorders>
              <w:top w:val="single" w:color="E2E8F0" w:sz="1"/>
              <w:left w:val="single" w:color="E2E8F0" w:sz="1"/>
              <w:bottom w:val="single" w:color="E2E8F0" w:sz="1"/>
              <w:right w:val="single" w:color="E2E8F0" w:sz="1"/>
            </w:tcBorders>
            <w:tcMar>
              <w:top w:type="dxa" w:w="80"/>
              <w:left w:type="dxa" w:w="120"/>
              <w:bottom w:type="dxa" w:w="80"/>
              <w:right w:type="dxa" w:w="120"/>
            </w:tcMar>
          </w:tcPr>
          <w:p>
            <w:pPr>
              <w:jc w:val="left"/>
            </w:pPr>
            <w:r>
              <w:rPr>
                <w:rFonts w:ascii="Arial" w:cs="Arial" w:eastAsia="Arial" w:hAnsi="Arial"/>
                <w:b w:val="false"/>
                <w:bCs w:val="false"/>
                <w:color w:val="475569"/>
                <w:sz w:val="20"/>
                <w:szCs w:val="20"/>
              </w:rPr>
              <w:t xml:space="preserve">Auto-referral to partner broker via API</w:t>
            </w:r>
          </w:p>
        </w:tc>
      </w:tr>
    </w:tbl>
    <w:p>
      <w:pPr>
        <w:spacing w:after="120" w:before="120"/>
      </w:pPr>
    </w:p>
    <w:p>
      <w:pPr>
        <w:pStyle w:val="Heading2"/>
      </w:pPr>
      <w:r>
        <w:t xml:space="preserve">5.2 Automated Quote Matching</w:t>
      </w:r>
    </w:p>
    <w:p>
      <w:pPr>
        <w:pStyle w:val="ListParagraph"/>
        <w:numPr>
          <w:ilvl w:val="0"/>
          <w:numId w:val="3"/>
        </w:numPr>
        <w:spacing w:after="80"/>
      </w:pPr>
      <w:r>
        <w:rPr>
          <w:rFonts w:ascii="Arial" w:cs="Arial" w:eastAsia="Arial" w:hAnsi="Arial"/>
          <w:color w:val="475569"/>
          <w:sz w:val="22"/>
          <w:szCs w:val="22"/>
        </w:rPr>
        <w:t xml:space="preserve">User requests service → system identifies providers in postcode + category.</w:t>
      </w:r>
    </w:p>
    <w:p>
      <w:pPr>
        <w:pStyle w:val="ListParagraph"/>
        <w:numPr>
          <w:ilvl w:val="0"/>
          <w:numId w:val="3"/>
        </w:numPr>
        <w:spacing w:after="80"/>
      </w:pPr>
      <w:r>
        <w:rPr>
          <w:rFonts w:ascii="Arial" w:cs="Arial" w:eastAsia="Arial" w:hAnsi="Arial"/>
          <w:color w:val="475569"/>
          <w:sz w:val="22"/>
          <w:szCs w:val="22"/>
        </w:rPr>
        <w:t xml:space="preserve">Top 3 providers auto-notified via email + dashboard notification.</w:t>
      </w:r>
    </w:p>
    <w:p>
      <w:pPr>
        <w:pStyle w:val="ListParagraph"/>
        <w:numPr>
          <w:ilvl w:val="0"/>
          <w:numId w:val="3"/>
        </w:numPr>
        <w:spacing w:after="80"/>
      </w:pPr>
      <w:r>
        <w:rPr>
          <w:rFonts w:ascii="Arial" w:cs="Arial" w:eastAsia="Arial" w:hAnsi="Arial"/>
          <w:color w:val="475569"/>
          <w:sz w:val="22"/>
          <w:szCs w:val="22"/>
        </w:rPr>
        <w:t xml:space="preserve">Providers respond with quote within 24hrs (SLA). Auto-deactivate after 3 missed leads.</w:t>
      </w:r>
    </w:p>
    <w:p>
      <w:pPr>
        <w:pStyle w:val="ListParagraph"/>
        <w:numPr>
          <w:ilvl w:val="0"/>
          <w:numId w:val="3"/>
        </w:numPr>
        <w:spacing w:after="80"/>
      </w:pPr>
      <w:r>
        <w:rPr>
          <w:rFonts w:ascii="Arial" w:cs="Arial" w:eastAsia="Arial" w:hAnsi="Arial"/>
          <w:color w:val="475569"/>
          <w:sz w:val="22"/>
          <w:szCs w:val="22"/>
        </w:rPr>
        <w:t xml:space="preserve">User sees quotes side-by-side. One-click book → confirmation → calendar entry.</w:t>
      </w:r>
    </w:p>
    <w:p>
      <w:pPr>
        <w:pStyle w:val="ListParagraph"/>
        <w:numPr>
          <w:ilvl w:val="0"/>
          <w:numId w:val="3"/>
        </w:numPr>
        <w:spacing w:after="80"/>
      </w:pPr>
      <w:r>
        <w:rPr>
          <w:rFonts w:ascii="Arial" w:cs="Arial" w:eastAsia="Arial" w:hAnsi="Arial"/>
          <w:color w:val="475569"/>
          <w:sz w:val="22"/>
          <w:szCs w:val="22"/>
        </w:rPr>
        <w:t xml:space="preserve">Post-completion: automated review request.</w:t>
      </w:r>
    </w:p>
    <w:p>
      <w:pPr>
        <w:spacing w:after="120" w:before="120"/>
      </w:pPr>
    </w:p>
    <w:p>
      <w:pPr>
        <w:pStyle w:val="Heading2"/>
      </w:pPr>
      <w:r>
        <w:t xml:space="preserve">5.3 Automated Provider Onboarding</w:t>
      </w:r>
    </w:p>
    <w:p>
      <w:pPr>
        <w:pStyle w:val="ListParagraph"/>
        <w:numPr>
          <w:ilvl w:val="0"/>
          <w:numId w:val="3"/>
        </w:numPr>
        <w:spacing w:after="80"/>
      </w:pPr>
      <w:r>
        <w:rPr>
          <w:rFonts w:ascii="Arial" w:cs="Arial" w:eastAsia="Arial" w:hAnsi="Arial"/>
          <w:color w:val="475569"/>
          <w:sz w:val="22"/>
          <w:szCs w:val="22"/>
        </w:rPr>
        <w:t xml:space="preserve">Sign-up / claim → email verification → profile wizard (services, postcodes, pricing, portfolio).</w:t>
      </w:r>
    </w:p>
    <w:p>
      <w:pPr>
        <w:pStyle w:val="ListParagraph"/>
        <w:numPr>
          <w:ilvl w:val="0"/>
          <w:numId w:val="3"/>
        </w:numPr>
        <w:spacing w:after="80"/>
      </w:pPr>
      <w:r>
        <w:rPr>
          <w:rFonts w:ascii="Arial" w:cs="Arial" w:eastAsia="Arial" w:hAnsi="Arial"/>
          <w:color w:val="475569"/>
          <w:sz w:val="22"/>
          <w:szCs w:val="22"/>
        </w:rPr>
        <w:t xml:space="preserve">Accreditation verification: auto-check Propertymark, RICS, Law Society, Gas Safe via API or review queue.</w:t>
      </w:r>
    </w:p>
    <w:p>
      <w:pPr>
        <w:pStyle w:val="ListParagraph"/>
        <w:numPr>
          <w:ilvl w:val="0"/>
          <w:numId w:val="3"/>
        </w:numPr>
        <w:spacing w:after="80"/>
      </w:pPr>
      <w:r>
        <w:rPr>
          <w:rFonts w:ascii="Arial" w:cs="Arial" w:eastAsia="Arial" w:hAnsi="Arial"/>
          <w:color w:val="475569"/>
          <w:sz w:val="22"/>
          <w:szCs w:val="22"/>
        </w:rPr>
        <w:t xml:space="preserve">Profile published automatically once minimum fields complete.</w:t>
      </w:r>
    </w:p>
    <w:p>
      <w:pPr>
        <w:pStyle w:val="ListParagraph"/>
        <w:numPr>
          <w:ilvl w:val="0"/>
          <w:numId w:val="3"/>
        </w:numPr>
        <w:spacing w:after="80"/>
      </w:pPr>
      <w:r>
        <w:rPr>
          <w:rFonts w:ascii="Arial" w:cs="Arial" w:eastAsia="Arial" w:hAnsi="Arial"/>
          <w:color w:val="475569"/>
          <w:sz w:val="22"/>
          <w:szCs w:val="22"/>
        </w:rPr>
        <w:t xml:space="preserve">Automated onboarding email sequence: how to respond, set availability, optimise profile.</w:t>
      </w:r>
    </w:p>
    <w:p>
      <w:pPr>
        <w:spacing w:after="120" w:before="120"/>
      </w:pPr>
    </w:p>
    <w:p>
      <w:pPr>
        <w:pStyle w:val="Heading2"/>
      </w:pPr>
      <w:r>
        <w:t xml:space="preserve">5.4 Automated Payments (Phase 2)</w:t>
      </w:r>
    </w:p>
    <w:p>
      <w:pPr>
        <w:pStyle w:val="ListParagraph"/>
        <w:numPr>
          <w:ilvl w:val="0"/>
          <w:numId w:val="3"/>
        </w:numPr>
        <w:spacing w:after="80"/>
      </w:pPr>
      <w:r>
        <w:rPr>
          <w:rFonts w:ascii="Arial" w:cs="Arial" w:eastAsia="Arial" w:hAnsi="Arial"/>
          <w:color w:val="475569"/>
          <w:sz w:val="22"/>
          <w:szCs w:val="22"/>
        </w:rPr>
        <w:t xml:space="preserve">Stripe Connect: provider onboards during sign-up.</w:t>
      </w:r>
    </w:p>
    <w:p>
      <w:pPr>
        <w:pStyle w:val="ListParagraph"/>
        <w:numPr>
          <w:ilvl w:val="0"/>
          <w:numId w:val="3"/>
        </w:numPr>
        <w:spacing w:after="80"/>
      </w:pPr>
      <w:r>
        <w:rPr>
          <w:rFonts w:ascii="Arial" w:cs="Arial" w:eastAsia="Arial" w:hAnsi="Arial"/>
          <w:color w:val="475569"/>
          <w:sz w:val="22"/>
          <w:szCs w:val="22"/>
        </w:rPr>
        <w:t xml:space="preserve">Bookable services: user pays → Yalla holds funds → releases after completion.</w:t>
      </w:r>
    </w:p>
    <w:p>
      <w:pPr>
        <w:pStyle w:val="ListParagraph"/>
        <w:numPr>
          <w:ilvl w:val="0"/>
          <w:numId w:val="3"/>
        </w:numPr>
        <w:spacing w:after="80"/>
      </w:pPr>
      <w:r>
        <w:rPr>
          <w:rFonts w:ascii="Arial" w:cs="Arial" w:eastAsia="Arial" w:hAnsi="Arial"/>
          <w:color w:val="475569"/>
          <w:sz w:val="22"/>
          <w:szCs w:val="22"/>
        </w:rPr>
        <w:t xml:space="preserve">Lead fees: monthly invoice for leads received.</w:t>
      </w:r>
    </w:p>
    <w:p>
      <w:pPr>
        <w:pStyle w:val="ListParagraph"/>
        <w:numPr>
          <w:ilvl w:val="0"/>
          <w:numId w:val="3"/>
        </w:numPr>
        <w:spacing w:after="80"/>
      </w:pPr>
      <w:r>
        <w:rPr>
          <w:rFonts w:ascii="Arial" w:cs="Arial" w:eastAsia="Arial" w:hAnsi="Arial"/>
          <w:color w:val="475569"/>
          <w:sz w:val="22"/>
          <w:szCs w:val="22"/>
        </w:rPr>
        <w:t xml:space="preserve">Featured listings: Stripe subscription (£29–49/mo).</w:t>
      </w:r>
    </w:p>
    <w:p>
      <w:r>
        <w:br w:type="page"/>
      </w:r>
    </w:p>
    <w:p>
      <w:pPr>
        <w:pStyle w:val="Heading1"/>
      </w:pPr>
      <w:r>
        <w:t xml:space="preserve">6. Competitive Landscape</w:t>
      </w:r>
    </w:p>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520"/>
        <w:gridCol w:w="2520"/>
        <w:gridCol w:w="2520"/>
      </w:tblGrid>
      <w:tr>
        <w:tc>
          <w:tcPr>
            <w:tcW w:type="dxa" w:w="1800"/>
            <w:tcBorders>
              <w:top w:val="single" w:color="E2E8F0" w:sz="1"/>
              <w:left w:val="single" w:color="E2E8F0" w:sz="1"/>
              <w:bottom w:val="single" w:color="E2E8F0" w:sz="1"/>
              <w:right w:val="single" w:color="E2E8F0" w:sz="1"/>
            </w:tcBorders>
            <w:shd w:fill="0F1117" w:val="clear"/>
            <w:tcMar>
              <w:top w:type="dxa" w:w="80"/>
              <w:left w:type="dxa" w:w="120"/>
              <w:bottom w:type="dxa" w:w="80"/>
              <w:right w:type="dxa" w:w="120"/>
            </w:tcMar>
          </w:tcPr>
          <w:p>
            <w:r>
              <w:rPr>
                <w:rFonts w:ascii="Arial" w:cs="Arial" w:eastAsia="Arial" w:hAnsi="Arial"/>
                <w:b/>
                <w:bCs/>
                <w:color w:val="FFFFFF"/>
                <w:sz w:val="20"/>
                <w:szCs w:val="20"/>
              </w:rPr>
              <w:t xml:space="preserve">Platform</w:t>
            </w:r>
          </w:p>
        </w:tc>
        <w:tc>
          <w:tcPr>
            <w:tcW w:type="dxa" w:w="2520"/>
            <w:tcBorders>
              <w:top w:val="single" w:color="E2E8F0" w:sz="1"/>
              <w:left w:val="single" w:color="E2E8F0" w:sz="1"/>
              <w:bottom w:val="single" w:color="E2E8F0" w:sz="1"/>
              <w:right w:val="single" w:color="E2E8F0" w:sz="1"/>
            </w:tcBorders>
            <w:shd w:fill="0F1117" w:val="clear"/>
            <w:tcMar>
              <w:top w:type="dxa" w:w="80"/>
              <w:left w:type="dxa" w:w="120"/>
              <w:bottom w:type="dxa" w:w="80"/>
              <w:right w:type="dxa" w:w="120"/>
            </w:tcMar>
          </w:tcPr>
          <w:p>
            <w:r>
              <w:rPr>
                <w:rFonts w:ascii="Arial" w:cs="Arial" w:eastAsia="Arial" w:hAnsi="Arial"/>
                <w:b/>
                <w:bCs/>
                <w:color w:val="FFFFFF"/>
                <w:sz w:val="20"/>
                <w:szCs w:val="20"/>
              </w:rPr>
              <w:t xml:space="preserve">What They Do</w:t>
            </w:r>
          </w:p>
        </w:tc>
        <w:tc>
          <w:tcPr>
            <w:tcW w:type="dxa" w:w="2520"/>
            <w:tcBorders>
              <w:top w:val="single" w:color="E2E8F0" w:sz="1"/>
              <w:left w:val="single" w:color="E2E8F0" w:sz="1"/>
              <w:bottom w:val="single" w:color="E2E8F0" w:sz="1"/>
              <w:right w:val="single" w:color="E2E8F0" w:sz="1"/>
            </w:tcBorders>
            <w:shd w:fill="0F1117" w:val="clear"/>
            <w:tcMar>
              <w:top w:type="dxa" w:w="80"/>
              <w:left w:type="dxa" w:w="120"/>
              <w:bottom w:type="dxa" w:w="80"/>
              <w:right w:type="dxa" w:w="120"/>
            </w:tcMar>
          </w:tcPr>
          <w:p>
            <w:r>
              <w:rPr>
                <w:rFonts w:ascii="Arial" w:cs="Arial" w:eastAsia="Arial" w:hAnsi="Arial"/>
                <w:b/>
                <w:bCs/>
                <w:color w:val="FFFFFF"/>
                <w:sz w:val="20"/>
                <w:szCs w:val="20"/>
              </w:rPr>
              <w:t xml:space="preserve">Their Gap</w:t>
            </w:r>
          </w:p>
        </w:tc>
        <w:tc>
          <w:tcPr>
            <w:tcW w:type="dxa" w:w="2520"/>
            <w:tcBorders>
              <w:top w:val="single" w:color="E2E8F0" w:sz="1"/>
              <w:left w:val="single" w:color="E2E8F0" w:sz="1"/>
              <w:bottom w:val="single" w:color="E2E8F0" w:sz="1"/>
              <w:right w:val="single" w:color="E2E8F0" w:sz="1"/>
            </w:tcBorders>
            <w:shd w:fill="0F1117" w:val="clear"/>
            <w:tcMar>
              <w:top w:type="dxa" w:w="80"/>
              <w:left w:type="dxa" w:w="120"/>
              <w:bottom w:type="dxa" w:w="80"/>
              <w:right w:type="dxa" w:w="120"/>
            </w:tcMar>
          </w:tcPr>
          <w:p>
            <w:r>
              <w:rPr>
                <w:rFonts w:ascii="Arial" w:cs="Arial" w:eastAsia="Arial" w:hAnsi="Arial"/>
                <w:b/>
                <w:bCs/>
                <w:color w:val="FFFFFF"/>
                <w:sz w:val="20"/>
                <w:szCs w:val="20"/>
              </w:rPr>
              <w:t xml:space="preserve">Yalla Advantage</w:t>
            </w:r>
          </w:p>
        </w:tc>
      </w:tr>
      <w:tr>
        <w:tc>
          <w:tcPr>
            <w:tcW w:type="dxa" w:w="1800"/>
            <w:tcBorders>
              <w:top w:val="single" w:color="E2E8F0" w:sz="1"/>
              <w:left w:val="single" w:color="E2E8F0" w:sz="1"/>
              <w:bottom w:val="single" w:color="E2E8F0" w:sz="1"/>
              <w:right w:val="single" w:color="E2E8F0" w:sz="1"/>
            </w:tcBorders>
            <w:tcMar>
              <w:top w:type="dxa" w:w="80"/>
              <w:left w:type="dxa" w:w="120"/>
              <w:bottom w:type="dxa" w:w="80"/>
              <w:right w:type="dxa" w:w="120"/>
            </w:tcMar>
          </w:tcPr>
          <w:p>
            <w:pPr>
              <w:jc w:val="left"/>
            </w:pPr>
            <w:r>
              <w:rPr>
                <w:rFonts w:ascii="Arial" w:cs="Arial" w:eastAsia="Arial" w:hAnsi="Arial"/>
                <w:b/>
                <w:bCs/>
                <w:color w:val="1E293B"/>
                <w:sz w:val="20"/>
                <w:szCs w:val="20"/>
              </w:rPr>
              <w:t xml:space="preserve">OpenRent</w:t>
            </w:r>
          </w:p>
        </w:tc>
        <w:tc>
          <w:tcPr>
            <w:tcW w:type="dxa" w:w="2520"/>
            <w:tcBorders>
              <w:top w:val="single" w:color="E2E8F0" w:sz="1"/>
              <w:left w:val="single" w:color="E2E8F0" w:sz="1"/>
              <w:bottom w:val="single" w:color="E2E8F0" w:sz="1"/>
              <w:right w:val="single" w:color="E2E8F0" w:sz="1"/>
            </w:tcBorders>
            <w:tcMar>
              <w:top w:type="dxa" w:w="80"/>
              <w:left w:type="dxa" w:w="120"/>
              <w:bottom w:type="dxa" w:w="80"/>
              <w:right w:type="dxa" w:w="120"/>
            </w:tcMar>
          </w:tcPr>
          <w:p>
            <w:pPr>
              <w:jc w:val="left"/>
            </w:pPr>
            <w:r>
              <w:rPr>
                <w:rFonts w:ascii="Arial" w:cs="Arial" w:eastAsia="Arial" w:hAnsi="Arial"/>
                <w:b w:val="false"/>
                <w:bCs w:val="false"/>
                <w:color w:val="475569"/>
                <w:sz w:val="20"/>
                <w:szCs w:val="20"/>
              </w:rPr>
              <w:t xml:space="preserve">Lettings add-ons: EPC, gas, electrical, referencing</w:t>
            </w:r>
          </w:p>
        </w:tc>
        <w:tc>
          <w:tcPr>
            <w:tcW w:type="dxa" w:w="2520"/>
            <w:tcBorders>
              <w:top w:val="single" w:color="E2E8F0" w:sz="1"/>
              <w:left w:val="single" w:color="E2E8F0" w:sz="1"/>
              <w:bottom w:val="single" w:color="E2E8F0" w:sz="1"/>
              <w:right w:val="single" w:color="E2E8F0" w:sz="1"/>
            </w:tcBorders>
            <w:tcMar>
              <w:top w:type="dxa" w:w="80"/>
              <w:left w:type="dxa" w:w="120"/>
              <w:bottom w:type="dxa" w:w="80"/>
              <w:right w:type="dxa" w:w="120"/>
            </w:tcMar>
          </w:tcPr>
          <w:p>
            <w:pPr>
              <w:jc w:val="left"/>
            </w:pPr>
            <w:r>
              <w:rPr>
                <w:rFonts w:ascii="Arial" w:cs="Arial" w:eastAsia="Arial" w:hAnsi="Arial"/>
                <w:b w:val="false"/>
                <w:bCs w:val="false"/>
                <w:color w:val="475569"/>
                <w:sz w:val="20"/>
                <w:szCs w:val="20"/>
              </w:rPr>
              <w:t xml:space="preserve">Lettings only. No sales, no moving services.</w:t>
            </w:r>
          </w:p>
        </w:tc>
        <w:tc>
          <w:tcPr>
            <w:tcW w:type="dxa" w:w="2520"/>
            <w:tcBorders>
              <w:top w:val="single" w:color="E2E8F0" w:sz="1"/>
              <w:left w:val="single" w:color="E2E8F0" w:sz="1"/>
              <w:bottom w:val="single" w:color="E2E8F0" w:sz="1"/>
              <w:right w:val="single" w:color="E2E8F0" w:sz="1"/>
            </w:tcBorders>
            <w:tcMar>
              <w:top w:type="dxa" w:w="80"/>
              <w:left w:type="dxa" w:w="120"/>
              <w:bottom w:type="dxa" w:w="80"/>
              <w:right w:type="dxa" w:w="120"/>
            </w:tcMar>
          </w:tcPr>
          <w:p>
            <w:pPr>
              <w:jc w:val="left"/>
            </w:pPr>
            <w:r>
              <w:rPr>
                <w:rFonts w:ascii="Arial" w:cs="Arial" w:eastAsia="Arial" w:hAnsi="Arial"/>
                <w:b w:val="false"/>
                <w:bCs w:val="false"/>
                <w:color w:val="475569"/>
                <w:sz w:val="20"/>
                <w:szCs w:val="20"/>
              </w:rPr>
              <w:t xml:space="preserve">Yalla covers sales + lettings + moves.</w:t>
            </w:r>
          </w:p>
        </w:tc>
      </w:tr>
      <w:tr>
        <w:tc>
          <w:tcPr>
            <w:tcW w:type="dxa" w:w="1800"/>
            <w:tcBorders>
              <w:top w:val="single" w:color="E2E8F0" w:sz="1"/>
              <w:left w:val="single" w:color="E2E8F0" w:sz="1"/>
              <w:bottom w:val="single" w:color="E2E8F0" w:sz="1"/>
              <w:right w:val="single" w:color="E2E8F0" w:sz="1"/>
            </w:tcBorders>
            <w:tcMar>
              <w:top w:type="dxa" w:w="80"/>
              <w:left w:type="dxa" w:w="120"/>
              <w:bottom w:type="dxa" w:w="80"/>
              <w:right w:type="dxa" w:w="120"/>
            </w:tcMar>
          </w:tcPr>
          <w:p>
            <w:pPr>
              <w:jc w:val="left"/>
            </w:pPr>
            <w:r>
              <w:rPr>
                <w:rFonts w:ascii="Arial" w:cs="Arial" w:eastAsia="Arial" w:hAnsi="Arial"/>
                <w:b/>
                <w:bCs/>
                <w:color w:val="1E293B"/>
                <w:sz w:val="20"/>
                <w:szCs w:val="20"/>
              </w:rPr>
              <w:t xml:space="preserve">Homemove</w:t>
            </w:r>
          </w:p>
        </w:tc>
        <w:tc>
          <w:tcPr>
            <w:tcW w:type="dxa" w:w="2520"/>
            <w:tcBorders>
              <w:top w:val="single" w:color="E2E8F0" w:sz="1"/>
              <w:left w:val="single" w:color="E2E8F0" w:sz="1"/>
              <w:bottom w:val="single" w:color="E2E8F0" w:sz="1"/>
              <w:right w:val="single" w:color="E2E8F0" w:sz="1"/>
            </w:tcBorders>
            <w:tcMar>
              <w:top w:type="dxa" w:w="80"/>
              <w:left w:type="dxa" w:w="120"/>
              <w:bottom w:type="dxa" w:w="80"/>
              <w:right w:type="dxa" w:w="120"/>
            </w:tcMar>
          </w:tcPr>
          <w:p>
            <w:pPr>
              <w:jc w:val="left"/>
            </w:pPr>
            <w:r>
              <w:rPr>
                <w:rFonts w:ascii="Arial" w:cs="Arial" w:eastAsia="Arial" w:hAnsi="Arial"/>
                <w:b w:val="false"/>
                <w:bCs w:val="false"/>
                <w:color w:val="475569"/>
                <w:sz w:val="20"/>
                <w:szCs w:val="20"/>
              </w:rPr>
              <w:t xml:space="preserve">Moving orchestration: conveyancing, removals, broadband</w:t>
            </w:r>
          </w:p>
        </w:tc>
        <w:tc>
          <w:tcPr>
            <w:tcW w:type="dxa" w:w="2520"/>
            <w:tcBorders>
              <w:top w:val="single" w:color="E2E8F0" w:sz="1"/>
              <w:left w:val="single" w:color="E2E8F0" w:sz="1"/>
              <w:bottom w:val="single" w:color="E2E8F0" w:sz="1"/>
              <w:right w:val="single" w:color="E2E8F0" w:sz="1"/>
            </w:tcBorders>
            <w:tcMar>
              <w:top w:type="dxa" w:w="80"/>
              <w:left w:type="dxa" w:w="120"/>
              <w:bottom w:type="dxa" w:w="80"/>
              <w:right w:type="dxa" w:w="120"/>
            </w:tcMar>
          </w:tcPr>
          <w:p>
            <w:pPr>
              <w:jc w:val="left"/>
            </w:pPr>
            <w:r>
              <w:rPr>
                <w:rFonts w:ascii="Arial" w:cs="Arial" w:eastAsia="Arial" w:hAnsi="Arial"/>
                <w:b w:val="false"/>
                <w:bCs w:val="false"/>
                <w:color w:val="475569"/>
                <w:sz w:val="20"/>
                <w:szCs w:val="20"/>
              </w:rPr>
              <w:t xml:space="preserve">Post-sale only. No listing tools or dashboards.</w:t>
            </w:r>
          </w:p>
        </w:tc>
        <w:tc>
          <w:tcPr>
            <w:tcW w:type="dxa" w:w="2520"/>
            <w:tcBorders>
              <w:top w:val="single" w:color="E2E8F0" w:sz="1"/>
              <w:left w:val="single" w:color="E2E8F0" w:sz="1"/>
              <w:bottom w:val="single" w:color="E2E8F0" w:sz="1"/>
              <w:right w:val="single" w:color="E2E8F0" w:sz="1"/>
            </w:tcBorders>
            <w:tcMar>
              <w:top w:type="dxa" w:w="80"/>
              <w:left w:type="dxa" w:w="120"/>
              <w:bottom w:type="dxa" w:w="80"/>
              <w:right w:type="dxa" w:w="120"/>
            </w:tcMar>
          </w:tcPr>
          <w:p>
            <w:pPr>
              <w:jc w:val="left"/>
            </w:pPr>
            <w:r>
              <w:rPr>
                <w:rFonts w:ascii="Arial" w:cs="Arial" w:eastAsia="Arial" w:hAnsi="Arial"/>
                <w:b w:val="false"/>
                <w:bCs w:val="false"/>
                <w:color w:val="475569"/>
                <w:sz w:val="20"/>
                <w:szCs w:val="20"/>
              </w:rPr>
              <w:t xml:space="preserve">Yalla starts at listing, follows to post-move.</w:t>
            </w:r>
          </w:p>
        </w:tc>
      </w:tr>
      <w:tr>
        <w:tc>
          <w:tcPr>
            <w:tcW w:type="dxa" w:w="1800"/>
            <w:tcBorders>
              <w:top w:val="single" w:color="E2E8F0" w:sz="1"/>
              <w:left w:val="single" w:color="E2E8F0" w:sz="1"/>
              <w:bottom w:val="single" w:color="E2E8F0" w:sz="1"/>
              <w:right w:val="single" w:color="E2E8F0" w:sz="1"/>
            </w:tcBorders>
            <w:tcMar>
              <w:top w:type="dxa" w:w="80"/>
              <w:left w:type="dxa" w:w="120"/>
              <w:bottom w:type="dxa" w:w="80"/>
              <w:right w:type="dxa" w:w="120"/>
            </w:tcMar>
          </w:tcPr>
          <w:p>
            <w:pPr>
              <w:jc w:val="left"/>
            </w:pPr>
            <w:r>
              <w:rPr>
                <w:rFonts w:ascii="Arial" w:cs="Arial" w:eastAsia="Arial" w:hAnsi="Arial"/>
                <w:b/>
                <w:bCs/>
                <w:color w:val="1E293B"/>
                <w:sz w:val="20"/>
                <w:szCs w:val="20"/>
              </w:rPr>
              <w:t xml:space="preserve">Habito</w:t>
            </w:r>
          </w:p>
        </w:tc>
        <w:tc>
          <w:tcPr>
            <w:tcW w:type="dxa" w:w="2520"/>
            <w:tcBorders>
              <w:top w:val="single" w:color="E2E8F0" w:sz="1"/>
              <w:left w:val="single" w:color="E2E8F0" w:sz="1"/>
              <w:bottom w:val="single" w:color="E2E8F0" w:sz="1"/>
              <w:right w:val="single" w:color="E2E8F0" w:sz="1"/>
            </w:tcBorders>
            <w:tcMar>
              <w:top w:type="dxa" w:w="80"/>
              <w:left w:type="dxa" w:w="120"/>
              <w:bottom w:type="dxa" w:w="80"/>
              <w:right w:type="dxa" w:w="120"/>
            </w:tcMar>
          </w:tcPr>
          <w:p>
            <w:pPr>
              <w:jc w:val="left"/>
            </w:pPr>
            <w:r>
              <w:rPr>
                <w:rFonts w:ascii="Arial" w:cs="Arial" w:eastAsia="Arial" w:hAnsi="Arial"/>
                <w:b w:val="false"/>
                <w:bCs w:val="false"/>
                <w:color w:val="475569"/>
                <w:sz w:val="20"/>
                <w:szCs w:val="20"/>
              </w:rPr>
              <w:t xml:space="preserve">Digital mortgage broker: comparison + advice</w:t>
            </w:r>
          </w:p>
        </w:tc>
        <w:tc>
          <w:tcPr>
            <w:tcW w:type="dxa" w:w="2520"/>
            <w:tcBorders>
              <w:top w:val="single" w:color="E2E8F0" w:sz="1"/>
              <w:left w:val="single" w:color="E2E8F0" w:sz="1"/>
              <w:bottom w:val="single" w:color="E2E8F0" w:sz="1"/>
              <w:right w:val="single" w:color="E2E8F0" w:sz="1"/>
            </w:tcBorders>
            <w:tcMar>
              <w:top w:type="dxa" w:w="80"/>
              <w:left w:type="dxa" w:w="120"/>
              <w:bottom w:type="dxa" w:w="80"/>
              <w:right w:type="dxa" w:w="120"/>
            </w:tcMar>
          </w:tcPr>
          <w:p>
            <w:pPr>
              <w:jc w:val="left"/>
            </w:pPr>
            <w:r>
              <w:rPr>
                <w:rFonts w:ascii="Arial" w:cs="Arial" w:eastAsia="Arial" w:hAnsi="Arial"/>
                <w:b w:val="false"/>
                <w:bCs w:val="false"/>
                <w:color w:val="475569"/>
                <w:sz w:val="20"/>
                <w:szCs w:val="20"/>
              </w:rPr>
              <w:t xml:space="preserve">Mortgage only. No property services.</w:t>
            </w:r>
          </w:p>
        </w:tc>
        <w:tc>
          <w:tcPr>
            <w:tcW w:type="dxa" w:w="2520"/>
            <w:tcBorders>
              <w:top w:val="single" w:color="E2E8F0" w:sz="1"/>
              <w:left w:val="single" w:color="E2E8F0" w:sz="1"/>
              <w:bottom w:val="single" w:color="E2E8F0" w:sz="1"/>
              <w:right w:val="single" w:color="E2E8F0" w:sz="1"/>
            </w:tcBorders>
            <w:tcMar>
              <w:top w:type="dxa" w:w="80"/>
              <w:left w:type="dxa" w:w="120"/>
              <w:bottom w:type="dxa" w:w="80"/>
              <w:right w:type="dxa" w:w="120"/>
            </w:tcMar>
          </w:tcPr>
          <w:p>
            <w:pPr>
              <w:jc w:val="left"/>
            </w:pPr>
            <w:r>
              <w:rPr>
                <w:rFonts w:ascii="Arial" w:cs="Arial" w:eastAsia="Arial" w:hAnsi="Arial"/>
                <w:b w:val="false"/>
                <w:bCs w:val="false"/>
                <w:color w:val="475569"/>
                <w:sz w:val="20"/>
                <w:szCs w:val="20"/>
              </w:rPr>
              <w:t xml:space="preserve">Yalla embeds mortgage as one service among 20+.</w:t>
            </w:r>
          </w:p>
        </w:tc>
      </w:tr>
      <w:tr>
        <w:tc>
          <w:tcPr>
            <w:tcW w:type="dxa" w:w="1800"/>
            <w:tcBorders>
              <w:top w:val="single" w:color="E2E8F0" w:sz="1"/>
              <w:left w:val="single" w:color="E2E8F0" w:sz="1"/>
              <w:bottom w:val="single" w:color="E2E8F0" w:sz="1"/>
              <w:right w:val="single" w:color="E2E8F0" w:sz="1"/>
            </w:tcBorders>
            <w:tcMar>
              <w:top w:type="dxa" w:w="80"/>
              <w:left w:type="dxa" w:w="120"/>
              <w:bottom w:type="dxa" w:w="80"/>
              <w:right w:type="dxa" w:w="120"/>
            </w:tcMar>
          </w:tcPr>
          <w:p>
            <w:pPr>
              <w:jc w:val="left"/>
            </w:pPr>
            <w:r>
              <w:rPr>
                <w:rFonts w:ascii="Arial" w:cs="Arial" w:eastAsia="Arial" w:hAnsi="Arial"/>
                <w:b/>
                <w:bCs/>
                <w:color w:val="1E293B"/>
                <w:sz w:val="20"/>
                <w:szCs w:val="20"/>
              </w:rPr>
              <w:t xml:space="preserve">Checkatrade</w:t>
            </w:r>
          </w:p>
        </w:tc>
        <w:tc>
          <w:tcPr>
            <w:tcW w:type="dxa" w:w="2520"/>
            <w:tcBorders>
              <w:top w:val="single" w:color="E2E8F0" w:sz="1"/>
              <w:left w:val="single" w:color="E2E8F0" w:sz="1"/>
              <w:bottom w:val="single" w:color="E2E8F0" w:sz="1"/>
              <w:right w:val="single" w:color="E2E8F0" w:sz="1"/>
            </w:tcBorders>
            <w:tcMar>
              <w:top w:type="dxa" w:w="80"/>
              <w:left w:type="dxa" w:w="120"/>
              <w:bottom w:type="dxa" w:w="80"/>
              <w:right w:type="dxa" w:w="120"/>
            </w:tcMar>
          </w:tcPr>
          <w:p>
            <w:pPr>
              <w:jc w:val="left"/>
            </w:pPr>
            <w:r>
              <w:rPr>
                <w:rFonts w:ascii="Arial" w:cs="Arial" w:eastAsia="Arial" w:hAnsi="Arial"/>
                <w:b w:val="false"/>
                <w:bCs w:val="false"/>
                <w:color w:val="475569"/>
                <w:sz w:val="20"/>
                <w:szCs w:val="20"/>
              </w:rPr>
              <w:t xml:space="preserve">General trades marketplace</w:t>
            </w:r>
          </w:p>
        </w:tc>
        <w:tc>
          <w:tcPr>
            <w:tcW w:type="dxa" w:w="2520"/>
            <w:tcBorders>
              <w:top w:val="single" w:color="E2E8F0" w:sz="1"/>
              <w:left w:val="single" w:color="E2E8F0" w:sz="1"/>
              <w:bottom w:val="single" w:color="E2E8F0" w:sz="1"/>
              <w:right w:val="single" w:color="E2E8F0" w:sz="1"/>
            </w:tcBorders>
            <w:tcMar>
              <w:top w:type="dxa" w:w="80"/>
              <w:left w:type="dxa" w:w="120"/>
              <w:bottom w:type="dxa" w:w="80"/>
              <w:right w:type="dxa" w:w="120"/>
            </w:tcMar>
          </w:tcPr>
          <w:p>
            <w:pPr>
              <w:jc w:val="left"/>
            </w:pPr>
            <w:r>
              <w:rPr>
                <w:rFonts w:ascii="Arial" w:cs="Arial" w:eastAsia="Arial" w:hAnsi="Arial"/>
                <w:b w:val="false"/>
                <w:bCs w:val="false"/>
                <w:color w:val="475569"/>
                <w:sz w:val="20"/>
                <w:szCs w:val="20"/>
              </w:rPr>
              <w:t xml:space="preserve">Generic. No property journey awareness.</w:t>
            </w:r>
          </w:p>
        </w:tc>
        <w:tc>
          <w:tcPr>
            <w:tcW w:type="dxa" w:w="2520"/>
            <w:tcBorders>
              <w:top w:val="single" w:color="E2E8F0" w:sz="1"/>
              <w:left w:val="single" w:color="E2E8F0" w:sz="1"/>
              <w:bottom w:val="single" w:color="E2E8F0" w:sz="1"/>
              <w:right w:val="single" w:color="E2E8F0" w:sz="1"/>
            </w:tcBorders>
            <w:tcMar>
              <w:top w:type="dxa" w:w="80"/>
              <w:left w:type="dxa" w:w="120"/>
              <w:bottom w:type="dxa" w:w="80"/>
              <w:right w:type="dxa" w:w="120"/>
            </w:tcMar>
          </w:tcPr>
          <w:p>
            <w:pPr>
              <w:jc w:val="left"/>
            </w:pPr>
            <w:r>
              <w:rPr>
                <w:rFonts w:ascii="Arial" w:cs="Arial" w:eastAsia="Arial" w:hAnsi="Arial"/>
                <w:b w:val="false"/>
                <w:bCs w:val="false"/>
                <w:color w:val="475569"/>
                <w:sz w:val="20"/>
                <w:szCs w:val="20"/>
              </w:rPr>
              <w:t xml:space="preserve">Yalla surfaces right service at right moment.</w:t>
            </w:r>
          </w:p>
        </w:tc>
      </w:tr>
      <w:tr>
        <w:tc>
          <w:tcPr>
            <w:tcW w:type="dxa" w:w="1800"/>
            <w:tcBorders>
              <w:top w:val="single" w:color="E2E8F0" w:sz="1"/>
              <w:left w:val="single" w:color="E2E8F0" w:sz="1"/>
              <w:bottom w:val="single" w:color="E2E8F0" w:sz="1"/>
              <w:right w:val="single" w:color="E2E8F0" w:sz="1"/>
            </w:tcBorders>
            <w:tcMar>
              <w:top w:type="dxa" w:w="80"/>
              <w:left w:type="dxa" w:w="120"/>
              <w:bottom w:type="dxa" w:w="80"/>
              <w:right w:type="dxa" w:w="120"/>
            </w:tcMar>
          </w:tcPr>
          <w:p>
            <w:pPr>
              <w:jc w:val="left"/>
            </w:pPr>
            <w:r>
              <w:rPr>
                <w:rFonts w:ascii="Arial" w:cs="Arial" w:eastAsia="Arial" w:hAnsi="Arial"/>
                <w:b/>
                <w:bCs/>
                <w:color w:val="1E293B"/>
                <w:sz w:val="20"/>
                <w:szCs w:val="20"/>
              </w:rPr>
              <w:t xml:space="preserve">Purplebricks</w:t>
            </w:r>
          </w:p>
        </w:tc>
        <w:tc>
          <w:tcPr>
            <w:tcW w:type="dxa" w:w="2520"/>
            <w:tcBorders>
              <w:top w:val="single" w:color="E2E8F0" w:sz="1"/>
              <w:left w:val="single" w:color="E2E8F0" w:sz="1"/>
              <w:bottom w:val="single" w:color="E2E8F0" w:sz="1"/>
              <w:right w:val="single" w:color="E2E8F0" w:sz="1"/>
            </w:tcBorders>
            <w:tcMar>
              <w:top w:type="dxa" w:w="80"/>
              <w:left w:type="dxa" w:w="120"/>
              <w:bottom w:type="dxa" w:w="80"/>
              <w:right w:type="dxa" w:w="120"/>
            </w:tcMar>
          </w:tcPr>
          <w:p>
            <w:pPr>
              <w:jc w:val="left"/>
            </w:pPr>
            <w:r>
              <w:rPr>
                <w:rFonts w:ascii="Arial" w:cs="Arial" w:eastAsia="Arial" w:hAnsi="Arial"/>
                <w:b w:val="false"/>
                <w:bCs w:val="false"/>
                <w:color w:val="475569"/>
                <w:sz w:val="20"/>
                <w:szCs w:val="20"/>
              </w:rPr>
              <w:t xml:space="preserve">Online estate agent</w:t>
            </w:r>
          </w:p>
        </w:tc>
        <w:tc>
          <w:tcPr>
            <w:tcW w:type="dxa" w:w="2520"/>
            <w:tcBorders>
              <w:top w:val="single" w:color="E2E8F0" w:sz="1"/>
              <w:left w:val="single" w:color="E2E8F0" w:sz="1"/>
              <w:bottom w:val="single" w:color="E2E8F0" w:sz="1"/>
              <w:right w:val="single" w:color="E2E8F0" w:sz="1"/>
            </w:tcBorders>
            <w:tcMar>
              <w:top w:type="dxa" w:w="80"/>
              <w:left w:type="dxa" w:w="120"/>
              <w:bottom w:type="dxa" w:w="80"/>
              <w:right w:type="dxa" w:w="120"/>
            </w:tcMar>
          </w:tcPr>
          <w:p>
            <w:pPr>
              <w:jc w:val="left"/>
            </w:pPr>
            <w:r>
              <w:rPr>
                <w:rFonts w:ascii="Arial" w:cs="Arial" w:eastAsia="Arial" w:hAnsi="Arial"/>
                <w:b w:val="false"/>
                <w:bCs w:val="false"/>
                <w:color w:val="475569"/>
                <w:sz w:val="20"/>
                <w:szCs w:val="20"/>
              </w:rPr>
              <w:t xml:space="preserve">IS an agency. Competes with agents.</w:t>
            </w:r>
          </w:p>
        </w:tc>
        <w:tc>
          <w:tcPr>
            <w:tcW w:type="dxa" w:w="2520"/>
            <w:tcBorders>
              <w:top w:val="single" w:color="E2E8F0" w:sz="1"/>
              <w:left w:val="single" w:color="E2E8F0" w:sz="1"/>
              <w:bottom w:val="single" w:color="E2E8F0" w:sz="1"/>
              <w:right w:val="single" w:color="E2E8F0" w:sz="1"/>
            </w:tcBorders>
            <w:tcMar>
              <w:top w:type="dxa" w:w="80"/>
              <w:left w:type="dxa" w:w="120"/>
              <w:bottom w:type="dxa" w:w="80"/>
              <w:right w:type="dxa" w:w="120"/>
            </w:tcMar>
          </w:tcPr>
          <w:p>
            <w:pPr>
              <w:jc w:val="left"/>
            </w:pPr>
            <w:r>
              <w:rPr>
                <w:rFonts w:ascii="Arial" w:cs="Arial" w:eastAsia="Arial" w:hAnsi="Arial"/>
                <w:b w:val="false"/>
                <w:bCs w:val="false"/>
                <w:color w:val="475569"/>
                <w:sz w:val="20"/>
                <w:szCs w:val="20"/>
              </w:rPr>
              <w:t xml:space="preserve">Yalla is SaaS. Works WITH agents.</w:t>
            </w:r>
          </w:p>
        </w:tc>
      </w:tr>
    </w:tbl>
    <w:p>
      <w:pPr>
        <w:pStyle w:val="Heading1"/>
      </w:pPr>
      <w:r>
        <w:t xml:space="preserve">7. Revenue Model Summary</w:t>
      </w:r>
    </w:p>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gridCol w:w="2160"/>
      </w:tblGrid>
      <w:tr>
        <w:tc>
          <w:tcPr>
            <w:tcW w:type="dxa" w:w="2400"/>
            <w:tcBorders>
              <w:top w:val="single" w:color="E2E8F0" w:sz="1"/>
              <w:left w:val="single" w:color="E2E8F0" w:sz="1"/>
              <w:bottom w:val="single" w:color="E2E8F0" w:sz="1"/>
              <w:right w:val="single" w:color="E2E8F0" w:sz="1"/>
            </w:tcBorders>
            <w:shd w:fill="0F1117" w:val="clear"/>
            <w:tcMar>
              <w:top w:type="dxa" w:w="80"/>
              <w:left w:type="dxa" w:w="120"/>
              <w:bottom w:type="dxa" w:w="80"/>
              <w:right w:type="dxa" w:w="120"/>
            </w:tcMar>
          </w:tcPr>
          <w:p>
            <w:r>
              <w:rPr>
                <w:rFonts w:ascii="Arial" w:cs="Arial" w:eastAsia="Arial" w:hAnsi="Arial"/>
                <w:b/>
                <w:bCs/>
                <w:color w:val="FFFFFF"/>
                <w:sz w:val="20"/>
                <w:szCs w:val="20"/>
              </w:rPr>
              <w:t xml:space="preserve">Channel</w:t>
            </w:r>
          </w:p>
        </w:tc>
        <w:tc>
          <w:tcPr>
            <w:tcW w:type="dxa" w:w="2400"/>
            <w:tcBorders>
              <w:top w:val="single" w:color="E2E8F0" w:sz="1"/>
              <w:left w:val="single" w:color="E2E8F0" w:sz="1"/>
              <w:bottom w:val="single" w:color="E2E8F0" w:sz="1"/>
              <w:right w:val="single" w:color="E2E8F0" w:sz="1"/>
            </w:tcBorders>
            <w:shd w:fill="0F1117" w:val="clear"/>
            <w:tcMar>
              <w:top w:type="dxa" w:w="80"/>
              <w:left w:type="dxa" w:w="120"/>
              <w:bottom w:type="dxa" w:w="80"/>
              <w:right w:type="dxa" w:w="120"/>
            </w:tcMar>
          </w:tcPr>
          <w:p>
            <w:r>
              <w:rPr>
                <w:rFonts w:ascii="Arial" w:cs="Arial" w:eastAsia="Arial" w:hAnsi="Arial"/>
                <w:b/>
                <w:bCs/>
                <w:color w:val="FFFFFF"/>
                <w:sz w:val="20"/>
                <w:szCs w:val="20"/>
              </w:rPr>
              <w:t xml:space="preserve">How It Works</w:t>
            </w:r>
          </w:p>
        </w:tc>
        <w:tc>
          <w:tcPr>
            <w:tcW w:type="dxa" w:w="2400"/>
            <w:tcBorders>
              <w:top w:val="single" w:color="E2E8F0" w:sz="1"/>
              <w:left w:val="single" w:color="E2E8F0" w:sz="1"/>
              <w:bottom w:val="single" w:color="E2E8F0" w:sz="1"/>
              <w:right w:val="single" w:color="E2E8F0" w:sz="1"/>
            </w:tcBorders>
            <w:shd w:fill="0F1117" w:val="clear"/>
            <w:tcMar>
              <w:top w:type="dxa" w:w="80"/>
              <w:left w:type="dxa" w:w="120"/>
              <w:bottom w:type="dxa" w:w="80"/>
              <w:right w:type="dxa" w:w="120"/>
            </w:tcMar>
          </w:tcPr>
          <w:p>
            <w:r>
              <w:rPr>
                <w:rFonts w:ascii="Arial" w:cs="Arial" w:eastAsia="Arial" w:hAnsi="Arial"/>
                <w:b/>
                <w:bCs/>
                <w:color w:val="FFFFFF"/>
                <w:sz w:val="20"/>
                <w:szCs w:val="20"/>
              </w:rPr>
              <w:t xml:space="preserve">Revenue Per Unit</w:t>
            </w:r>
          </w:p>
        </w:tc>
        <w:tc>
          <w:tcPr>
            <w:tcW w:type="dxa" w:w="2160"/>
            <w:tcBorders>
              <w:top w:val="single" w:color="E2E8F0" w:sz="1"/>
              <w:left w:val="single" w:color="E2E8F0" w:sz="1"/>
              <w:bottom w:val="single" w:color="E2E8F0" w:sz="1"/>
              <w:right w:val="single" w:color="E2E8F0" w:sz="1"/>
            </w:tcBorders>
            <w:shd w:fill="0F1117" w:val="clear"/>
            <w:tcMar>
              <w:top w:type="dxa" w:w="80"/>
              <w:left w:type="dxa" w:w="120"/>
              <w:bottom w:type="dxa" w:w="80"/>
              <w:right w:type="dxa" w:w="120"/>
            </w:tcMar>
          </w:tcPr>
          <w:p>
            <w:r>
              <w:rPr>
                <w:rFonts w:ascii="Arial" w:cs="Arial" w:eastAsia="Arial" w:hAnsi="Arial"/>
                <w:b/>
                <w:bCs/>
                <w:color w:val="FFFFFF"/>
                <w:sz w:val="20"/>
                <w:szCs w:val="20"/>
              </w:rPr>
              <w:t xml:space="preserve">Phase</w:t>
            </w:r>
          </w:p>
        </w:tc>
      </w:tr>
      <w:tr>
        <w:tc>
          <w:tcPr>
            <w:tcW w:type="dxa" w:w="2400"/>
            <w:tcBorders>
              <w:top w:val="single" w:color="E2E8F0" w:sz="1"/>
              <w:left w:val="single" w:color="E2E8F0" w:sz="1"/>
              <w:bottom w:val="single" w:color="E2E8F0" w:sz="1"/>
              <w:right w:val="single" w:color="E2E8F0" w:sz="1"/>
            </w:tcBorders>
            <w:tcMar>
              <w:top w:type="dxa" w:w="80"/>
              <w:left w:type="dxa" w:w="120"/>
              <w:bottom w:type="dxa" w:w="80"/>
              <w:right w:type="dxa" w:w="120"/>
            </w:tcMar>
          </w:tcPr>
          <w:p>
            <w:pPr>
              <w:jc w:val="left"/>
            </w:pPr>
            <w:r>
              <w:rPr>
                <w:rFonts w:ascii="Arial" w:cs="Arial" w:eastAsia="Arial" w:hAnsi="Arial"/>
                <w:b/>
                <w:bCs/>
                <w:color w:val="1E293B"/>
                <w:sz w:val="20"/>
                <w:szCs w:val="20"/>
              </w:rPr>
              <w:t xml:space="preserve">Lead fees</w:t>
            </w:r>
          </w:p>
        </w:tc>
        <w:tc>
          <w:tcPr>
            <w:tcW w:type="dxa" w:w="2400"/>
            <w:tcBorders>
              <w:top w:val="single" w:color="E2E8F0" w:sz="1"/>
              <w:left w:val="single" w:color="E2E8F0" w:sz="1"/>
              <w:bottom w:val="single" w:color="E2E8F0" w:sz="1"/>
              <w:right w:val="single" w:color="E2E8F0" w:sz="1"/>
            </w:tcBorders>
            <w:tcMar>
              <w:top w:type="dxa" w:w="80"/>
              <w:left w:type="dxa" w:w="120"/>
              <w:bottom w:type="dxa" w:w="80"/>
              <w:right w:type="dxa" w:w="120"/>
            </w:tcMar>
          </w:tcPr>
          <w:p>
            <w:pPr>
              <w:jc w:val="left"/>
            </w:pPr>
            <w:r>
              <w:rPr>
                <w:rFonts w:ascii="Arial" w:cs="Arial" w:eastAsia="Arial" w:hAnsi="Arial"/>
                <w:b w:val="false"/>
                <w:bCs w:val="false"/>
                <w:color w:val="475569"/>
                <w:sz w:val="20"/>
                <w:szCs w:val="20"/>
              </w:rPr>
              <w:t xml:space="preserve">Provider pays per qualified quote request</w:t>
            </w:r>
          </w:p>
        </w:tc>
        <w:tc>
          <w:tcPr>
            <w:tcW w:type="dxa" w:w="2400"/>
            <w:tcBorders>
              <w:top w:val="single" w:color="E2E8F0" w:sz="1"/>
              <w:left w:val="single" w:color="E2E8F0" w:sz="1"/>
              <w:bottom w:val="single" w:color="E2E8F0" w:sz="1"/>
              <w:right w:val="single" w:color="E2E8F0" w:sz="1"/>
            </w:tcBorders>
            <w:tcMar>
              <w:top w:type="dxa" w:w="80"/>
              <w:left w:type="dxa" w:w="120"/>
              <w:bottom w:type="dxa" w:w="80"/>
              <w:right w:type="dxa" w:w="120"/>
            </w:tcMar>
          </w:tcPr>
          <w:p>
            <w:pPr>
              <w:jc w:val="left"/>
            </w:pPr>
            <w:r>
              <w:rPr>
                <w:rFonts w:ascii="Arial" w:cs="Arial" w:eastAsia="Arial" w:hAnsi="Arial"/>
                <w:b w:val="false"/>
                <w:bCs w:val="false"/>
                <w:color w:val="475569"/>
                <w:sz w:val="20"/>
                <w:szCs w:val="20"/>
              </w:rPr>
              <w:t xml:space="preserve">£10–100 per lead</w:t>
            </w:r>
          </w:p>
        </w:tc>
        <w:tc>
          <w:tcPr>
            <w:tcW w:type="dxa" w:w="2160"/>
            <w:tcBorders>
              <w:top w:val="single" w:color="E2E8F0" w:sz="1"/>
              <w:left w:val="single" w:color="E2E8F0" w:sz="1"/>
              <w:bottom w:val="single" w:color="E2E8F0" w:sz="1"/>
              <w:right w:val="single" w:color="E2E8F0" w:sz="1"/>
            </w:tcBorders>
            <w:tcMar>
              <w:top w:type="dxa" w:w="80"/>
              <w:left w:type="dxa" w:w="120"/>
              <w:bottom w:type="dxa" w:w="80"/>
              <w:right w:type="dxa" w:w="120"/>
            </w:tcMar>
          </w:tcPr>
          <w:p>
            <w:pPr>
              <w:jc w:val="left"/>
            </w:pPr>
            <w:r>
              <w:rPr>
                <w:rFonts w:ascii="Arial" w:cs="Arial" w:eastAsia="Arial" w:hAnsi="Arial"/>
                <w:b w:val="false"/>
                <w:bCs w:val="false"/>
                <w:color w:val="475569"/>
                <w:sz w:val="20"/>
                <w:szCs w:val="20"/>
              </w:rPr>
              <w:t xml:space="preserve">Phase 1</w:t>
            </w:r>
          </w:p>
        </w:tc>
      </w:tr>
      <w:tr>
        <w:tc>
          <w:tcPr>
            <w:tcW w:type="dxa" w:w="2400"/>
            <w:tcBorders>
              <w:top w:val="single" w:color="E2E8F0" w:sz="1"/>
              <w:left w:val="single" w:color="E2E8F0" w:sz="1"/>
              <w:bottom w:val="single" w:color="E2E8F0" w:sz="1"/>
              <w:right w:val="single" w:color="E2E8F0" w:sz="1"/>
            </w:tcBorders>
            <w:tcMar>
              <w:top w:type="dxa" w:w="80"/>
              <w:left w:type="dxa" w:w="120"/>
              <w:bottom w:type="dxa" w:w="80"/>
              <w:right w:type="dxa" w:w="120"/>
            </w:tcMar>
          </w:tcPr>
          <w:p>
            <w:pPr>
              <w:jc w:val="left"/>
            </w:pPr>
            <w:r>
              <w:rPr>
                <w:rFonts w:ascii="Arial" w:cs="Arial" w:eastAsia="Arial" w:hAnsi="Arial"/>
                <w:b/>
                <w:bCs/>
                <w:color w:val="1E293B"/>
                <w:sz w:val="20"/>
                <w:szCs w:val="20"/>
              </w:rPr>
              <w:t xml:space="preserve">Mortgage introducer</w:t>
            </w:r>
          </w:p>
        </w:tc>
        <w:tc>
          <w:tcPr>
            <w:tcW w:type="dxa" w:w="2400"/>
            <w:tcBorders>
              <w:top w:val="single" w:color="E2E8F0" w:sz="1"/>
              <w:left w:val="single" w:color="E2E8F0" w:sz="1"/>
              <w:bottom w:val="single" w:color="E2E8F0" w:sz="1"/>
              <w:right w:val="single" w:color="E2E8F0" w:sz="1"/>
            </w:tcBorders>
            <w:tcMar>
              <w:top w:type="dxa" w:w="80"/>
              <w:left w:type="dxa" w:w="120"/>
              <w:bottom w:type="dxa" w:w="80"/>
              <w:right w:type="dxa" w:w="120"/>
            </w:tcMar>
          </w:tcPr>
          <w:p>
            <w:pPr>
              <w:jc w:val="left"/>
            </w:pPr>
            <w:r>
              <w:rPr>
                <w:rFonts w:ascii="Arial" w:cs="Arial" w:eastAsia="Arial" w:hAnsi="Arial"/>
                <w:b w:val="false"/>
                <w:bCs w:val="false"/>
                <w:color w:val="475569"/>
                <w:sz w:val="20"/>
                <w:szCs w:val="20"/>
              </w:rPr>
              <w:t xml:space="preserve">Referral to FCA broker, fee on conversion</w:t>
            </w:r>
          </w:p>
        </w:tc>
        <w:tc>
          <w:tcPr>
            <w:tcW w:type="dxa" w:w="2400"/>
            <w:tcBorders>
              <w:top w:val="single" w:color="E2E8F0" w:sz="1"/>
              <w:left w:val="single" w:color="E2E8F0" w:sz="1"/>
              <w:bottom w:val="single" w:color="E2E8F0" w:sz="1"/>
              <w:right w:val="single" w:color="E2E8F0" w:sz="1"/>
            </w:tcBorders>
            <w:tcMar>
              <w:top w:type="dxa" w:w="80"/>
              <w:left w:type="dxa" w:w="120"/>
              <w:bottom w:type="dxa" w:w="80"/>
              <w:right w:type="dxa" w:w="120"/>
            </w:tcMar>
          </w:tcPr>
          <w:p>
            <w:pPr>
              <w:jc w:val="left"/>
            </w:pPr>
            <w:r>
              <w:rPr>
                <w:rFonts w:ascii="Arial" w:cs="Arial" w:eastAsia="Arial" w:hAnsi="Arial"/>
                <w:b w:val="false"/>
                <w:bCs w:val="false"/>
                <w:color w:val="475569"/>
                <w:sz w:val="20"/>
                <w:szCs w:val="20"/>
              </w:rPr>
              <w:t xml:space="preserve">£50–100 per referral</w:t>
            </w:r>
          </w:p>
        </w:tc>
        <w:tc>
          <w:tcPr>
            <w:tcW w:type="dxa" w:w="2160"/>
            <w:tcBorders>
              <w:top w:val="single" w:color="E2E8F0" w:sz="1"/>
              <w:left w:val="single" w:color="E2E8F0" w:sz="1"/>
              <w:bottom w:val="single" w:color="E2E8F0" w:sz="1"/>
              <w:right w:val="single" w:color="E2E8F0" w:sz="1"/>
            </w:tcBorders>
            <w:tcMar>
              <w:top w:type="dxa" w:w="80"/>
              <w:left w:type="dxa" w:w="120"/>
              <w:bottom w:type="dxa" w:w="80"/>
              <w:right w:type="dxa" w:w="120"/>
            </w:tcMar>
          </w:tcPr>
          <w:p>
            <w:pPr>
              <w:jc w:val="left"/>
            </w:pPr>
            <w:r>
              <w:rPr>
                <w:rFonts w:ascii="Arial" w:cs="Arial" w:eastAsia="Arial" w:hAnsi="Arial"/>
                <w:b w:val="false"/>
                <w:bCs w:val="false"/>
                <w:color w:val="475569"/>
                <w:sz w:val="20"/>
                <w:szCs w:val="20"/>
              </w:rPr>
              <w:t xml:space="preserve">Phase 1</w:t>
            </w:r>
          </w:p>
        </w:tc>
      </w:tr>
      <w:tr>
        <w:tc>
          <w:tcPr>
            <w:tcW w:type="dxa" w:w="2400"/>
            <w:tcBorders>
              <w:top w:val="single" w:color="E2E8F0" w:sz="1"/>
              <w:left w:val="single" w:color="E2E8F0" w:sz="1"/>
              <w:bottom w:val="single" w:color="E2E8F0" w:sz="1"/>
              <w:right w:val="single" w:color="E2E8F0" w:sz="1"/>
            </w:tcBorders>
            <w:tcMar>
              <w:top w:type="dxa" w:w="80"/>
              <w:left w:type="dxa" w:w="120"/>
              <w:bottom w:type="dxa" w:w="80"/>
              <w:right w:type="dxa" w:w="120"/>
            </w:tcMar>
          </w:tcPr>
          <w:p>
            <w:pPr>
              <w:jc w:val="left"/>
            </w:pPr>
            <w:r>
              <w:rPr>
                <w:rFonts w:ascii="Arial" w:cs="Arial" w:eastAsia="Arial" w:hAnsi="Arial"/>
                <w:b/>
                <w:bCs/>
                <w:color w:val="1E293B"/>
                <w:sz w:val="20"/>
                <w:szCs w:val="20"/>
              </w:rPr>
              <w:t xml:space="preserve">Booking commission</w:t>
            </w:r>
          </w:p>
        </w:tc>
        <w:tc>
          <w:tcPr>
            <w:tcW w:type="dxa" w:w="2400"/>
            <w:tcBorders>
              <w:top w:val="single" w:color="E2E8F0" w:sz="1"/>
              <w:left w:val="single" w:color="E2E8F0" w:sz="1"/>
              <w:bottom w:val="single" w:color="E2E8F0" w:sz="1"/>
              <w:right w:val="single" w:color="E2E8F0" w:sz="1"/>
            </w:tcBorders>
            <w:tcMar>
              <w:top w:type="dxa" w:w="80"/>
              <w:left w:type="dxa" w:w="120"/>
              <w:bottom w:type="dxa" w:w="80"/>
              <w:right w:type="dxa" w:w="120"/>
            </w:tcMar>
          </w:tcPr>
          <w:p>
            <w:pPr>
              <w:jc w:val="left"/>
            </w:pPr>
            <w:r>
              <w:rPr>
                <w:rFonts w:ascii="Arial" w:cs="Arial" w:eastAsia="Arial" w:hAnsi="Arial"/>
                <w:b w:val="false"/>
                <w:bCs w:val="false"/>
                <w:color w:val="475569"/>
                <w:sz w:val="20"/>
                <w:szCs w:val="20"/>
              </w:rPr>
              <w:t xml:space="preserve">10–15% on bookable services</w:t>
            </w:r>
          </w:p>
        </w:tc>
        <w:tc>
          <w:tcPr>
            <w:tcW w:type="dxa" w:w="2400"/>
            <w:tcBorders>
              <w:top w:val="single" w:color="E2E8F0" w:sz="1"/>
              <w:left w:val="single" w:color="E2E8F0" w:sz="1"/>
              <w:bottom w:val="single" w:color="E2E8F0" w:sz="1"/>
              <w:right w:val="single" w:color="E2E8F0" w:sz="1"/>
            </w:tcBorders>
            <w:tcMar>
              <w:top w:type="dxa" w:w="80"/>
              <w:left w:type="dxa" w:w="120"/>
              <w:bottom w:type="dxa" w:w="80"/>
              <w:right w:type="dxa" w:w="120"/>
            </w:tcMar>
          </w:tcPr>
          <w:p>
            <w:pPr>
              <w:jc w:val="left"/>
            </w:pPr>
            <w:r>
              <w:rPr>
                <w:rFonts w:ascii="Arial" w:cs="Arial" w:eastAsia="Arial" w:hAnsi="Arial"/>
                <w:b w:val="false"/>
                <w:bCs w:val="false"/>
                <w:color w:val="475569"/>
                <w:sz w:val="20"/>
                <w:szCs w:val="20"/>
              </w:rPr>
              <w:t xml:space="preserve">£15–300 per booking</w:t>
            </w:r>
          </w:p>
        </w:tc>
        <w:tc>
          <w:tcPr>
            <w:tcW w:type="dxa" w:w="2160"/>
            <w:tcBorders>
              <w:top w:val="single" w:color="E2E8F0" w:sz="1"/>
              <w:left w:val="single" w:color="E2E8F0" w:sz="1"/>
              <w:bottom w:val="single" w:color="E2E8F0" w:sz="1"/>
              <w:right w:val="single" w:color="E2E8F0" w:sz="1"/>
            </w:tcBorders>
            <w:tcMar>
              <w:top w:type="dxa" w:w="80"/>
              <w:left w:type="dxa" w:w="120"/>
              <w:bottom w:type="dxa" w:w="80"/>
              <w:right w:type="dxa" w:w="120"/>
            </w:tcMar>
          </w:tcPr>
          <w:p>
            <w:pPr>
              <w:jc w:val="left"/>
            </w:pPr>
            <w:r>
              <w:rPr>
                <w:rFonts w:ascii="Arial" w:cs="Arial" w:eastAsia="Arial" w:hAnsi="Arial"/>
                <w:b w:val="false"/>
                <w:bCs w:val="false"/>
                <w:color w:val="475569"/>
                <w:sz w:val="20"/>
                <w:szCs w:val="20"/>
              </w:rPr>
              <w:t xml:space="preserve">Phase 2</w:t>
            </w:r>
          </w:p>
        </w:tc>
      </w:tr>
      <w:tr>
        <w:tc>
          <w:tcPr>
            <w:tcW w:type="dxa" w:w="2400"/>
            <w:tcBorders>
              <w:top w:val="single" w:color="E2E8F0" w:sz="1"/>
              <w:left w:val="single" w:color="E2E8F0" w:sz="1"/>
              <w:bottom w:val="single" w:color="E2E8F0" w:sz="1"/>
              <w:right w:val="single" w:color="E2E8F0" w:sz="1"/>
            </w:tcBorders>
            <w:tcMar>
              <w:top w:type="dxa" w:w="80"/>
              <w:left w:type="dxa" w:w="120"/>
              <w:bottom w:type="dxa" w:w="80"/>
              <w:right w:type="dxa" w:w="120"/>
            </w:tcMar>
          </w:tcPr>
          <w:p>
            <w:pPr>
              <w:jc w:val="left"/>
            </w:pPr>
            <w:r>
              <w:rPr>
                <w:rFonts w:ascii="Arial" w:cs="Arial" w:eastAsia="Arial" w:hAnsi="Arial"/>
                <w:b/>
                <w:bCs/>
                <w:color w:val="1E293B"/>
                <w:sz w:val="20"/>
                <w:szCs w:val="20"/>
              </w:rPr>
              <w:t xml:space="preserve">Featured listings</w:t>
            </w:r>
          </w:p>
        </w:tc>
        <w:tc>
          <w:tcPr>
            <w:tcW w:type="dxa" w:w="2400"/>
            <w:tcBorders>
              <w:top w:val="single" w:color="E2E8F0" w:sz="1"/>
              <w:left w:val="single" w:color="E2E8F0" w:sz="1"/>
              <w:bottom w:val="single" w:color="E2E8F0" w:sz="1"/>
              <w:right w:val="single" w:color="E2E8F0" w:sz="1"/>
            </w:tcBorders>
            <w:tcMar>
              <w:top w:type="dxa" w:w="80"/>
              <w:left w:type="dxa" w:w="120"/>
              <w:bottom w:type="dxa" w:w="80"/>
              <w:right w:type="dxa" w:w="120"/>
            </w:tcMar>
          </w:tcPr>
          <w:p>
            <w:pPr>
              <w:jc w:val="left"/>
            </w:pPr>
            <w:r>
              <w:rPr>
                <w:rFonts w:ascii="Arial" w:cs="Arial" w:eastAsia="Arial" w:hAnsi="Arial"/>
                <w:b w:val="false"/>
                <w:bCs w:val="false"/>
                <w:color w:val="475569"/>
                <w:sz w:val="20"/>
                <w:szCs w:val="20"/>
              </w:rPr>
              <w:t xml:space="preserve">Premium placement subscription</w:t>
            </w:r>
          </w:p>
        </w:tc>
        <w:tc>
          <w:tcPr>
            <w:tcW w:type="dxa" w:w="2400"/>
            <w:tcBorders>
              <w:top w:val="single" w:color="E2E8F0" w:sz="1"/>
              <w:left w:val="single" w:color="E2E8F0" w:sz="1"/>
              <w:bottom w:val="single" w:color="E2E8F0" w:sz="1"/>
              <w:right w:val="single" w:color="E2E8F0" w:sz="1"/>
            </w:tcBorders>
            <w:tcMar>
              <w:top w:type="dxa" w:w="80"/>
              <w:left w:type="dxa" w:w="120"/>
              <w:bottom w:type="dxa" w:w="80"/>
              <w:right w:type="dxa" w:w="120"/>
            </w:tcMar>
          </w:tcPr>
          <w:p>
            <w:pPr>
              <w:jc w:val="left"/>
            </w:pPr>
            <w:r>
              <w:rPr>
                <w:rFonts w:ascii="Arial" w:cs="Arial" w:eastAsia="Arial" w:hAnsi="Arial"/>
                <w:b w:val="false"/>
                <w:bCs w:val="false"/>
                <w:color w:val="475569"/>
                <w:sz w:val="20"/>
                <w:szCs w:val="20"/>
              </w:rPr>
              <w:t xml:space="preserve">£29–49/month</w:t>
            </w:r>
          </w:p>
        </w:tc>
        <w:tc>
          <w:tcPr>
            <w:tcW w:type="dxa" w:w="2160"/>
            <w:tcBorders>
              <w:top w:val="single" w:color="E2E8F0" w:sz="1"/>
              <w:left w:val="single" w:color="E2E8F0" w:sz="1"/>
              <w:bottom w:val="single" w:color="E2E8F0" w:sz="1"/>
              <w:right w:val="single" w:color="E2E8F0" w:sz="1"/>
            </w:tcBorders>
            <w:tcMar>
              <w:top w:type="dxa" w:w="80"/>
              <w:left w:type="dxa" w:w="120"/>
              <w:bottom w:type="dxa" w:w="80"/>
              <w:right w:type="dxa" w:w="120"/>
            </w:tcMar>
          </w:tcPr>
          <w:p>
            <w:pPr>
              <w:jc w:val="left"/>
            </w:pPr>
            <w:r>
              <w:rPr>
                <w:rFonts w:ascii="Arial" w:cs="Arial" w:eastAsia="Arial" w:hAnsi="Arial"/>
                <w:b w:val="false"/>
                <w:bCs w:val="false"/>
                <w:color w:val="475569"/>
                <w:sz w:val="20"/>
                <w:szCs w:val="20"/>
              </w:rPr>
              <w:t xml:space="preserve">Phase 2</w:t>
            </w:r>
          </w:p>
        </w:tc>
      </w:tr>
      <w:tr>
        <w:tc>
          <w:tcPr>
            <w:tcW w:type="dxa" w:w="2400"/>
            <w:tcBorders>
              <w:top w:val="single" w:color="E2E8F0" w:sz="1"/>
              <w:left w:val="single" w:color="E2E8F0" w:sz="1"/>
              <w:bottom w:val="single" w:color="E2E8F0" w:sz="1"/>
              <w:right w:val="single" w:color="E2E8F0" w:sz="1"/>
            </w:tcBorders>
            <w:tcMar>
              <w:top w:type="dxa" w:w="80"/>
              <w:left w:type="dxa" w:w="120"/>
              <w:bottom w:type="dxa" w:w="80"/>
              <w:right w:type="dxa" w:w="120"/>
            </w:tcMar>
          </w:tcPr>
          <w:p>
            <w:pPr>
              <w:jc w:val="left"/>
            </w:pPr>
            <w:r>
              <w:rPr>
                <w:rFonts w:ascii="Arial" w:cs="Arial" w:eastAsia="Arial" w:hAnsi="Arial"/>
                <w:b/>
                <w:bCs/>
                <w:color w:val="1E293B"/>
                <w:sz w:val="20"/>
                <w:szCs w:val="20"/>
              </w:rPr>
              <w:t xml:space="preserve">Affiliate / CPA</w:t>
            </w:r>
          </w:p>
        </w:tc>
        <w:tc>
          <w:tcPr>
            <w:tcW w:type="dxa" w:w="2400"/>
            <w:tcBorders>
              <w:top w:val="single" w:color="E2E8F0" w:sz="1"/>
              <w:left w:val="single" w:color="E2E8F0" w:sz="1"/>
              <w:bottom w:val="single" w:color="E2E8F0" w:sz="1"/>
              <w:right w:val="single" w:color="E2E8F0" w:sz="1"/>
            </w:tcBorders>
            <w:tcMar>
              <w:top w:type="dxa" w:w="80"/>
              <w:left w:type="dxa" w:w="120"/>
              <w:bottom w:type="dxa" w:w="80"/>
              <w:right w:type="dxa" w:w="120"/>
            </w:tcMar>
          </w:tcPr>
          <w:p>
            <w:pPr>
              <w:jc w:val="left"/>
            </w:pPr>
            <w:r>
              <w:rPr>
                <w:rFonts w:ascii="Arial" w:cs="Arial" w:eastAsia="Arial" w:hAnsi="Arial"/>
                <w:b w:val="false"/>
                <w:bCs w:val="false"/>
                <w:color w:val="475569"/>
                <w:sz w:val="20"/>
                <w:szCs w:val="20"/>
              </w:rPr>
              <w:t xml:space="preserve">Broadband, energy, insurance switches</w:t>
            </w:r>
          </w:p>
        </w:tc>
        <w:tc>
          <w:tcPr>
            <w:tcW w:type="dxa" w:w="2400"/>
            <w:tcBorders>
              <w:top w:val="single" w:color="E2E8F0" w:sz="1"/>
              <w:left w:val="single" w:color="E2E8F0" w:sz="1"/>
              <w:bottom w:val="single" w:color="E2E8F0" w:sz="1"/>
              <w:right w:val="single" w:color="E2E8F0" w:sz="1"/>
            </w:tcBorders>
            <w:tcMar>
              <w:top w:type="dxa" w:w="80"/>
              <w:left w:type="dxa" w:w="120"/>
              <w:bottom w:type="dxa" w:w="80"/>
              <w:right w:type="dxa" w:w="120"/>
            </w:tcMar>
          </w:tcPr>
          <w:p>
            <w:pPr>
              <w:jc w:val="left"/>
            </w:pPr>
            <w:r>
              <w:rPr>
                <w:rFonts w:ascii="Arial" w:cs="Arial" w:eastAsia="Arial" w:hAnsi="Arial"/>
                <w:b w:val="false"/>
                <w:bCs w:val="false"/>
                <w:color w:val="475569"/>
                <w:sz w:val="20"/>
                <w:szCs w:val="20"/>
              </w:rPr>
              <w:t xml:space="preserve">£15–40 per acquisition</w:t>
            </w:r>
          </w:p>
        </w:tc>
        <w:tc>
          <w:tcPr>
            <w:tcW w:type="dxa" w:w="2160"/>
            <w:tcBorders>
              <w:top w:val="single" w:color="E2E8F0" w:sz="1"/>
              <w:left w:val="single" w:color="E2E8F0" w:sz="1"/>
              <w:bottom w:val="single" w:color="E2E8F0" w:sz="1"/>
              <w:right w:val="single" w:color="E2E8F0" w:sz="1"/>
            </w:tcBorders>
            <w:tcMar>
              <w:top w:type="dxa" w:w="80"/>
              <w:left w:type="dxa" w:w="120"/>
              <w:bottom w:type="dxa" w:w="80"/>
              <w:right w:type="dxa" w:w="120"/>
            </w:tcMar>
          </w:tcPr>
          <w:p>
            <w:pPr>
              <w:jc w:val="left"/>
            </w:pPr>
            <w:r>
              <w:rPr>
                <w:rFonts w:ascii="Arial" w:cs="Arial" w:eastAsia="Arial" w:hAnsi="Arial"/>
                <w:b w:val="false"/>
                <w:bCs w:val="false"/>
                <w:color w:val="475569"/>
                <w:sz w:val="20"/>
                <w:szCs w:val="20"/>
              </w:rPr>
              <w:t xml:space="preserve">Phase 2–3</w:t>
            </w:r>
          </w:p>
        </w:tc>
      </w:tr>
    </w:tbl>
    <w:p>
      <w:r>
        <w:br w:type="page"/>
      </w:r>
    </w:p>
    <w:p>
      <w:pPr>
        <w:pStyle w:val="Heading1"/>
      </w:pPr>
      <w:r>
        <w:t xml:space="preserve">8. Build Phases</w:t>
      </w:r>
    </w:p>
    <w:p>
      <w:pPr>
        <w:spacing w:after="120" w:before="120"/>
      </w:pPr>
    </w:p>
    <w:p>
      <w:pPr>
        <w:pStyle w:val="Heading2"/>
      </w:pPr>
      <w:r>
        <w:t xml:space="preserve">Phase 0 — Research &amp; Seed (Now)</w:t>
      </w:r>
    </w:p>
    <w:p>
      <w:pPr>
        <w:pStyle w:val="ListParagraph"/>
        <w:numPr>
          <w:ilvl w:val="0"/>
          <w:numId w:val="2"/>
        </w:numPr>
        <w:spacing w:after="80"/>
      </w:pPr>
      <w:r>
        <w:rPr>
          <w:rFonts w:ascii="Arial" w:cs="Arial" w:eastAsia="Arial" w:hAnsi="Arial"/>
          <w:color w:val="475569"/>
          <w:sz w:val="22"/>
          <w:szCs w:val="22"/>
        </w:rPr>
        <w:t xml:space="preserve">Create Upwork account, post VA Brief 1 (provider research, 4 London boroughs).</w:t>
      </w:r>
    </w:p>
    <w:p>
      <w:pPr>
        <w:pStyle w:val="ListParagraph"/>
        <w:numPr>
          <w:ilvl w:val="0"/>
          <w:numId w:val="2"/>
        </w:numPr>
        <w:spacing w:after="80"/>
      </w:pPr>
      <w:r>
        <w:rPr>
          <w:rFonts w:ascii="Arial" w:cs="Arial" w:eastAsia="Arial" w:hAnsi="Arial"/>
          <w:color w:val="475569"/>
          <w:sz w:val="22"/>
          <w:szCs w:val="22"/>
        </w:rPr>
        <w:t xml:space="preserve">VA builds spreadsheet: 50–100 providers per area across Phase 1 categories.</w:t>
      </w:r>
    </w:p>
    <w:p>
      <w:pPr>
        <w:pStyle w:val="ListParagraph"/>
        <w:numPr>
          <w:ilvl w:val="0"/>
          <w:numId w:val="2"/>
        </w:numPr>
        <w:spacing w:after="80"/>
      </w:pPr>
      <w:r>
        <w:rPr>
          <w:rFonts w:ascii="Arial" w:cs="Arial" w:eastAsia="Arial" w:hAnsi="Arial"/>
          <w:color w:val="475569"/>
          <w:sz w:val="22"/>
          <w:szCs w:val="22"/>
        </w:rPr>
        <w:t xml:space="preserve">Design provider profile page + marketplace browse UI.</w:t>
      </w:r>
    </w:p>
    <w:p>
      <w:pPr>
        <w:pStyle w:val="ListParagraph"/>
        <w:numPr>
          <w:ilvl w:val="0"/>
          <w:numId w:val="2"/>
        </w:numPr>
        <w:spacing w:after="80"/>
      </w:pPr>
      <w:r>
        <w:rPr>
          <w:rFonts w:ascii="Arial" w:cs="Arial" w:eastAsia="Arial" w:hAnsi="Arial"/>
          <w:color w:val="475569"/>
          <w:sz w:val="22"/>
          <w:szCs w:val="22"/>
        </w:rPr>
        <w:t xml:space="preserve">Build Supabase schema: service_categories, providers, coverage_areas, quote_requests, reviews.</w:t>
      </w:r>
    </w:p>
    <w:p>
      <w:pPr>
        <w:pStyle w:val="ListParagraph"/>
        <w:numPr>
          <w:ilvl w:val="0"/>
          <w:numId w:val="2"/>
        </w:numPr>
        <w:spacing w:after="80"/>
      </w:pPr>
      <w:r>
        <w:rPr>
          <w:rFonts w:ascii="Arial" w:cs="Arial" w:eastAsia="Arial" w:hAnsi="Arial"/>
          <w:color w:val="475569"/>
          <w:sz w:val="22"/>
          <w:szCs w:val="22"/>
        </w:rPr>
        <w:t xml:space="preserve">Research and sign introducer agreement with 1–2 mortgage broker partners.</w:t>
      </w:r>
    </w:p>
    <w:p>
      <w:pPr>
        <w:spacing w:after="160"/>
      </w:pPr>
      <w:r>
        <w:rPr>
          <w:rFonts w:ascii="Arial" w:cs="Arial" w:eastAsia="Arial" w:hAnsi="Arial"/>
          <w:b/>
          <w:bCs/>
          <w:color w:val="1E293B"/>
          <w:sz w:val="22"/>
          <w:szCs w:val="22"/>
        </w:rPr>
        <w:t xml:space="preserve">Cost: </w:t>
      </w:r>
      <w:r>
        <w:rPr>
          <w:rFonts w:ascii="Arial" w:cs="Arial" w:eastAsia="Arial" w:hAnsi="Arial"/>
          <w:color w:val="475569"/>
          <w:sz w:val="22"/>
          <w:szCs w:val="22"/>
        </w:rPr>
        <w:t xml:space="preserve">£200–400.  Duration: 2–3 weeks.</w:t>
      </w:r>
    </w:p>
    <w:p>
      <w:pPr>
        <w:spacing w:after="120" w:before="120"/>
      </w:pPr>
    </w:p>
    <w:p>
      <w:pPr>
        <w:pStyle w:val="Heading2"/>
      </w:pPr>
      <w:r>
        <w:t xml:space="preserve">Phase 1 — MVP Marketplace + Mortgage (Month 1–2)</w:t>
      </w:r>
    </w:p>
    <w:p>
      <w:pPr>
        <w:pStyle w:val="ListParagraph"/>
        <w:numPr>
          <w:ilvl w:val="0"/>
          <w:numId w:val="2"/>
        </w:numPr>
        <w:spacing w:after="80"/>
      </w:pPr>
      <w:r>
        <w:rPr>
          <w:rFonts w:ascii="Arial" w:cs="Arial" w:eastAsia="Arial" w:hAnsi="Arial"/>
          <w:color w:val="475569"/>
          <w:sz w:val="22"/>
          <w:szCs w:val="22"/>
        </w:rPr>
        <w:t xml:space="preserve">Marketplace browse + provider profiles + “Request Quote” flow.</w:t>
      </w:r>
    </w:p>
    <w:p>
      <w:pPr>
        <w:pStyle w:val="ListParagraph"/>
        <w:numPr>
          <w:ilvl w:val="0"/>
          <w:numId w:val="2"/>
        </w:numPr>
        <w:spacing w:after="80"/>
      </w:pPr>
      <w:r>
        <w:rPr>
          <w:rFonts w:ascii="Arial" w:cs="Arial" w:eastAsia="Arial" w:hAnsi="Arial"/>
          <w:color w:val="475569"/>
          <w:sz w:val="22"/>
          <w:szCs w:val="22"/>
        </w:rPr>
        <w:t xml:space="preserve">Provider sign-up and claim-listing onboarding flow on Yalla.House.</w:t>
      </w:r>
    </w:p>
    <w:p>
      <w:pPr>
        <w:pStyle w:val="ListParagraph"/>
        <w:numPr>
          <w:ilvl w:val="0"/>
          <w:numId w:val="2"/>
        </w:numPr>
        <w:spacing w:after="80"/>
      </w:pPr>
      <w:r>
        <w:rPr>
          <w:rFonts w:ascii="Arial" w:cs="Arial" w:eastAsia="Arial" w:hAnsi="Arial"/>
          <w:color w:val="475569"/>
          <w:sz w:val="22"/>
          <w:szCs w:val="22"/>
        </w:rPr>
        <w:t xml:space="preserve">Mortgage referral card in hunter dashboard (introducer model, tracked link / API).</w:t>
      </w:r>
    </w:p>
    <w:p>
      <w:pPr>
        <w:pStyle w:val="ListParagraph"/>
        <w:numPr>
          <w:ilvl w:val="0"/>
          <w:numId w:val="2"/>
        </w:numPr>
        <w:spacing w:after="80"/>
      </w:pPr>
      <w:r>
        <w:rPr>
          <w:rFonts w:ascii="Arial" w:cs="Arial" w:eastAsia="Arial" w:hAnsi="Arial"/>
          <w:color w:val="475569"/>
          <w:sz w:val="22"/>
          <w:szCs w:val="22"/>
        </w:rPr>
        <w:t xml:space="preserve">Automated quote matching: top 3 providers notified per request.</w:t>
      </w:r>
    </w:p>
    <w:p>
      <w:pPr>
        <w:pStyle w:val="ListParagraph"/>
        <w:numPr>
          <w:ilvl w:val="0"/>
          <w:numId w:val="2"/>
        </w:numPr>
        <w:spacing w:after="80"/>
      </w:pPr>
      <w:r>
        <w:rPr>
          <w:rFonts w:ascii="Arial" w:cs="Arial" w:eastAsia="Arial" w:hAnsi="Arial"/>
          <w:color w:val="475569"/>
          <w:sz w:val="22"/>
          <w:szCs w:val="22"/>
        </w:rPr>
        <w:t xml:space="preserve">Dashboard widget: “Services you’ll need” on owner/hunter dashboards.</w:t>
      </w:r>
    </w:p>
    <w:p>
      <w:pPr>
        <w:pStyle w:val="ListParagraph"/>
        <w:numPr>
          <w:ilvl w:val="0"/>
          <w:numId w:val="2"/>
        </w:numPr>
        <w:spacing w:after="80"/>
      </w:pPr>
      <w:r>
        <w:rPr>
          <w:rFonts w:ascii="Arial" w:cs="Arial" w:eastAsia="Arial" w:hAnsi="Arial"/>
          <w:color w:val="475569"/>
          <w:sz w:val="22"/>
          <w:szCs w:val="22"/>
        </w:rPr>
        <w:t xml:space="preserve">Seed with unclaimed profiles + VA outreach recruitment.</w:t>
      </w:r>
    </w:p>
    <w:p>
      <w:pPr>
        <w:spacing w:after="160"/>
      </w:pPr>
      <w:r>
        <w:rPr>
          <w:rFonts w:ascii="Arial" w:cs="Arial" w:eastAsia="Arial" w:hAnsi="Arial"/>
          <w:b/>
          <w:bCs/>
          <w:color w:val="1E293B"/>
          <w:sz w:val="22"/>
          <w:szCs w:val="22"/>
        </w:rPr>
        <w:t xml:space="preserve">Revenue: </w:t>
      </w:r>
      <w:r>
        <w:rPr>
          <w:rFonts w:ascii="Arial" w:cs="Arial" w:eastAsia="Arial" w:hAnsi="Arial"/>
          <w:color w:val="475569"/>
          <w:sz w:val="22"/>
          <w:szCs w:val="22"/>
        </w:rPr>
        <w:t xml:space="preserve">£750–2,000/mo (lead fees + mortgage referrals). 200+ providers.</w:t>
      </w:r>
    </w:p>
    <w:p>
      <w:pPr>
        <w:spacing w:after="120" w:before="120"/>
      </w:pPr>
    </w:p>
    <w:p>
      <w:pPr>
        <w:pStyle w:val="Heading2"/>
      </w:pPr>
      <w:r>
        <w:t xml:space="preserve">Phase 2 — Bookings, Payments &amp; Lettings (Month 3–4)</w:t>
      </w:r>
    </w:p>
    <w:p>
      <w:pPr>
        <w:pStyle w:val="ListParagraph"/>
        <w:numPr>
          <w:ilvl w:val="0"/>
          <w:numId w:val="2"/>
        </w:numPr>
        <w:spacing w:after="80"/>
      </w:pPr>
      <w:r>
        <w:rPr>
          <w:rFonts w:ascii="Arial" w:cs="Arial" w:eastAsia="Arial" w:hAnsi="Arial"/>
          <w:color w:val="475569"/>
          <w:sz w:val="22"/>
          <w:szCs w:val="22"/>
        </w:rPr>
        <w:t xml:space="preserve">Stripe Connect for in-platform booking and provider payouts.</w:t>
      </w:r>
    </w:p>
    <w:p>
      <w:pPr>
        <w:pStyle w:val="ListParagraph"/>
        <w:numPr>
          <w:ilvl w:val="0"/>
          <w:numId w:val="2"/>
        </w:numPr>
        <w:spacing w:after="80"/>
      </w:pPr>
      <w:r>
        <w:rPr>
          <w:rFonts w:ascii="Arial" w:cs="Arial" w:eastAsia="Arial" w:hAnsi="Arial"/>
          <w:color w:val="475569"/>
          <w:sz w:val="22"/>
          <w:szCs w:val="22"/>
        </w:rPr>
        <w:t xml:space="preserve">Embedded mortgage comparison widget (Dashly / Twenty7Tec partner).</w:t>
      </w:r>
    </w:p>
    <w:p>
      <w:pPr>
        <w:pStyle w:val="ListParagraph"/>
        <w:numPr>
          <w:ilvl w:val="0"/>
          <w:numId w:val="2"/>
        </w:numPr>
        <w:spacing w:after="80"/>
      </w:pPr>
      <w:r>
        <w:rPr>
          <w:rFonts w:ascii="Arial" w:cs="Arial" w:eastAsia="Arial" w:hAnsi="Arial"/>
          <w:color w:val="475569"/>
          <w:sz w:val="22"/>
          <w:szCs w:val="22"/>
        </w:rPr>
        <w:t xml:space="preserve">Provider dashboard: bookings, calendar, earnings, payout history.</w:t>
      </w:r>
    </w:p>
    <w:p>
      <w:pPr>
        <w:pStyle w:val="ListParagraph"/>
        <w:numPr>
          <w:ilvl w:val="0"/>
          <w:numId w:val="2"/>
        </w:numPr>
        <w:spacing w:after="80"/>
      </w:pPr>
      <w:r>
        <w:rPr>
          <w:rFonts w:ascii="Arial" w:cs="Arial" w:eastAsia="Arial" w:hAnsi="Arial"/>
          <w:color w:val="475569"/>
          <w:sz w:val="22"/>
          <w:szCs w:val="22"/>
        </w:rPr>
        <w:t xml:space="preserve">Review system + featured listing subscriptions.</w:t>
      </w:r>
    </w:p>
    <w:p>
      <w:pPr>
        <w:pStyle w:val="ListParagraph"/>
        <w:numPr>
          <w:ilvl w:val="0"/>
          <w:numId w:val="2"/>
        </w:numPr>
        <w:spacing w:after="80"/>
      </w:pPr>
      <w:r>
        <w:rPr>
          <w:rFonts w:ascii="Arial" w:cs="Arial" w:eastAsia="Arial" w:hAnsi="Arial"/>
          <w:color w:val="475569"/>
          <w:sz w:val="22"/>
          <w:szCs w:val="22"/>
        </w:rPr>
        <w:t xml:space="preserve">Lettings add-ons: gas safety, EICR, referencing, inventory.</w:t>
      </w:r>
    </w:p>
    <w:p>
      <w:pPr>
        <w:spacing w:after="160"/>
      </w:pPr>
      <w:r>
        <w:rPr>
          <w:rFonts w:ascii="Arial" w:cs="Arial" w:eastAsia="Arial" w:hAnsi="Arial"/>
          <w:b/>
          <w:bCs/>
          <w:color w:val="1E293B"/>
          <w:sz w:val="22"/>
          <w:szCs w:val="22"/>
        </w:rPr>
        <w:t xml:space="preserve">Revenue: </w:t>
      </w:r>
      <w:r>
        <w:rPr>
          <w:rFonts w:ascii="Arial" w:cs="Arial" w:eastAsia="Arial" w:hAnsi="Arial"/>
          <w:color w:val="475569"/>
          <w:sz w:val="22"/>
          <w:szCs w:val="22"/>
        </w:rPr>
        <w:t xml:space="preserve">£3,000–8,000/mo. 500+ providers.</w:t>
      </w:r>
    </w:p>
    <w:p>
      <w:pPr>
        <w:spacing w:after="120" w:before="120"/>
      </w:pPr>
    </w:p>
    <w:p>
      <w:pPr>
        <w:pStyle w:val="Heading2"/>
      </w:pPr>
      <w:r>
        <w:t xml:space="preserve">Phase 3 — Moving Orchestration &amp; Scale (Month 5+)</w:t>
      </w:r>
    </w:p>
    <w:p>
      <w:pPr>
        <w:pStyle w:val="ListParagraph"/>
        <w:numPr>
          <w:ilvl w:val="0"/>
          <w:numId w:val="2"/>
        </w:numPr>
        <w:spacing w:after="80"/>
      </w:pPr>
      <w:r>
        <w:rPr>
          <w:rFonts w:ascii="Arial" w:cs="Arial" w:eastAsia="Arial" w:hAnsi="Arial"/>
          <w:color w:val="475569"/>
          <w:sz w:val="22"/>
          <w:szCs w:val="22"/>
        </w:rPr>
        <w:t xml:space="preserve">Moving services: removals, broadband/energy comparison, address updater.</w:t>
      </w:r>
    </w:p>
    <w:p>
      <w:pPr>
        <w:pStyle w:val="ListParagraph"/>
        <w:numPr>
          <w:ilvl w:val="0"/>
          <w:numId w:val="2"/>
        </w:numPr>
        <w:spacing w:after="80"/>
      </w:pPr>
      <w:r>
        <w:rPr>
          <w:rFonts w:ascii="Arial" w:cs="Arial" w:eastAsia="Arial" w:hAnsi="Arial"/>
          <w:color w:val="475569"/>
          <w:sz w:val="22"/>
          <w:szCs w:val="22"/>
        </w:rPr>
        <w:t xml:space="preserve">Partner APIs for broadband, energy, insurance (CPA revenue).</w:t>
      </w:r>
    </w:p>
    <w:p>
      <w:pPr>
        <w:pStyle w:val="ListParagraph"/>
        <w:numPr>
          <w:ilvl w:val="0"/>
          <w:numId w:val="2"/>
        </w:numPr>
        <w:spacing w:after="80"/>
      </w:pPr>
      <w:r>
        <w:rPr>
          <w:rFonts w:ascii="Arial" w:cs="Arial" w:eastAsia="Arial" w:hAnsi="Arial"/>
          <w:color w:val="475569"/>
          <w:sz w:val="22"/>
          <w:szCs w:val="22"/>
        </w:rPr>
        <w:t xml:space="preserve">AI recommendations based on journey stage + property data.</w:t>
      </w:r>
    </w:p>
    <w:p>
      <w:pPr>
        <w:pStyle w:val="ListParagraph"/>
        <w:numPr>
          <w:ilvl w:val="0"/>
          <w:numId w:val="2"/>
        </w:numPr>
        <w:spacing w:after="80"/>
      </w:pPr>
      <w:r>
        <w:rPr>
          <w:rFonts w:ascii="Arial" w:cs="Arial" w:eastAsia="Arial" w:hAnsi="Arial"/>
          <w:color w:val="475569"/>
          <w:sz w:val="22"/>
          <w:szCs w:val="22"/>
        </w:rPr>
        <w:t xml:space="preserve">Expand to new areas. Evaluate AR status for mortgage advice.</w:t>
      </w:r>
    </w:p>
    <w:p>
      <w:pPr>
        <w:spacing w:after="160"/>
      </w:pPr>
      <w:r>
        <w:rPr>
          <w:rFonts w:ascii="Arial" w:cs="Arial" w:eastAsia="Arial" w:hAnsi="Arial"/>
          <w:b/>
          <w:bCs/>
          <w:color w:val="1E293B"/>
          <w:sz w:val="22"/>
          <w:szCs w:val="22"/>
        </w:rPr>
        <w:t xml:space="preserve">Revenue: </w:t>
      </w:r>
      <w:r>
        <w:rPr>
          <w:rFonts w:ascii="Arial" w:cs="Arial" w:eastAsia="Arial" w:hAnsi="Arial"/>
          <w:color w:val="475569"/>
          <w:sz w:val="22"/>
          <w:szCs w:val="22"/>
        </w:rPr>
        <w:t xml:space="preserve">Target £10,000+/mo across all channels.</w:t>
      </w:r>
    </w:p>
    <w:p>
      <w:pPr>
        <w:pStyle w:val="Heading1"/>
      </w:pPr>
      <w:r>
        <w:t xml:space="preserve">9. Immediate Next Steps</w:t>
      </w:r>
    </w:p>
    <w:p>
      <w:pPr>
        <w:spacing w:after="120" w:before="120"/>
      </w:pPr>
    </w:p>
    <w:p>
      <w:pPr>
        <w:pStyle w:val="ListParagraph"/>
        <w:numPr>
          <w:ilvl w:val="0"/>
          <w:numId w:val="2"/>
        </w:numPr>
        <w:spacing w:after="80"/>
      </w:pPr>
      <w:r>
        <w:rPr>
          <w:rFonts w:ascii="Arial" w:cs="Arial" w:eastAsia="Arial" w:hAnsi="Arial"/>
          <w:color w:val="475569"/>
          <w:sz w:val="22"/>
          <w:szCs w:val="22"/>
        </w:rPr>
        <w:t xml:space="preserve">Create Upwork client account (admin@yalla.house).</w:t>
      </w:r>
    </w:p>
    <w:p>
      <w:pPr>
        <w:pStyle w:val="ListParagraph"/>
        <w:numPr>
          <w:ilvl w:val="0"/>
          <w:numId w:val="2"/>
        </w:numPr>
        <w:spacing w:after="80"/>
      </w:pPr>
      <w:r>
        <w:rPr>
          <w:rFonts w:ascii="Arial" w:cs="Arial" w:eastAsia="Arial" w:hAnsi="Arial"/>
          <w:color w:val="475569"/>
          <w:sz w:val="22"/>
          <w:szCs w:val="22"/>
        </w:rPr>
        <w:t xml:space="preserve">Post VA Brief: provider research in East London, 4 categories, 4 boroughs.</w:t>
      </w:r>
    </w:p>
    <w:p>
      <w:pPr>
        <w:pStyle w:val="ListParagraph"/>
        <w:numPr>
          <w:ilvl w:val="0"/>
          <w:numId w:val="2"/>
        </w:numPr>
        <w:spacing w:after="80"/>
      </w:pPr>
      <w:r>
        <w:rPr>
          <w:rFonts w:ascii="Arial" w:cs="Arial" w:eastAsia="Arial" w:hAnsi="Arial"/>
          <w:color w:val="475569"/>
          <w:sz w:val="22"/>
          <w:szCs w:val="22"/>
        </w:rPr>
        <w:t xml:space="preserve">Contact Habito / L&amp;C / Mojo for introducer agreement.</w:t>
      </w:r>
    </w:p>
    <w:p>
      <w:pPr>
        <w:pStyle w:val="ListParagraph"/>
        <w:numPr>
          <w:ilvl w:val="0"/>
          <w:numId w:val="2"/>
        </w:numPr>
        <w:spacing w:after="80"/>
      </w:pPr>
      <w:r>
        <w:rPr>
          <w:rFonts w:ascii="Arial" w:cs="Arial" w:eastAsia="Arial" w:hAnsi="Arial"/>
          <w:color w:val="475569"/>
          <w:sz w:val="22"/>
          <w:szCs w:val="22"/>
        </w:rPr>
        <w:t xml:space="preserve">Build Supabase marketplace schema (this session).</w:t>
      </w:r>
    </w:p>
    <w:p>
      <w:pPr>
        <w:pStyle w:val="ListParagraph"/>
        <w:numPr>
          <w:ilvl w:val="0"/>
          <w:numId w:val="2"/>
        </w:numPr>
        <w:spacing w:after="80"/>
      </w:pPr>
      <w:r>
        <w:rPr>
          <w:rFonts w:ascii="Arial" w:cs="Arial" w:eastAsia="Arial" w:hAnsi="Arial"/>
          <w:color w:val="475569"/>
          <w:sz w:val="22"/>
          <w:szCs w:val="22"/>
        </w:rPr>
        <w:t xml:space="preserve">Build provider sign-up and onboarding flow (this session).</w:t>
      </w:r>
    </w:p>
    <w:p>
      <w:pPr>
        <w:pStyle w:val="ListParagraph"/>
        <w:numPr>
          <w:ilvl w:val="0"/>
          <w:numId w:val="2"/>
        </w:numPr>
        <w:spacing w:after="80"/>
      </w:pPr>
      <w:r>
        <w:rPr>
          <w:rFonts w:ascii="Arial" w:cs="Arial" w:eastAsia="Arial" w:hAnsi="Arial"/>
          <w:color w:val="475569"/>
          <w:sz w:val="22"/>
          <w:szCs w:val="22"/>
        </w:rPr>
        <w:t xml:space="preserve">Design marketplace browse page and dashboard service widget.</w:t>
      </w:r>
    </w:p>
    <w:p>
      <w:pPr>
        <w:pStyle w:val="ListParagraph"/>
        <w:numPr>
          <w:ilvl w:val="0"/>
          <w:numId w:val="2"/>
        </w:numPr>
        <w:spacing w:after="80"/>
      </w:pPr>
      <w:r>
        <w:rPr>
          <w:rFonts w:ascii="Arial" w:cs="Arial" w:eastAsia="Arial" w:hAnsi="Arial"/>
          <w:color w:val="475569"/>
          <w:sz w:val="22"/>
          <w:szCs w:val="22"/>
        </w:rPr>
        <w:t xml:space="preserve">When VA delivers spreadsheet: post outreach brief with Yalla sign-up links.</w:t>
      </w:r>
    </w:p>
    <w:p>
      <w:pPr>
        <w:pStyle w:val="ListParagraph"/>
        <w:numPr>
          <w:ilvl w:val="0"/>
          <w:numId w:val="2"/>
        </w:numPr>
        <w:spacing w:after="80"/>
      </w:pPr>
      <w:r>
        <w:rPr>
          <w:rFonts w:ascii="Arial" w:cs="Arial" w:eastAsia="Arial" w:hAnsi="Arial"/>
          <w:color w:val="475569"/>
          <w:sz w:val="22"/>
          <w:szCs w:val="22"/>
        </w:rPr>
        <w:t xml:space="preserve">Seed unclaimed profiles from Checkatrade, Law Society, RICS.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4A3B8"/>
        <w:sz w:val="18"/>
        <w:szCs w:val="18"/>
      </w:rPr>
      <w:t xml:space="preserve">Page </w:t>
    </w:r>
    <w:r>
      <w:rPr>
        <w:rFonts w:ascii="Arial" w:cs="Arial" w:eastAsia="Arial" w:hAnsi="Arial"/>
        <w:color w:val="94A3B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94A3B8"/>
        <w:sz w:val="18"/>
        <w:szCs w:val="18"/>
      </w:rPr>
      <w:t xml:space="preserve">Yalla.House  ·  Services Marketplace Strategy v2.1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E293B"/>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E293B"/>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D4764E"/>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1E293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2026-04-17T13:40:00.151Z</dcterms:created>
  <dcterms:modified xsi:type="dcterms:W3CDTF">2026-04-17T13:40:00.151Z</dcterms:modified>
</cp:coreProperties>
</file>

<file path=docProps/custom.xml><?xml version="1.0" encoding="utf-8"?>
<Properties xmlns="http://schemas.openxmlformats.org/officeDocument/2006/custom-properties" xmlns:vt="http://schemas.openxmlformats.org/officeDocument/2006/docPropsVTypes"/>
</file>