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Trust &amp; Accuracy Contract v0.1</w:t>
      </w:r>
    </w:p>
    <w:p>
      <w:r>
        <w:t>For UEH Observer Infrastructure (English Official Version)</w:t>
      </w:r>
    </w:p>
    <w:p>
      <w:pPr>
        <w:pStyle w:val="Heading2"/>
      </w:pPr>
      <w:r>
        <w:t>0. Purpose</w:t>
      </w:r>
    </w:p>
    <w:p>
      <w:r>
        <w:t>This system is a non-executing, non-optimizing, non-advisory observer infrastructure. Accuracy is defined not as predictive correctness, but as verifiable observation of on-chain state, including freshness, consistency, and provenance.</w:t>
      </w:r>
    </w:p>
    <w:p>
      <w:pPr>
        <w:pStyle w:val="Heading2"/>
      </w:pPr>
      <w:r>
        <w:t>1. Accuracy Definition</w:t>
      </w:r>
    </w:p>
    <w:p>
      <w:r>
        <w:t>Accuracy within this infrastructure consists of four core components:</w:t>
        <w:br/>
        <w:t>1. Correctness – Values must reflect actual on-chain protocol state.</w:t>
        <w:br/>
        <w:t>2. Freshness – Data must be associated with block number, update time, and lag.</w:t>
        <w:br/>
        <w:t>3. Consistency – Multiple data sources must be cross-validated.</w:t>
        <w:br/>
        <w:t>4. Provenance – All displayed values must have transparent data origin.</w:t>
      </w:r>
    </w:p>
    <w:p>
      <w:pPr>
        <w:pStyle w:val="Heading2"/>
      </w:pPr>
      <w:r>
        <w:t>2. Mandatory Trust Metadata</w:t>
      </w:r>
    </w:p>
    <w:p>
      <w:r>
        <w:t>Every board output must include:</w:t>
        <w:br/>
        <w:t>- Data Block Number</w:t>
        <w:br/>
        <w:t>- Lag (blocks or seconds)</w:t>
        <w:br/>
        <w:t>- Source Status (primary / secondary)</w:t>
        <w:br/>
        <w:t>- Last Update timestamp</w:t>
      </w:r>
    </w:p>
    <w:p>
      <w:pPr>
        <w:pStyle w:val="Heading2"/>
      </w:pPr>
      <w:r>
        <w:t>3. Refusal Protocol (Core UEH Principle)</w:t>
      </w:r>
    </w:p>
    <w:p>
      <w:r>
        <w:t>If data integrity cannot be guaranteed, the system must not assert uncertain metrics. Instead, it must enter either DEGRADED or REFUSAL state.</w:t>
        <w:br/>
        <w:br/>
        <w:t>Refusal Conditions:</w:t>
        <w:br/>
        <w:t>- Inconsistent block data across sources</w:t>
        <w:br/>
        <w:t>- RPC timeout or instability</w:t>
        <w:br/>
        <w:t>- Stale oracle data</w:t>
        <w:br/>
        <w:t>- Boundary-zone uncertainty with unreliable freshness</w:t>
      </w:r>
    </w:p>
    <w:p>
      <w:pPr>
        <w:pStyle w:val="Heading2"/>
      </w:pPr>
      <w:r>
        <w:t>4. Boundary-Aware Accuracy</w:t>
      </w:r>
    </w:p>
    <w:p>
      <w:r>
        <w:t>When the system detects proximity to liquidation boundaries (e.g., low Health Factor), it must automatically increase verification strictness, shorten update intervals, and elevate trust checks. This behavior mirrors high-priority real-time infrastructure signaling.</w:t>
      </w:r>
    </w:p>
    <w:p>
      <w:pPr>
        <w:pStyle w:val="Heading2"/>
      </w:pPr>
      <w:r>
        <w:t>5. Update Model</w:t>
      </w:r>
    </w:p>
    <w:p>
      <w:r>
        <w:t>The system adopts a periodic observer model rather than pseudo real-time streaming.</w:t>
        <w:br/>
        <w:t>Recommended MVP interval: 15 seconds.</w:t>
        <w:br/>
        <w:t>Each output must clearly display the last update time to prevent false real-time assumptions.</w:t>
      </w:r>
    </w:p>
    <w:p>
      <w:pPr>
        <w:pStyle w:val="Heading2"/>
      </w:pPr>
      <w:r>
        <w:t>6. Non-Advisory Integrity Clause</w:t>
      </w:r>
    </w:p>
    <w:p>
      <w:r>
        <w:t>This infrastructure strictly does NOT:</w:t>
        <w:br/>
        <w:t>- Execute transactions</w:t>
        <w:br/>
        <w:t>- Provide financial advice</w:t>
        <w:br/>
        <w:t>- Recommend user actions</w:t>
        <w:br/>
        <w:t>- Optimize positions</w:t>
        <w:br/>
        <w:br/>
        <w:t>It only exposes state, boundaries, and observation data.</w:t>
      </w:r>
    </w:p>
    <w:p>
      <w:pPr>
        <w:pStyle w:val="Heading2"/>
      </w:pPr>
      <w:r>
        <w:t>7. Survivability &amp; Error Philosophy</w:t>
      </w:r>
    </w:p>
    <w:p>
      <w:r>
        <w:t>Priority order:</w:t>
        <w:br/>
        <w:t>1. Accurate Display</w:t>
        <w:br/>
        <w:t>2. Degraded Display</w:t>
        <w:br/>
        <w:t>3. Refusal</w:t>
        <w:br/>
        <w:t>4. Silence (last resort)</w:t>
        <w:br/>
        <w:br/>
        <w:t>Displaying incorrect certainty is considered the highest trust violation.</w:t>
      </w:r>
    </w:p>
    <w:p>
      <w:r>
        <w:br w:type="page"/>
      </w:r>
    </w:p>
    <w:p>
      <w:pPr>
        <w:pStyle w:val="Heading1"/>
      </w:pPr>
      <w:r>
        <w:t>CLI Output Format Spec v0.1</w:t>
      </w:r>
    </w:p>
    <w:p>
      <w:r>
        <w:t>UEH Observer Board Mode (Aave v3 / Ethereum)</w:t>
      </w:r>
    </w:p>
    <w:p>
      <w:pPr>
        <w:pStyle w:val="Heading2"/>
      </w:pPr>
      <w:r>
        <w:t>1. Design Philosophy</w:t>
      </w:r>
    </w:p>
    <w:p>
      <w:r>
        <w:t>The CLI behaves like a high-speed highway information board:</w:t>
        <w:br/>
        <w:t>- Short</w:t>
        <w:br/>
        <w:t>- High-density</w:t>
        <w:br/>
        <w:t>- Non-intrusive</w:t>
        <w:br/>
        <w:t>- Trust-transparent</w:t>
        <w:br/>
        <w:t>- No advisory language</w:t>
      </w:r>
    </w:p>
    <w:p>
      <w:pPr>
        <w:pStyle w:val="Heading2"/>
      </w:pPr>
      <w:r>
        <w:t>2. Standard Board Layout (Fixed Order)</w:t>
      </w:r>
    </w:p>
    <w:p>
      <w:r>
        <w:t>1. Header (System + Protocol + Chain)</w:t>
        <w:br/>
        <w:t>2. Wallet Identifier</w:t>
        <w:br/>
        <w:t>3. Core Metrics (HF, LiqDist, Collateral, Debt, LTV)</w:t>
        <w:br/>
        <w:t>4. Trust Metadata (Block, Lag, Sources)</w:t>
        <w:br/>
        <w:t>5. Status Line</w:t>
        <w:br/>
        <w:t>6. Update Footer</w:t>
      </w:r>
    </w:p>
    <w:p>
      <w:pPr>
        <w:pStyle w:val="Heading2"/>
      </w:pPr>
      <w:r>
        <w:t>3. Standard Output Example (STABLE)</w:t>
      </w:r>
    </w:p>
    <w:p>
      <w:r>
        <w:t>[UEH OBSERVER BOARD]  Aave v3 | Ethereum</w:t>
        <w:br/>
        <w:t>Wallet: 0xXXXX...XXXX</w:t>
        <w:br/>
        <w:br/>
        <w:t>HF: 1.23</w:t>
        <w:br/>
        <w:t>LiqDist: 9.4%</w:t>
        <w:br/>
        <w:t>Coll(USD): 12,483.21</w:t>
        <w:br/>
        <w:t>Debt(USD): 8,972.10</w:t>
        <w:br/>
        <w:t>LTV: 71.9%   LT: 79.5%</w:t>
        <w:br/>
        <w:br/>
        <w:t>Block: 19,283,746 (lag 0)</w:t>
        <w:br/>
        <w:t>OracleAge: 34s</w:t>
        <w:br/>
        <w:t>Source: primary(ok) / secondary(ok)</w:t>
        <w:br/>
        <w:br/>
        <w:t>Status: STABLE</w:t>
        <w:br/>
        <w:t>LastUpdate: 12s ago   NextCheck: 15s</w:t>
      </w:r>
    </w:p>
    <w:p>
      <w:pPr>
        <w:pStyle w:val="Heading2"/>
      </w:pPr>
      <w:r>
        <w:t>4. Status Vocabulary (Fixed)</w:t>
      </w:r>
    </w:p>
    <w:p>
      <w:r>
        <w:t>- STABLE</w:t>
        <w:br/>
        <w:t>- WATCH</w:t>
        <w:br/>
        <w:t>- BOUNDARY_APPROACHING</w:t>
        <w:br/>
        <w:t>- DEGRADED</w:t>
        <w:br/>
        <w:t>- REFUSAL</w:t>
      </w:r>
    </w:p>
    <w:p>
      <w:pPr>
        <w:pStyle w:val="Heading2"/>
      </w:pPr>
      <w:r>
        <w:t>5. Reason Codes (Machine Readable)</w:t>
      </w:r>
    </w:p>
    <w:p>
      <w:r>
        <w:t>- inconsistent_sources</w:t>
        <w:br/>
        <w:t>- timeout</w:t>
        <w:br/>
        <w:t>- rate_limited</w:t>
        <w:br/>
        <w:t>- stale_oracle</w:t>
        <w:br/>
        <w:t>- secondary_unavailable</w:t>
        <w:br/>
        <w:t>- unexpected_response</w:t>
        <w:br/>
        <w:t>- internal_error</w:t>
      </w:r>
    </w:p>
    <w:p>
      <w:pPr>
        <w:pStyle w:val="Heading2"/>
      </w:pPr>
      <w:r>
        <w:t>6. Command Structure (MVP)</w:t>
      </w:r>
    </w:p>
    <w:p>
      <w:r>
        <w:t>Live Board:</w:t>
        <w:br/>
        <w:t>ueh board --chain eth --protocol aavev3 --wallet &lt;address&gt; --interval 15s</w:t>
        <w:br/>
        <w:br/>
        <w:t>Single Scan:</w:t>
        <w:br/>
        <w:t>ueh scan --chain eth --protocol aavev3 --wallet &lt;address&gt;</w:t>
        <w:br/>
        <w:br/>
        <w:t>JSON Mode:</w:t>
        <w:br/>
        <w:t>ueh board --wallet &lt;address&gt; --json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