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 1</w:t>
      </w:r>
    </w:p>
    <w:p>
      <w:pPr>
        <w:pStyle w:val="Author"/>
      </w:pPr>
      <w:r>
        <w:t xml:space="preserve">Takashi Iida</w:t>
      </w:r>
    </w:p>
    <w:p>
      <w:pPr>
        <w:pStyle w:val="FirstParagraph"/>
      </w:pPr>
      <w:r>
        <w:t xml:space="preserve">Table 1. Characteristics of Participants in the Health and Retirement Study by Housing Stress Status at baseline (Wave 8, 2006) (N=7,097)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table1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W w:type="pct" w:w="5000"/>
              <w:tblLook w:firstRow="1" w:lastRow="0" w:firstColumn="0" w:lastColumn="0" w:noHBand="0" w:noVBand="1"/>
            </w:tblPr>
            <w:tr>
              <w:trPr>
                <w:trHeight w:val="827" w:hRule="auto"/>
                <w:tblHeader/>
              </w:trPr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Characteristic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Overall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7744)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 Housing Stress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6944)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Housing Stress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br/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(n = 800)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Age, mean(SD)(years)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 (11)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67 (11)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 (10)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Sex, n(%)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3,301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2,984 (43%)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317 (40%)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Female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4,443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3,960 (57%)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483 (60%)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Race and ethnicity, n(%)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Non-Hispanic White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6,023 (78%)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5,558 (80%)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465 (58%)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Non-Hispanic Black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965 (12%)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764 (11%)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201 (25%)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Hispanic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591 (7.6%)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498 (7.2%)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93 (12%)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Non-Hispanic Other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165 (2.1%)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124 (1.8%)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41 (5.1%)</w:t>
                  </w:r>
                </w:p>
              </w:tc>
            </w:tr>
            <w:tr>
              <w:trPr>
                <w:trHeight w:val="61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Education, n(%)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/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College and above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1,711 (22%)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1,608 (23%)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103 (13%)</w:t>
                  </w:r>
                </w:p>
              </w:tc>
            </w:tr>
            <w:tr>
              <w:trPr>
                <w:trHeight w:val="621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Some college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1,776 (23%)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1,607 (23%)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169 (21%)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High school diplomas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2,459 (32%)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2,219 (32%)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240 (30%)</w:t>
                  </w:r>
                </w:p>
              </w:tc>
            </w:tr>
            <w:tr>
              <w:trPr>
                <w:trHeight w:val="619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General Educational Diploma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364 (4.7%)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309 (4.5%)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55 (6.9%)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3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Less than high school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1,433 (19%)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1,200 (17%)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233 (29%)</w:t>
                  </w:r>
                </w:p>
              </w:tc>
            </w:tr>
            <w:tr>
              <w:trPr>
                <w:trHeight w:val="626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Household income, median(IQR)($)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40,974 (21,648, 77,980)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43,161 (23,336, 81,042)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25,971 (13,200, 47,050)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Current smoker, n(%)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1,042 (14%)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856 (12%)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186 (23%)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Comorbidity index (0–8), mean(SD)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1.90 (1.39)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1.85 (1.37)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2.26 (1.57)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Immediate word recall (0–10), mean(SD)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5.54 (1.59)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5.57 (1.58)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5.22 (1.58)</w:t>
                  </w:r>
                </w:p>
              </w:tc>
            </w:tr>
            <w:tr>
              <w:trPr>
                <w:trHeight w:val="62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Delayed word recall (0–10), mean(SD)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4.42 (1.93)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4.47 (1.92)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4.03 (1.95)</w:t>
                  </w:r>
                </w:p>
              </w:tc>
            </w:tr>
            <w:tr>
              <w:trPr>
                <w:trHeight w:val="618" w:hRule="auto"/>
              </w:trPr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Serial 7's (0–5), mean(SD)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3.64 (1.65)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3.70 (1.61)</w:t>
                  </w:r>
                </w:p>
              </w:tc>
              <w:tc>
                <w:tcPr>
                  <w:tcBorders>
                    <w:bottom w:val="single" w:sz="8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top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3.09 (1.83)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gridSpan w:val="4"/>
                  <w:tcBorders>
                    <w:bottom w:val="none" w:sz="0" w:space="0" w:color="FFFFFF"/>
                    <w:top w:val="single" w:sz="8" w:space="0" w:color="000000"/>
                    <w:left w:val="none" w:sz="0" w:space="0" w:color="FFFFFF"/>
                    <w:right w:val="none" w:sz="0" w:space="0" w:color="FFFFFF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Helvetica" w:hAnsi="Helvetica" w:eastAsia="Helvetica" w:cs="Helvetica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Mean (SD); n (%); Median (Q1, Q3)</w:t>
                  </w:r>
                </w:p>
              </w:tc>
            </w:tr>
          </w:tbl>
          <w:bookmarkEnd w:id="20"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</dc:title>
  <dc:creator>Takashi Iida</dc:creator>
  <cp:keywords/>
  <dcterms:created xsi:type="dcterms:W3CDTF">2026-05-11T17:13:02Z</dcterms:created>
  <dcterms:modified xsi:type="dcterms:W3CDTF">2026-05-11T17:13:02Z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