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Times New Roman" w:hAnsi="Times New Roman"/>
          <w:color w:val="000000"/>
        </w:rPr>
        <w:t>Figure Captions</w:t>
      </w: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Main Figures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1. </w:t>
      </w:r>
      <w:r>
        <w:rPr>
          <w:rFonts w:ascii="Times New Roman" w:hAnsi="Times New Roman"/>
          <w:b w:val="0"/>
          <w:i w:val="0"/>
          <w:sz w:val="24"/>
        </w:rPr>
        <w:t>Experimental design. Four planting configurations (A, B, C, D) and rhizobox tube geometry. Upper panels show the top-down planting layout for each configuration; lower panels show the longitudinal cross-section and azimuthal cross-section of the minirhizotron tube placement within the 200 cm rhizobox.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2. </w:t>
      </w:r>
      <w:r>
        <w:rPr>
          <w:rFonts w:ascii="Times New Roman" w:hAnsi="Times New Roman"/>
          <w:b w:val="0"/>
          <w:i w:val="0"/>
          <w:sz w:val="24"/>
        </w:rPr>
        <w:t xml:space="preserve">Root system architecture and minirhizotron observation principle. </w:t>
      </w:r>
      <w:r>
        <w:rPr>
          <w:rFonts w:ascii="Times New Roman" w:hAnsi="Times New Roman"/>
          <w:b/>
          <w:i w:val="0"/>
          <w:sz w:val="24"/>
        </w:rPr>
        <w:t>(a)</w:t>
      </w:r>
      <w:r>
        <w:rPr>
          <w:rFonts w:ascii="Times New Roman" w:hAnsi="Times New Roman"/>
          <w:b w:val="0"/>
          <w:i w:val="0"/>
          <w:sz w:val="24"/>
        </w:rPr>
        <w:t xml:space="preserve"> Example three-dimensional root system architecture simulated by the functional-structural plant model (FSPM) for two plants in configuration B at day 84 (true parameter set), rendered with CairoMakie. </w:t>
      </w:r>
      <w:r>
        <w:rPr>
          <w:rFonts w:ascii="Times New Roman" w:hAnsi="Times New Roman"/>
          <w:b/>
          <w:i w:val="0"/>
          <w:sz w:val="24"/>
        </w:rPr>
        <w:t>(b)</w:t>
      </w:r>
      <w:r>
        <w:rPr>
          <w:rFonts w:ascii="Times New Roman" w:hAnsi="Times New Roman"/>
          <w:b w:val="0"/>
          <w:i w:val="0"/>
          <w:sz w:val="24"/>
        </w:rPr>
        <w:t xml:space="preserve"> Simulated field-of-view (FOV) images at successive observation stations along the minirhizotron tube (sky-facing azimuth, az = 0 deg), illustrating the pixel-accurate observation model used to generate training and test data.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3. </w:t>
      </w:r>
      <w:r>
        <w:rPr>
          <w:rFonts w:ascii="Times New Roman" w:hAnsi="Times New Roman"/>
          <w:b w:val="0"/>
          <w:i w:val="0"/>
          <w:sz w:val="24"/>
        </w:rPr>
        <w:t xml:space="preserve">Parameter recovery for Scenario 1 (all eight parameters unknown),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7 observation seeds. Each panel shows predicted versus true parameter values for the N = 20 test cases, coloured by planting configuration (A, B, C, D). The dashed line is the 1:1 reference line; </w:t>
      </w:r>
      <w:r>
        <w:rPr>
          <w:rFonts w:ascii="Times New Roman" w:hAnsi="Times New Roman"/>
          <w:b w:val="0"/>
          <w:i/>
          <w:sz w:val="24"/>
        </w:rPr>
        <w:t>R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4"/>
        </w:rPr>
        <w:t xml:space="preserve"> is annotated on each panel. </w:t>
      </w:r>
      <w:r>
        <w:rPr>
          <w:rFonts w:ascii="Times New Roman" w:hAnsi="Times New Roman"/>
          <w:b/>
          <w:i w:val="0"/>
          <w:sz w:val="24"/>
        </w:rPr>
        <w:t>Upper block:</w:t>
      </w:r>
      <w:r>
        <w:rPr>
          <w:rFonts w:ascii="Times New Roman" w:hAnsi="Times New Roman"/>
          <w:b w:val="0"/>
          <w:i w:val="0"/>
          <w:sz w:val="24"/>
        </w:rPr>
        <w:t xml:space="preserve"> elongation parameters (</w:t>
      </w:r>
      <w:r>
        <w:rPr>
          <w:rFonts w:ascii="Times New Roman" w:hAnsi="Times New Roman"/>
          <w:b w:val="0"/>
          <w:i/>
          <w:sz w:val="24"/>
        </w:rPr>
        <w:t>r</w:t>
      </w:r>
      <w:r>
        <w:rPr>
          <w:rFonts w:ascii="Times New Roman" w:hAnsi="Times New Roman"/>
          <w:b w:val="0"/>
          <w:i w:val="0"/>
          <w:sz w:val="24"/>
          <w:vertAlign w:val="subscript"/>
        </w:rPr>
        <w:t>min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r</w:t>
      </w:r>
      <w:r>
        <w:rPr>
          <w:rFonts w:ascii="Times New Roman" w:hAnsi="Times New Roman"/>
          <w:b w:val="0"/>
          <w:i w:val="0"/>
          <w:sz w:val="24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  <w:vertAlign w:val="subscript"/>
        </w:rPr>
        <w:t>e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t</w:t>
      </w:r>
      <w:r>
        <w:rPr>
          <w:rFonts w:ascii="Times New Roman" w:hAnsi="Times New Roman"/>
          <w:b w:val="0"/>
          <w:i w:val="0"/>
          <w:sz w:val="24"/>
          <w:vertAlign w:val="subscript"/>
        </w:rPr>
        <w:t>50</w:t>
      </w:r>
      <w:r>
        <w:rPr>
          <w:rFonts w:ascii="Times New Roman" w:hAnsi="Times New Roman"/>
          <w:b w:val="0"/>
          <w:i w:val="0"/>
          <w:sz w:val="24"/>
        </w:rPr>
        <w:t xml:space="preserve">). </w:t>
      </w:r>
      <w:r>
        <w:rPr>
          <w:rFonts w:ascii="Times New Roman" w:hAnsi="Times New Roman"/>
          <w:b/>
          <w:i w:val="0"/>
          <w:sz w:val="24"/>
        </w:rPr>
        <w:t>Lower block:</w:t>
      </w:r>
      <w:r>
        <w:rPr>
          <w:rFonts w:ascii="Times New Roman" w:hAnsi="Times New Roman"/>
          <w:b w:val="0"/>
          <w:i w:val="0"/>
          <w:sz w:val="24"/>
        </w:rPr>
        <w:t xml:space="preserve"> architectural parameters (theta, </w:t>
      </w:r>
      <w:r>
        <w:rPr>
          <w:rFonts w:ascii="Times New Roman" w:hAnsi="Times New Roman"/>
          <w:b w:val="0"/>
          <w:i/>
          <w:sz w:val="24"/>
        </w:rPr>
        <w:t>g</w:t>
      </w:r>
      <w:r>
        <w:rPr>
          <w:rFonts w:ascii="Times New Roman" w:hAnsi="Times New Roman"/>
          <w:b w:val="0"/>
          <w:i w:val="0"/>
          <w:sz w:val="24"/>
          <w:vertAlign w:val="subscript"/>
        </w:rPr>
        <w:t>axial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p</w:t>
      </w:r>
      <w:r>
        <w:rPr>
          <w:rFonts w:ascii="Times New Roman" w:hAnsi="Times New Roman"/>
          <w:b w:val="0"/>
          <w:i w:val="0"/>
          <w:sz w:val="24"/>
          <w:vertAlign w:val="subscript"/>
        </w:rPr>
        <w:t>1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p</w:t>
      </w:r>
      <w:r>
        <w:rPr>
          <w:rFonts w:ascii="Times New Roman" w:hAnsi="Times New Roman"/>
          <w:b w:val="0"/>
          <w:i w:val="0"/>
          <w:sz w:val="24"/>
          <w:vertAlign w:val="subscript"/>
        </w:rPr>
        <w:t>2</w:t>
      </w:r>
      <w:r>
        <w:rPr>
          <w:rFonts w:ascii="Times New Roman" w:hAnsi="Times New Roman"/>
          <w:b w:val="0"/>
          <w:i w:val="0"/>
          <w:sz w:val="24"/>
        </w:rPr>
        <w:t>).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4. </w:t>
      </w:r>
      <w:r>
        <w:rPr>
          <w:rFonts w:ascii="Times New Roman" w:hAnsi="Times New Roman"/>
          <w:b w:val="0"/>
          <w:i w:val="0"/>
          <w:sz w:val="24"/>
        </w:rPr>
        <w:t xml:space="preserve">Parameter recovery for Scenario 2 (elongation parameters fixed at true values; four architectural parameters estimated),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7 observation seeds. Layout and colour coding follow Fig. 3.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5. </w:t>
      </w:r>
      <w:r>
        <w:rPr>
          <w:rFonts w:ascii="Times New Roman" w:hAnsi="Times New Roman"/>
          <w:b w:val="0"/>
          <w:i w:val="0"/>
          <w:sz w:val="24"/>
        </w:rPr>
        <w:t>Effect of the number of replicate observation seeds (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>) on 3D structural recovery of root systems. Skill score for root length density (SS</w:t>
      </w:r>
      <w:r>
        <w:rPr>
          <w:rFonts w:ascii="Times New Roman" w:hAnsi="Times New Roman"/>
          <w:b w:val="0"/>
          <w:i w:val="0"/>
          <w:sz w:val="24"/>
          <w:vertAlign w:val="subscript"/>
        </w:rPr>
        <w:t>RLD</w:t>
      </w:r>
      <w:r>
        <w:rPr>
          <w:rFonts w:ascii="Times New Roman" w:hAnsi="Times New Roman"/>
          <w:b w:val="0"/>
          <w:i w:val="0"/>
          <w:sz w:val="24"/>
        </w:rPr>
        <w:t>, left) and crossing angle (SS</w:t>
      </w:r>
      <w:r>
        <w:rPr>
          <w:rFonts w:ascii="Times New Roman" w:hAnsi="Times New Roman"/>
          <w:b w:val="0"/>
          <w:i w:val="0"/>
          <w:sz w:val="24"/>
          <w:vertAlign w:val="subscript"/>
        </w:rPr>
        <w:t>angle</w:t>
      </w:r>
      <w:r>
        <w:rPr>
          <w:rFonts w:ascii="Times New Roman" w:hAnsi="Times New Roman"/>
          <w:b w:val="0"/>
          <w:i w:val="0"/>
          <w:sz w:val="24"/>
        </w:rPr>
        <w:t xml:space="preserve">, right) are shown as a function of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(1, 7, 14) for the inverse-modelling approach (dashed lines) and the ML-based inference approach (solid lines) under Scenario 1 (all eight parameters unknown; red) and Scenario 2 (elongation parameters fixed at true values; blue). Shaded bands indicate +/-1 standard error across the 20 test cases. The horizontal short-dashed line at SS = 0 marks the null-predictor baseline; values above zero indicate reconstruction better than the null predictor.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6. </w:t>
      </w:r>
      <w:r>
        <w:rPr>
          <w:rFonts w:ascii="Times New Roman" w:hAnsi="Times New Roman"/>
          <w:b w:val="0"/>
          <w:i w:val="0"/>
          <w:sz w:val="24"/>
        </w:rPr>
        <w:t>Equifinality in the inverse-modelling approach: relationship between the CMA-ES final objective value (</w:t>
      </w:r>
      <w:r>
        <w:rPr>
          <w:rFonts w:ascii="Times New Roman" w:hAnsi="Times New Roman"/>
          <w:b w:val="0"/>
          <w:i/>
          <w:sz w:val="24"/>
        </w:rPr>
        <w:t>J</w:t>
      </w:r>
      <w:r>
        <w:rPr>
          <w:rFonts w:ascii="Times New Roman" w:hAnsi="Times New Roman"/>
          <w:b w:val="0"/>
          <w:i w:val="0"/>
          <w:sz w:val="24"/>
          <w:vertAlign w:val="subscript"/>
        </w:rPr>
        <w:t>best</w:t>
      </w:r>
      <w:r>
        <w:rPr>
          <w:rFonts w:ascii="Times New Roman" w:hAnsi="Times New Roman"/>
          <w:b w:val="0"/>
          <w:i w:val="0"/>
          <w:sz w:val="24"/>
        </w:rPr>
        <w:t>) and 3D structural skill scores (SS</w:t>
      </w:r>
      <w:r>
        <w:rPr>
          <w:rFonts w:ascii="Times New Roman" w:hAnsi="Times New Roman"/>
          <w:b w:val="0"/>
          <w:i w:val="0"/>
          <w:sz w:val="24"/>
          <w:vertAlign w:val="subscript"/>
        </w:rPr>
        <w:t>RLD</w:t>
      </w:r>
      <w:r>
        <w:rPr>
          <w:rFonts w:ascii="Times New Roman" w:hAnsi="Times New Roman"/>
          <w:b w:val="0"/>
          <w:i w:val="0"/>
          <w:sz w:val="24"/>
        </w:rPr>
        <w:t>, left columns; SS</w:t>
      </w:r>
      <w:r>
        <w:rPr>
          <w:rFonts w:ascii="Times New Roman" w:hAnsi="Times New Roman"/>
          <w:b w:val="0"/>
          <w:i w:val="0"/>
          <w:sz w:val="24"/>
          <w:vertAlign w:val="subscript"/>
        </w:rPr>
        <w:t>angle</w:t>
      </w:r>
      <w:r>
        <w:rPr>
          <w:rFonts w:ascii="Times New Roman" w:hAnsi="Times New Roman"/>
          <w:b w:val="0"/>
          <w:i w:val="0"/>
          <w:sz w:val="24"/>
        </w:rPr>
        <w:t xml:space="preserve">, right columns) across the 20 test cases, for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 (top row),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7 (middle row), and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14 (bottom row). Results are shown separately for Scenario 1 (all parameters unknown; left two columns) and Scenario 2 (elongation fixed; right two columns). Points are coloured by planting configuration (A, B, C, D). Pearson </w:t>
      </w:r>
      <w:r>
        <w:rPr>
          <w:rFonts w:ascii="Times New Roman" w:hAnsi="Times New Roman"/>
          <w:b w:val="0"/>
          <w:i/>
          <w:sz w:val="24"/>
        </w:rPr>
        <w:t>r</w:t>
      </w:r>
      <w:r>
        <w:rPr>
          <w:rFonts w:ascii="Times New Roman" w:hAnsi="Times New Roman"/>
          <w:b w:val="0"/>
          <w:i w:val="0"/>
          <w:sz w:val="24"/>
        </w:rPr>
        <w:t xml:space="preserve"> is annotated on each panel. A low </w:t>
      </w:r>
      <w:r>
        <w:rPr>
          <w:rFonts w:ascii="Times New Roman" w:hAnsi="Times New Roman"/>
          <w:b w:val="0"/>
          <w:i/>
          <w:sz w:val="24"/>
        </w:rPr>
        <w:t>J</w:t>
      </w:r>
      <w:r>
        <w:rPr>
          <w:rFonts w:ascii="Times New Roman" w:hAnsi="Times New Roman"/>
          <w:b w:val="0"/>
          <w:i w:val="0"/>
          <w:sz w:val="24"/>
          <w:vertAlign w:val="subscript"/>
        </w:rPr>
        <w:t>best</w:t>
      </w:r>
      <w:r>
        <w:rPr>
          <w:rFonts w:ascii="Times New Roman" w:hAnsi="Times New Roman"/>
          <w:b w:val="0"/>
          <w:i w:val="0"/>
          <w:sz w:val="24"/>
        </w:rPr>
        <w:t xml:space="preserve"> (good minirhizotron fit) does not guarantee high structural skill score, demonstrating parameter equifinality.</w:t>
      </w:r>
    </w:p>
    <w:p>
      <w:pPr>
        <w:pBdr>
          <w:bottom w:val="single" w:sz="6" w:space="1" w:color="888888"/>
        </w:pBdr>
        <w:spacing w:before="160" w:after="160"/>
      </w:pPr>
    </w:p>
    <w:p>
      <w:pPr>
        <w:pStyle w:val="Heading2"/>
        <w:jc w:val="left"/>
      </w:pPr>
      <w:r>
        <w:rPr>
          <w:rFonts w:ascii="Times New Roman" w:hAnsi="Times New Roman"/>
          <w:color w:val="000000"/>
        </w:rPr>
        <w:t>Supplementary Figures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S1. </w:t>
      </w:r>
      <w:r>
        <w:rPr>
          <w:rFonts w:ascii="Times New Roman" w:hAnsi="Times New Roman"/>
          <w:b w:val="0"/>
          <w:i w:val="0"/>
          <w:sz w:val="24"/>
        </w:rPr>
        <w:t xml:space="preserve">Convergence of the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>-seed averaged minirhizotron observation with increasing number of replicate seeds (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). The coefficient of variation (CV) of the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-seed mean is defined as </w:t>
      </w:r>
      <w:r>
        <w:rPr>
          <w:rFonts w:ascii="Times New Roman" w:hAnsi="Times New Roman"/>
          <w:b w:val="0"/>
          <w:i/>
          <w:sz w:val="24"/>
        </w:rPr>
        <w:t>s</w:t>
      </w:r>
      <w:r>
        <w:rPr>
          <w:rFonts w:ascii="Times New Roman" w:hAnsi="Times New Roman"/>
          <w:b w:val="0"/>
          <w:i w:val="0"/>
          <w:sz w:val="24"/>
          <w:vertAlign w:val="subscript"/>
        </w:rPr>
        <w:t>i</w:t>
      </w:r>
      <w:r>
        <w:rPr>
          <w:rFonts w:ascii="Times New Roman" w:hAnsi="Times New Roman"/>
          <w:b w:val="0"/>
          <w:i w:val="0"/>
          <w:sz w:val="24"/>
        </w:rPr>
        <w:t xml:space="preserve"> / (sqrt(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>) x mu</w:t>
      </w:r>
      <w:r>
        <w:rPr>
          <w:rFonts w:ascii="Times New Roman" w:hAnsi="Times New Roman"/>
          <w:b w:val="0"/>
          <w:i w:val="0"/>
          <w:sz w:val="24"/>
          <w:vertAlign w:val="subscript"/>
        </w:rPr>
        <w:t>i</w:t>
      </w:r>
      <w:r>
        <w:rPr>
          <w:rFonts w:ascii="Times New Roman" w:hAnsi="Times New Roman"/>
          <w:b w:val="0"/>
          <w:i w:val="0"/>
          <w:sz w:val="24"/>
        </w:rPr>
        <w:t xml:space="preserve">), where </w:t>
      </w:r>
      <w:r>
        <w:rPr>
          <w:rFonts w:ascii="Times New Roman" w:hAnsi="Times New Roman"/>
          <w:b w:val="0"/>
          <w:i/>
          <w:sz w:val="24"/>
        </w:rPr>
        <w:t>s</w:t>
      </w:r>
      <w:r>
        <w:rPr>
          <w:rFonts w:ascii="Times New Roman" w:hAnsi="Times New Roman"/>
          <w:b w:val="0"/>
          <w:i w:val="0"/>
          <w:sz w:val="24"/>
          <w:vertAlign w:val="subscript"/>
        </w:rPr>
        <w:t>i</w:t>
      </w:r>
      <w:r>
        <w:rPr>
          <w:rFonts w:ascii="Times New Roman" w:hAnsi="Times New Roman"/>
          <w:b w:val="0"/>
          <w:i w:val="0"/>
          <w:sz w:val="24"/>
        </w:rPr>
        <w:t xml:space="preserve"> and mu</w:t>
      </w:r>
      <w:r>
        <w:rPr>
          <w:rFonts w:ascii="Times New Roman" w:hAnsi="Times New Roman"/>
          <w:b w:val="0"/>
          <w:i w:val="0"/>
          <w:sz w:val="24"/>
          <w:vertAlign w:val="subscript"/>
        </w:rPr>
        <w:t>i</w:t>
      </w:r>
      <w:r>
        <w:rPr>
          <w:rFonts w:ascii="Times New Roman" w:hAnsi="Times New Roman"/>
          <w:b w:val="0"/>
          <w:i w:val="0"/>
          <w:sz w:val="24"/>
        </w:rPr>
        <w:t xml:space="preserve"> are the standard deviation and mean across seeds for feature </w:t>
      </w:r>
      <w:r>
        <w:rPr>
          <w:rFonts w:ascii="Times New Roman" w:hAnsi="Times New Roman"/>
          <w:b w:val="0"/>
          <w:i/>
          <w:sz w:val="24"/>
        </w:rPr>
        <w:t>i</w:t>
      </w:r>
      <w:r>
        <w:rPr>
          <w:rFonts w:ascii="Times New Roman" w:hAnsi="Times New Roman"/>
          <w:b w:val="0"/>
          <w:i w:val="0"/>
          <w:sz w:val="24"/>
        </w:rPr>
        <w:t xml:space="preserve">. </w:t>
      </w:r>
      <w:r>
        <w:rPr>
          <w:rFonts w:ascii="Times New Roman" w:hAnsi="Times New Roman"/>
          <w:b/>
          <w:i w:val="0"/>
          <w:sz w:val="24"/>
        </w:rPr>
        <w:t>Left:</w:t>
      </w:r>
      <w:r>
        <w:rPr>
          <w:rFonts w:ascii="Times New Roman" w:hAnsi="Times New Roman"/>
          <w:b w:val="0"/>
          <w:i w:val="0"/>
          <w:sz w:val="24"/>
        </w:rPr>
        <w:t xml:space="preserve"> CV averaged across three feature channels (root length, root presence, crossing angle) over all N = 1,270 training samples; the shaded band shows the P25-P75 range. Dashed lines indicate extrapolation beyond the observed range (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&gt; 20). </w:t>
      </w:r>
      <w:r>
        <w:rPr>
          <w:rFonts w:ascii="Times New Roman" w:hAnsi="Times New Roman"/>
          <w:b/>
          <w:i w:val="0"/>
          <w:sz w:val="24"/>
        </w:rPr>
        <w:t>Right:</w:t>
      </w:r>
      <w:r>
        <w:rPr>
          <w:rFonts w:ascii="Times New Roman" w:hAnsi="Times New Roman"/>
          <w:b w:val="0"/>
          <w:i w:val="0"/>
          <w:sz w:val="24"/>
        </w:rPr>
        <w:t xml:space="preserve"> CV for the root length channel stratified by </w:t>
      </w:r>
      <w:r>
        <w:rPr>
          <w:rFonts w:ascii="Times New Roman" w:hAnsi="Times New Roman"/>
          <w:b w:val="0"/>
          <w:i/>
          <w:sz w:val="24"/>
        </w:rPr>
        <w:t>g</w:t>
      </w:r>
      <w:r>
        <w:rPr>
          <w:rFonts w:ascii="Times New Roman" w:hAnsi="Times New Roman"/>
          <w:b w:val="0"/>
          <w:i w:val="0"/>
          <w:sz w:val="24"/>
          <w:vertAlign w:val="subscript"/>
        </w:rPr>
        <w:t>axial</w:t>
      </w:r>
      <w:r>
        <w:rPr>
          <w:rFonts w:ascii="Times New Roman" w:hAnsi="Times New Roman"/>
          <w:b w:val="0"/>
          <w:i w:val="0"/>
          <w:sz w:val="24"/>
        </w:rPr>
        <w:t xml:space="preserve"> quintile. Vertical dashed lines mark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7 and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14. Horizontal dotted lines indicate 10% and 20% CV thresholds.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S2. </w:t>
      </w:r>
      <w:r>
        <w:rPr>
          <w:rFonts w:ascii="Times New Roman" w:hAnsi="Times New Roman"/>
          <w:b w:val="0"/>
          <w:i w:val="0"/>
          <w:sz w:val="24"/>
        </w:rPr>
        <w:t xml:space="preserve">Parameter recovery for Scenario 1 (all eight parameters unknown) at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 (rows 1-2) and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14 (rows 3-4). Layout and colour coding follow Fig. 3.</w:t>
      </w:r>
    </w:p>
    <w:p>
      <w:pPr>
        <w:spacing w:before="120" w:after="200"/>
      </w:pPr>
      <w:r>
        <w:rPr>
          <w:rFonts w:ascii="Times New Roman" w:hAnsi="Times New Roman"/>
          <w:b/>
          <w:sz w:val="24"/>
        </w:rPr>
        <w:t xml:space="preserve">Figure S3. </w:t>
      </w:r>
      <w:r>
        <w:rPr>
          <w:rFonts w:ascii="Times New Roman" w:hAnsi="Times New Roman"/>
          <w:b w:val="0"/>
          <w:i w:val="0"/>
          <w:sz w:val="24"/>
        </w:rPr>
        <w:t xml:space="preserve">Parameter recovery for Scenario 2 (elongation parameters fixed at true values; four architectural parameters estimated) at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 (rows 1-2) and </w:t>
      </w:r>
      <w:r>
        <w:rPr>
          <w:rFonts w:ascii="Times New Roman" w:hAnsi="Times New Roman"/>
          <w:b w:val="0"/>
          <w:i/>
          <w:sz w:val="24"/>
        </w:rPr>
        <w:t>k</w:t>
      </w:r>
      <w:r>
        <w:rPr>
          <w:rFonts w:ascii="Times New Roman" w:hAnsi="Times New Roman"/>
          <w:b w:val="0"/>
          <w:i w:val="0"/>
          <w:sz w:val="24"/>
        </w:rPr>
        <w:t xml:space="preserve"> = 14 (rows 3-4). Layout and colour coding follow Fig.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