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TRANSMISSION AU PROCUREUR</w:t>
      </w:r>
    </w:p>
    <w:p>
      <w:r>
        <w:t>Dossier : Quadro Holdings Ltée c. 9054-0238 Québec Inc. / Bar Sora — local 6280, Somerled — 21 septembre 2026</w:t>
      </w:r>
    </w:p>
    <w:p>
      <w:r>
        <w:rPr>
          <w:b/>
        </w:rPr>
        <w:t>CONFIDENTIEL — OUTIL DE VÉRIFICATION ET DE NÉGOCIATION. NE PAS JOINDRE À LA MISE EN DEMEURE ADRESSÉE À LA PARTIE ADVERSE.</w:t>
      </w:r>
    </w:p>
    <w:p>
      <w:pPr>
        <w:pStyle w:val="Heading1"/>
      </w:pPr>
      <w:r>
        <w:t>1.  Mandat concret et priorité</w:t>
      </w:r>
    </w:p>
    <w:p>
      <w:r>
        <w:t>Vérifier, finaliser, signer et transmettre la mise en demeure consolidée; déterminer séparément si les conditions d’une demande urgente d’ordonnance de sauvegarde / injonction sont remplies. Le client indique que les délais antérieurs sont expirés et veut passer à l’action. Ne pas promettre de recours ni de résultat sans étude des pièces, de la preuve de signification et des critères applicables.</w:t>
      </w:r>
    </w:p>
    <w:p>
      <w:pPr>
        <w:pStyle w:val="Heading1"/>
      </w:pPr>
      <w:r>
        <w:t>2.  MAPAQ — compléter la preuve avant signification</w:t>
      </w:r>
    </w:p>
    <w:p>
      <w:pPr>
        <w:ind w:left="245"/>
      </w:pPr>
      <w:r>
        <w:rPr>
          <w:b/>
          <w:color w:val="1D5071"/>
        </w:rPr>
        <w:t xml:space="preserve">Compte rendu direct :  </w:t>
      </w:r>
      <w:r>
        <w:t>Le client rapporte une visite le matin du 21 septembre. Il dit que la nourriture, les préparations et la cuisine paraissaient satisfaisantes à l’inspection, mais qu’une mise en conformité est demandée concernant l’accès au lavabo. Les problèmes de mouches, de bouteilles et de dépôts visqueux au plafond de la chambre froide sont rapportés par le client; NE PAS les attribuer à l’inspecteur sans rapport ou confirmation.</w:t>
      </w:r>
    </w:p>
    <w:p>
      <w:pPr>
        <w:ind w:left="245"/>
      </w:pPr>
      <w:r>
        <w:rPr>
          <w:b/>
          <w:color w:val="1D5071"/>
        </w:rPr>
        <w:t xml:space="preserve">À obtenir :  </w:t>
      </w:r>
      <w:r>
        <w:t>Rapport et numéro d’inspection MAPAQ, noms des inspecteurs, avis de non-conformité, dates limites, photos géolocalisées et datées du lavabo avant/après déplacement, photos des plafonds, registres de températures de la chambre froide, inventaire alimentaire, conditions d’entreposage, communications sur accès et travaux.</w:t>
      </w:r>
    </w:p>
    <w:p>
      <w:pPr>
        <w:ind w:left="245"/>
      </w:pPr>
      <w:r>
        <w:rPr>
          <w:b/>
          <w:color w:val="1D5071"/>
        </w:rPr>
        <w:t xml:space="preserve">Mesures immédiates :  </w:t>
      </w:r>
      <w:r>
        <w:t>Coordination de l’accès à l’eau et au lavage, propreté, inspection de la chambre froide, protection/évaluation des denrées et gestion des insectes. Aucun redémarrage de propane ni déplacement risqué par une personne non qualifiée.</w:t>
      </w:r>
    </w:p>
    <w:p>
      <w:pPr>
        <w:pStyle w:val="Heading1"/>
      </w:pPr>
      <w:r>
        <w:t>3.  Contradictions documentaires nécessitant un examen</w:t>
      </w:r>
    </w:p>
    <w:p>
      <w:pPr>
        <w:ind w:left="245"/>
      </w:pPr>
      <w:r>
        <w:rPr>
          <w:b/>
          <w:color w:val="1D5071"/>
        </w:rPr>
        <w:t xml:space="preserve">Convention du 6 février 2026 :  </w:t>
      </w:r>
      <w:r>
        <w:t>Document .docx envoyé par Nathalie, champs de signature vides : début le 1er janvier 2026; durée initiale 1 an; janvier-mars commission 5 %; à compter d’avril loyer 1 000 $ + 5 %; dépôt de 3 000 $; activités limitées aux heures du bar sans dépasser 3 h; gaz refacturé dans 5 jours ouvrables; accès temporairement suspendable si paiement en retard de plus de 5 jours ouvrables. Cette clause NE DOIT PAS être passée sous silence.</w:t>
      </w:r>
    </w:p>
    <w:p>
      <w:pPr>
        <w:ind w:left="245"/>
      </w:pPr>
      <w:r>
        <w:rPr>
          <w:b/>
          <w:color w:val="1D5071"/>
        </w:rPr>
        <w:t xml:space="preserve">Positions Quadro :  </w:t>
      </w:r>
      <w:r>
        <w:t>Les mises en demeure des 9 et 10 septembre soutiennent qu’un dépôt de 1 000 $ a été finalement convenu. Obtenir reçu, virement et éventuel avenant. Ne pas présenter la version non signée ou le dépôt allégué comme définitivement contractuels.</w:t>
      </w:r>
    </w:p>
    <w:p>
      <w:pPr>
        <w:ind w:left="245"/>
      </w:pPr>
      <w:r>
        <w:rPr>
          <w:b/>
          <w:color w:val="1D5071"/>
        </w:rPr>
        <w:t xml:space="preserve">Avis du 14 septembre :  </w:t>
      </w:r>
      <w:r>
        <w:t>Avis signé de Chiqing Ma : début prétendu en mars 2026, durée indéterminée et loyer mensuel, résiliation annoncée pour le 31 octobre 2026, retrait équipements et remise clés. Le client demande que la contestation du bail, sa qualification, la résiliation et la prescription soient réservées à un volet distinct; ne pas concéder cet avis.</w:t>
      </w:r>
    </w:p>
    <w:p>
      <w:pPr>
        <w:ind w:left="245"/>
      </w:pPr>
      <w:r>
        <w:rPr>
          <w:b/>
          <w:color w:val="1D5071"/>
        </w:rPr>
        <w:t xml:space="preserve">Données adverses :  </w:t>
      </w:r>
      <w:r>
        <w:t>Courriel du 14 septembre : réclame 470,58 $ pour une quantité de propane calculée par Bar Sora, relevés juillet/août pour commission 5 %, mise à jour de certificat de nettoyage de hotte; déclare la preuve d’assurance transmise au courtier. Demander preuves détaillées; préparer réponse documentée et corrections réglementaires propres à Quadro.</w:t>
      </w:r>
    </w:p>
    <w:p>
      <w:pPr>
        <w:ind w:left="245"/>
      </w:pPr>
      <w:r>
        <w:rPr>
          <w:b/>
          <w:color w:val="1D5071"/>
        </w:rPr>
        <w:t xml:space="preserve">Assurance :  </w:t>
      </w:r>
      <w:r>
        <w:t>Transmission datée du 10 septembre; police Intact n° 383-1237 pour Restaurant Montréal Hub, période annoncée du 8 septembre 2026 au 8 septembre 2027. Vérifier entité assurée, adresses 6280/6284, activités couvertes et pièces réellement livrées au destinataire; ne pas présumer que toutes garanties couvrent matériel et pertes.</w:t>
      </w:r>
    </w:p>
    <w:p>
      <w:pPr>
        <w:ind w:left="245"/>
      </w:pPr>
      <w:r>
        <w:rPr>
          <w:b/>
          <w:color w:val="1D5071"/>
        </w:rPr>
        <w:t xml:space="preserve">Horaires :  </w:t>
      </w:r>
      <w:r>
        <w:t>Avis 20 septembre : fermeture 1 h rapportée par le cuisinier, non preuve d’ordre direct de Chiqing Ma. Projet février : opérations tant que le bar est ouvert et au plus tard 3 h, pas un droit absolu à 3 h. Échanges décembre : évoquaient livraison après fermeture du service en salle, mais bar entièrement fermé à 3 h; conditions RACJ à vérifier.</w:t>
      </w:r>
    </w:p>
    <w:p>
      <w:pPr>
        <w:ind w:left="245"/>
      </w:pPr>
      <w:r>
        <w:rPr>
          <w:b/>
          <w:color w:val="1D5071"/>
        </w:rPr>
        <w:t xml:space="preserve">Dommages :  </w:t>
      </w:r>
      <w:r>
        <w:t>700 $ réclamés pour deux tablettes dans avis de septembre; factures/serial numbers/diagnostics manquants. Les deux friteuses auraient cessé de fonctionner après la coupure du gaz; faire expertiser causalité. Les 700 $ de ventes et ~8 000 $ de denrées sont des chiffres allégués dans le projet textuel du 11 septembre, NON des dommages certains et liquidés.</w:t>
      </w:r>
    </w:p>
    <w:p>
      <w:pPr>
        <w:ind w:left="245"/>
      </w:pPr>
      <w:r>
        <w:rPr>
          <w:b/>
          <w:color w:val="1D5071"/>
        </w:rPr>
        <w:t xml:space="preserve">Preuves policières / personnel :  </w:t>
      </w:r>
      <w:r>
        <w:t>Le client rapporte un incident avec une barmaid en présence d’une machine à café, intervention policière et visionnement de vidéos. Ne pas énoncer une conclusion policière ou accusation sans rapport, numéro d’événement et preuve admissible. Préserver vidéos; inclure seulement éléments matériels nécessaires.</w:t>
      </w:r>
    </w:p>
    <w:p>
      <w:pPr>
        <w:ind w:left="245"/>
      </w:pPr>
      <w:r>
        <w:rPr>
          <w:b/>
          <w:color w:val="1D5071"/>
        </w:rPr>
        <w:t xml:space="preserve">Enseigne / caisse :  </w:t>
      </w:r>
      <w:r>
        <w:t>Demandes et plaintes rapportées dans échanges ChatGPT, mais obligations et autorisations insuffisamment documentées parmi les PDF examinés. Obtenir échanges originaux et clauses précises avant réclamation chiffrée.</w:t>
      </w:r>
    </w:p>
    <w:p>
      <w:pPr>
        <w:ind w:left="245"/>
      </w:pPr>
      <w:r>
        <w:rPr>
          <w:b/>
          <w:color w:val="1D5071"/>
        </w:rPr>
        <w:t xml:space="preserve">Prescription :  </w:t>
      </w:r>
      <w:r>
        <w:t>Vérifier indépendamment les délais applicables à chaque recours et les actes interruptifs éventuels. Une mise en demeure extrajudiciaire ne doit pas être traitée comme une garantie d’interruption de prescription.</w:t>
      </w:r>
    </w:p>
    <w:p>
      <w:pPr>
        <w:pStyle w:val="Heading1"/>
      </w:pPr>
      <w:r>
        <w:t>4.  Inventaire des pièces disponibles — versions et doublons</w:t>
      </w:r>
    </w:p>
    <w:p>
      <w:pPr>
        <w:ind w:left="245"/>
      </w:pPr>
      <w:r>
        <w:rPr>
          <w:b/>
          <w:color w:val="1D5071"/>
        </w:rPr>
        <w:t xml:space="preserve">A1 Mise_en_demeure_Quadro_Holdings_Bar_Sora.pdf.  </w:t>
      </w:r>
      <w:r>
        <w:t>9 sept. — avis bref : tablettes, accès, caméras; version projet / preuve d’expédition à rechercher.</w:t>
      </w:r>
    </w:p>
    <w:p>
      <w:pPr>
        <w:ind w:left="245"/>
      </w:pPr>
      <w:r>
        <w:rPr>
          <w:b/>
          <w:color w:val="1D5071"/>
        </w:rPr>
        <w:t xml:space="preserve">A2 MISE_EN_DEMEURE_Quadro_Holdings_Ltee_c_BAR_SORA_2026-09-10.pdf.  </w:t>
      </w:r>
      <w:r>
        <w:t>10 sept. — projet 7 p. : équipements, dommages, accès; avertit qu’aucun avocat ne l’a approuvé.</w:t>
      </w:r>
    </w:p>
    <w:p>
      <w:pPr>
        <w:ind w:left="245"/>
      </w:pPr>
      <w:r>
        <w:rPr>
          <w:b/>
          <w:color w:val="1D5071"/>
        </w:rPr>
        <w:t xml:space="preserve">A3 MISE_EN_DEMEURE_Quadro_BAR_SORA_ACCUSÉ_RECEPTION_2026-09-10.pdf.  </w:t>
      </w:r>
      <w:r>
        <w:t>10 sept. — version 6 p. avec formulaire de réception non rempli; ne prouve pas la réception.</w:t>
      </w:r>
    </w:p>
    <w:p>
      <w:pPr>
        <w:ind w:left="245"/>
      </w:pPr>
      <w:r>
        <w:rPr>
          <w:b/>
          <w:color w:val="1D5071"/>
        </w:rPr>
        <w:t xml:space="preserve">A4 Suivi_mise_en_demeure_interruption_propane.pdf.  </w:t>
      </w:r>
      <w:r>
        <w:t>14 sept. — suivi bref du propane et pertes.</w:t>
      </w:r>
    </w:p>
    <w:p>
      <w:pPr>
        <w:ind w:left="245"/>
      </w:pPr>
      <w:r>
        <w:rPr>
          <w:b/>
          <w:color w:val="1D5071"/>
        </w:rPr>
        <w:t xml:space="preserve">A5 Suivi_mise_en_demeure_propane_style_formel.pdf.  </w:t>
      </w:r>
      <w:r>
        <w:t>14 sept. — suivi formel du propane et pertes; variante d’A4.</w:t>
      </w:r>
    </w:p>
    <w:p>
      <w:pPr>
        <w:ind w:left="245"/>
      </w:pPr>
      <w:r>
        <w:rPr>
          <w:b/>
          <w:color w:val="1D5071"/>
        </w:rPr>
        <w:t xml:space="preserve">A6 LOCAL_6280_Mise_en_demeure_Quadro_BAR_SORA_20_septembre_2026.pdf.  </w:t>
      </w:r>
      <w:r>
        <w:t>20 sept. — avis complémentaire fermeture 1 h. Le fichier (1).pdf est un doublon bit pour bit.</w:t>
      </w:r>
    </w:p>
    <w:p>
      <w:pPr>
        <w:ind w:left="245"/>
      </w:pPr>
      <w:r>
        <w:rPr>
          <w:b/>
          <w:color w:val="1D5071"/>
        </w:rPr>
        <w:t xml:space="preserve">A7 TRANSMISSION_PREUVE_ASSURANCE_QUADRO_HOLDINGS_2026-09-10.pdf.  </w:t>
      </w:r>
      <w:r>
        <w:t>10 sept. — lettre et police; SANS_LIENS version apparentée, non nouvelle police.</w:t>
      </w:r>
    </w:p>
    <w:p>
      <w:pPr>
        <w:ind w:left="245"/>
      </w:pPr>
      <w:r>
        <w:rPr>
          <w:b/>
          <w:color w:val="1D5071"/>
        </w:rPr>
        <w:t xml:space="preserve">A8 Nouvelle affaire 2026-27(1).pdf.  </w:t>
      </w:r>
      <w:r>
        <w:t>Police d’assurance commerciale; 59 pages; données de couverture à vérifier.</w:t>
      </w:r>
    </w:p>
    <w:p>
      <w:pPr>
        <w:ind w:left="245"/>
      </w:pPr>
      <w:r>
        <w:rPr>
          <w:b/>
          <w:color w:val="1D5071"/>
        </w:rPr>
        <w:t xml:space="preserve">A9 Avis_resiliation_cuisine_Quadro_FINAL（signature）.pdf.  </w:t>
      </w:r>
      <w:r>
        <w:t>14 sept. — avis signé de résiliation de Bar Sora; pièce de la partie adverse.</w:t>
      </w:r>
    </w:p>
    <w:p>
      <w:pPr>
        <w:ind w:left="245"/>
      </w:pPr>
      <w:r>
        <w:rPr>
          <w:b/>
          <w:color w:val="1D5071"/>
        </w:rPr>
        <w:t xml:space="preserve">A10 PPP_Simplified_Kitchen_Lease_Enhanced20251220.docx.  </w:t>
      </w:r>
      <w:r>
        <w:t>Projet envoyé le 6 février, emplacements de signature vides; chercher la convention effectivement signée.</w:t>
      </w:r>
    </w:p>
    <w:p>
      <w:pPr>
        <w:ind w:left="245"/>
      </w:pPr>
      <w:r>
        <w:rPr>
          <w:b/>
          <w:color w:val="1D5071"/>
        </w:rPr>
        <w:t xml:space="preserve">A11 Projet textuel du 11 septembre 2026 — propane.  </w:t>
      </w:r>
      <w:r>
        <w:t>Résumé retrouvé dans historique ChatGPT; original PDF et preuve d’envoi non retrouvés.</w:t>
      </w:r>
    </w:p>
    <w:p>
      <w:r>
        <w:t>Éléments supplémentaires à demander au client : rapport MAPAQ, preuves de remise PandaDoc et courriels, convention signée, autorisation d’enseigne, photos avant/après, factures, diagnostic friteuses, inventaire et coûts des denrées, copies de commande/ventes nettes, feuilles de temps, correspondance fournisseurs, preuve des paiements et frais de gaz, vidéos de sécurité.</w:t>
      </w:r>
    </w:p>
    <w:p>
      <w:pPr>
        <w:pStyle w:val="Heading1"/>
      </w:pPr>
      <w:r>
        <w:t>5.  Sources réglementaires vérifiées à discuter avec le client</w:t>
      </w:r>
    </w:p>
    <w:p>
      <w:r>
        <w:t>Règlement sur les aliments (P-29, r. 1), art. 2.1.2 (absence d’insectes/contaminants), 2.1.3 (eau chaude/froide, savon, évier et essuie-mains dans les aires de préparation), 2.1.5 (plafonds et prévention des insectes); guide MAPAQ « Milieu » et guide des bonnes pratiques alimentaires. Code civil du Québec, art. 1375, 1594-1595 et, seulement si la convention est juridiquement un bail, art. 1854 et 1863. Vérifier texte en vigueur et applicabilité factuelle avant la signature.</w:t>
      </w:r>
    </w:p>
    <w:sectPr w:rsidR="00FC693F" w:rsidRPr="0006063C" w:rsidSect="00034616">
      <w:headerReference w:type="default" r:id="rId9"/>
      <w:footerReference w:type="default" r:id="rId10"/>
      <w:pgSz w:w="12240" w:h="15840"/>
      <w:pgMar w:top="1037" w:right="1267" w:bottom="965" w:left="1267" w:header="389"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1"/>
        <w:sz w:val="14"/>
      </w:rPr>
      <w:t xml:space="preserve">SOUS TOUTES RÉSERVES   •   DOCUMENT CONFIDENTIEL / CONSEIL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1"/>
        <w:sz w:val="15"/>
      </w:rPr>
      <w:t>QUADRO HOLDINGS LTÉE  |  LOCAL 6280  |  DOSSIER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92E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92E43"/>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1D507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92E4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6280 — Note confidentielle pour le procureur</dc:title>
  <dc:subject/>
  <dc:creator>Quadro Holdings Ltée — note préparatoire</dc:creator>
  <cp:keywords/>
  <dc:description>generated by python-docx</dc:description>
  <cp:lastModifiedBy/>
  <cp:revision>1</cp:revision>
  <dcterms:created xsi:type="dcterms:W3CDTF">2013-12-23T23:15:00Z</dcterms:created>
  <dcterms:modified xsi:type="dcterms:W3CDTF">2013-12-23T23:15:00Z</dcterms:modified>
  <cp:category/>
</cp:coreProperties>
</file>