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3.png" ContentType="image/png"/>
  <Override PartName="/word/media/rId35.png" ContentType="image/png"/>
  <Override PartName="/word/media/rId36.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Rによる探索的データ分析入門</w:t>
      </w:r>
    </w:p>
    <w:p>
      <w:pPr>
        <w:pStyle w:val="Author"/>
      </w:pPr>
      <w:r>
        <w:t xml:space="preserve">発電基盤開発課</w:t>
      </w:r>
      <w:r>
        <w:t xml:space="preserve"> </w:t>
      </w:r>
      <w:r>
        <w:t xml:space="preserve">高津一誠</w:t>
      </w:r>
    </w:p>
    <w:p>
      <w:pPr>
        <w:pStyle w:val="Date"/>
      </w:pPr>
      <w:r>
        <w:t xml:space="preserve">2018年10月5日</w:t>
      </w:r>
    </w:p>
    <w:p>
      <w:pPr>
        <w:pStyle w:val="Heading1"/>
      </w:pPr>
      <w:bookmarkStart w:id="21" w:name="データ分析プロセスは探索的"/>
      <w:bookmarkEnd w:id="21"/>
      <w:r>
        <w:t xml:space="preserve">データ分析プロセスは探索的</w:t>
      </w:r>
    </w:p>
    <w:p>
      <w:pPr>
        <w:pStyle w:val="FirstParagraph"/>
      </w:pPr>
      <w:r>
        <w:t xml:space="preserve">実験データ分析は、探索的なプロセスです。</w:t>
      </w:r>
      <w:r>
        <w:t xml:space="preserve"> </w:t>
      </w:r>
      <w:r>
        <w:t xml:space="preserve">1回データ処理して終了することはあまりなく、多くの場合は仮説→検証を繰り返して適切な結果を得ることができます。</w:t>
      </w:r>
      <w:r>
        <w:t xml:space="preserve"> </w:t>
      </w:r>
      <w:r>
        <w:t xml:space="preserve">ここではRの可視化処理を使って、その簡単な例を示します。</w:t>
      </w:r>
    </w:p>
    <w:p>
      <w:pPr>
        <w:pStyle w:val="FigureWithCaption"/>
      </w:pPr>
      <w:r>
        <w:drawing>
          <wp:inline>
            <wp:extent cx="5334000" cy="1025981"/>
            <wp:effectExtent b="0" l="0" r="0" t="0"/>
            <wp:docPr descr="探索的データ分析" title="" id="1" name="Picture"/>
            <a:graphic>
              <a:graphicData uri="http://schemas.openxmlformats.org/drawingml/2006/picture">
                <pic:pic>
                  <pic:nvPicPr>
                    <pic:cNvPr descr="data_analysis_process.png" id="0" name="Picture"/>
                    <pic:cNvPicPr>
                      <a:picLocks noChangeArrowheads="1" noChangeAspect="1"/>
                    </pic:cNvPicPr>
                  </pic:nvPicPr>
                  <pic:blipFill>
                    <a:blip r:embed="rId22"/>
                    <a:stretch>
                      <a:fillRect/>
                    </a:stretch>
                  </pic:blipFill>
                  <pic:spPr bwMode="auto">
                    <a:xfrm>
                      <a:off x="0" y="0"/>
                      <a:ext cx="5334000" cy="1025981"/>
                    </a:xfrm>
                    <a:prstGeom prst="rect">
                      <a:avLst/>
                    </a:prstGeom>
                    <a:noFill/>
                    <a:ln w="9525">
                      <a:noFill/>
                      <a:headEnd/>
                      <a:tailEnd/>
                    </a:ln>
                  </pic:spPr>
                </pic:pic>
              </a:graphicData>
            </a:graphic>
          </wp:inline>
        </w:drawing>
      </w:r>
    </w:p>
    <w:p>
      <w:pPr>
        <w:pStyle w:val="ImageCaption"/>
      </w:pPr>
      <w:r>
        <w:t xml:space="preserve">探索的データ分析</w:t>
      </w:r>
    </w:p>
    <w:p>
      <w:pPr>
        <w:pStyle w:val="Heading1"/>
      </w:pPr>
      <w:bookmarkStart w:id="23" w:name="実験データを読み込む"/>
      <w:bookmarkEnd w:id="23"/>
      <w:r>
        <w:t xml:space="preserve">実験データを読み込む</w:t>
      </w:r>
    </w:p>
    <w:p>
      <w:pPr>
        <w:pStyle w:val="FirstParagraph"/>
      </w:pPr>
      <w:r>
        <w:t xml:space="preserve">ここでは読み込むの手順は省略し、Rに組み込みのテスト用データを使うことにします。 使用するデータは生態学の計測データで、アヤメの花弁（petal）とガク（sepal）の長さと幅を、</w:t>
      </w:r>
      <w:r>
        <w:t xml:space="preserve"> </w:t>
      </w:r>
      <w:r>
        <w:t xml:space="preserve">3つの種について50個体ずつ計測したデータです。</w:t>
      </w:r>
    </w:p>
    <w:p>
      <w:pPr>
        <w:pStyle w:val="SourceCode"/>
      </w:pPr>
      <w:r>
        <w:rPr>
          <w:rStyle w:val="VerbatimChar"/>
        </w:rPr>
        <w:t xml:space="preserve">## # A tibble: 150 x 5</w:t>
      </w:r>
      <w:r>
        <w:br w:type="textWrapping"/>
      </w:r>
      <w:r>
        <w:rPr>
          <w:rStyle w:val="VerbatimChar"/>
        </w:rPr>
        <w:t xml:space="preserve">##   Sepal.Length Sepal.Width Petal.Length Petal.Width Species</w:t>
      </w:r>
      <w:r>
        <w:br w:type="textWrapping"/>
      </w:r>
      <w:r>
        <w:rPr>
          <w:rStyle w:val="VerbatimChar"/>
        </w:rPr>
        <w:t xml:space="preserve">##          &lt;dbl&gt;       &lt;dbl&gt;        &lt;dbl&gt;       &lt;dbl&gt; &lt;fct&gt;  </w:t>
      </w:r>
      <w:r>
        <w:br w:type="textWrapping"/>
      </w:r>
      <w:r>
        <w:rPr>
          <w:rStyle w:val="VerbatimChar"/>
        </w:rPr>
        <w:t xml:space="preserve">## 1          5.1         3.5          1.4         0.2 setosa </w:t>
      </w:r>
      <w:r>
        <w:br w:type="textWrapping"/>
      </w:r>
      <w:r>
        <w:rPr>
          <w:rStyle w:val="VerbatimChar"/>
        </w:rPr>
        <w:t xml:space="preserve">## 2          4.9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 ... with 145 more rows</w:t>
      </w:r>
    </w:p>
    <w:p>
      <w:pPr>
        <w:pStyle w:val="Heading1"/>
      </w:pPr>
      <w:bookmarkStart w:id="24" w:name="分析しやすいよう整形する"/>
      <w:bookmarkEnd w:id="24"/>
      <w:r>
        <w:t xml:space="preserve">分析しやすいよう、整形する</w:t>
      </w:r>
    </w:p>
    <w:p>
      <w:pPr>
        <w:pStyle w:val="FirstParagraph"/>
      </w:pPr>
      <w:r>
        <w:t xml:space="preserve">元々のデータでは部位ごとの計測項目が変数（列）になっていましたが、部位を変数にした方が扱いやすいと思います。</w:t>
      </w:r>
      <w:r>
        <w:t xml:space="preserve"> </w:t>
      </w:r>
      <w:r>
        <w:t xml:space="preserve">そこで、以下のように整形します。</w:t>
      </w:r>
    </w:p>
    <w:p>
      <w:pPr>
        <w:pStyle w:val="SourceCode"/>
      </w:pPr>
      <w:r>
        <w:rPr>
          <w:rStyle w:val="NormalTok"/>
        </w:rPr>
        <w:t xml:space="preserve">iris_long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as.integer</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(key, value, </w:t>
      </w:r>
      <w:r>
        <w:rPr>
          <w:rStyle w:val="KeywordTok"/>
        </w:rPr>
        <w:t xml:space="preserve">matches</w:t>
      </w:r>
      <w:r>
        <w:rPr>
          <w:rStyle w:val="NormalTok"/>
        </w:rPr>
        <w:t xml:space="preserve">(</w:t>
      </w:r>
      <w:r>
        <w:rPr>
          <w:rStyle w:val="StringTok"/>
        </w:rPr>
        <w:t xml:space="preserve">"Length|Width"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"Part"</w:t>
      </w:r>
      <w:r>
        <w:rPr>
          <w:rStyle w:val="NormalTok"/>
        </w:rPr>
        <w:t xml:space="preserve">, </w:t>
      </w:r>
      <w:r>
        <w:rPr>
          <w:rStyle w:val="StringTok"/>
        </w:rPr>
        <w:t xml:space="preserve">"amount"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spread</w:t>
      </w:r>
      <w:r>
        <w:rPr>
          <w:rStyle w:val="NormalTok"/>
        </w:rPr>
        <w:t xml:space="preserve">(amount, value)</w:t>
      </w:r>
    </w:p>
    <w:p>
      <w:pPr>
        <w:pStyle w:val="SourceCode"/>
      </w:pPr>
      <w:r>
        <w:rPr>
          <w:rStyle w:val="VerbatimChar"/>
        </w:rPr>
        <w:t xml:space="preserve">## # A tibble: 300 x 5</w:t>
      </w:r>
      <w:r>
        <w:br w:type="textWrapping"/>
      </w:r>
      <w:r>
        <w:rPr>
          <w:rStyle w:val="VerbatimChar"/>
        </w:rPr>
        <w:t xml:space="preserve">##      id Species Part  Length Width</w:t>
      </w:r>
      <w:r>
        <w:br w:type="textWrapping"/>
      </w:r>
      <w:r>
        <w:rPr>
          <w:rStyle w:val="VerbatimChar"/>
        </w:rPr>
        <w:t xml:space="preserve">##   &lt;int&gt; &lt;fct&gt;   &lt;chr&gt;  &lt;dbl&gt; &lt;dbl&gt;</w:t>
      </w:r>
      <w:r>
        <w:br w:type="textWrapping"/>
      </w:r>
      <w:r>
        <w:rPr>
          <w:rStyle w:val="VerbatimChar"/>
        </w:rPr>
        <w:t xml:space="preserve">## 1     1 setosa  Petal    1.4   0.2</w:t>
      </w:r>
      <w:r>
        <w:br w:type="textWrapping"/>
      </w:r>
      <w:r>
        <w:rPr>
          <w:rStyle w:val="VerbatimChar"/>
        </w:rPr>
        <w:t xml:space="preserve">## 2     1 setosa  Sepal    5.1   3.5</w:t>
      </w:r>
      <w:r>
        <w:br w:type="textWrapping"/>
      </w:r>
      <w:r>
        <w:rPr>
          <w:rStyle w:val="VerbatimChar"/>
        </w:rPr>
        <w:t xml:space="preserve">## 3     2 setosa  Petal    1.4   0.2</w:t>
      </w:r>
      <w:r>
        <w:br w:type="textWrapping"/>
      </w:r>
      <w:r>
        <w:rPr>
          <w:rStyle w:val="VerbatimChar"/>
        </w:rPr>
        <w:t xml:space="preserve">## 4     2 setosa  Sepal    4.9   3  </w:t>
      </w:r>
      <w:r>
        <w:br w:type="textWrapping"/>
      </w:r>
      <w:r>
        <w:rPr>
          <w:rStyle w:val="VerbatimChar"/>
        </w:rPr>
        <w:t xml:space="preserve">## 5     3 setosa  Petal    1.3   0.2</w:t>
      </w:r>
      <w:r>
        <w:br w:type="textWrapping"/>
      </w:r>
      <w:r>
        <w:rPr>
          <w:rStyle w:val="VerbatimChar"/>
        </w:rPr>
        <w:t xml:space="preserve">## # ... with 295 more rows</w:t>
      </w:r>
    </w:p>
    <w:p>
      <w:pPr>
        <w:pStyle w:val="Heading1"/>
      </w:pPr>
      <w:bookmarkStart w:id="25" w:name="可視化する"/>
      <w:bookmarkEnd w:id="25"/>
      <w:r>
        <w:t xml:space="preserve">可視化する</w:t>
      </w:r>
    </w:p>
    <w:p>
      <w:pPr>
        <w:pStyle w:val="FirstParagraph"/>
      </w:pPr>
      <w:r>
        <w:t xml:space="preserve">それでは、データを確認するために可視化してみましょう。</w:t>
      </w:r>
      <w:r>
        <w:t xml:space="preserve"> </w:t>
      </w:r>
      <w:r>
        <w:t xml:space="preserve">長さと幅の関係を種ごと部位ごとに確認してみることにします。</w:t>
      </w:r>
      <w:r>
        <w:t xml:space="preserve"> </w:t>
      </w:r>
      <w:r>
        <w:t xml:space="preserve">比較的よい相関があるようですが、よく見てみると、どの種でもガクの方が大きいようです。</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Width, </w:t>
      </w:r>
      <w:r>
        <w:rPr>
          <w:rStyle w:val="DataTypeTok"/>
        </w:rPr>
        <w:t xml:space="preserve">y =</w:t>
      </w:r>
      <w:r>
        <w:rPr>
          <w:rStyle w:val="NormalTok"/>
        </w:rPr>
        <w:t xml:space="preserve">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(Part </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"幅(cm)"</w:t>
      </w:r>
      <w:r>
        <w:rPr>
          <w:rStyle w:val="NormalTok"/>
        </w:rPr>
        <w:t xml:space="preserve">, </w:t>
      </w:r>
      <w:r>
        <w:rPr>
          <w:rStyle w:val="DataTypeTok"/>
        </w:rPr>
        <w:t xml:space="preserve">y =</w:t>
      </w:r>
      <w:r>
        <w:rPr>
          <w:rStyle w:val="NormalTok"/>
        </w:rPr>
        <w:t xml:space="preserve"> </w:t>
      </w:r>
      <w:r>
        <w:rPr>
          <w:rStyle w:val="StringTok"/>
        </w:rPr>
        <w:t xml:space="preserve">"長さ(cm)"</w:t>
      </w:r>
      <w:r>
        <w:rPr>
          <w:rStyle w:val="NormalTok"/>
        </w:rPr>
        <w:t xml:space="preserve">, </w:t>
      </w:r>
      <w:r>
        <w:rPr>
          <w:rStyle w:val="DataTypeTok"/>
        </w:rPr>
        <w:t xml:space="preserve">color =</w:t>
      </w:r>
      <w:r>
        <w:rPr>
          <w:rStyle w:val="NormalTok"/>
        </w:rPr>
        <w:t xml:space="preserve"> </w:t>
      </w:r>
      <w:r>
        <w:rPr>
          <w:rStyle w:val="StringTok"/>
        </w:rPr>
        <w:t xml:space="preserve">"部位"</w:t>
      </w:r>
      <w:r>
        <w:rPr>
          <w:rStyle w:val="NormalTok"/>
        </w:rPr>
        <w:t xml:space="preserve">)</w:t>
      </w:r>
    </w:p>
    <w:p>
      <w:pPr>
        <w:pStyle w:val="FigureWithCaption"/>
      </w:pPr>
      <w:r>
        <w:drawing>
          <wp:inline>
            <wp:extent cx="4620126" cy="3696101"/>
            <wp:effectExtent b="0" l="0" r="0" t="0"/>
            <wp:docPr descr="種ごと部位ごとに可視化する" title="" id="1" name="Picture"/>
            <a:graphic>
              <a:graphicData uri="http://schemas.openxmlformats.org/drawingml/2006/picture">
                <pic:pic>
                  <pic:nvPicPr>
                    <pic:cNvPr descr="intro_to_tidyverse_doc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種ごと部位ごとに可視化する</w:t>
      </w:r>
    </w:p>
    <w:p>
      <w:pPr>
        <w:pStyle w:val="Heading1"/>
      </w:pPr>
      <w:bookmarkStart w:id="27" w:name="1"/>
      <w:bookmarkEnd w:id="27"/>
      <w:r>
        <w:t xml:space="preserve">仮説その1</w:t>
      </w:r>
    </w:p>
    <w:p>
      <w:pPr>
        <w:pStyle w:val="FirstParagraph"/>
      </w:pPr>
      <w:r>
        <w:t xml:space="preserve">もしかすると、長さと幅の関係は花弁とガクで共通と考えたほうがいいのかもしれません。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Part))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"gray 40"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gureWithCaption"/>
      </w:pPr>
      <w:r>
        <w:drawing>
          <wp:inline>
            <wp:extent cx="4620126" cy="3696101"/>
            <wp:effectExtent b="0" l="0" r="0" t="0"/>
            <wp:docPr descr="仮説1：長さと幅の関係は部位で共通" title="" id="1" name="Picture"/>
            <a:graphic>
              <a:graphicData uri="http://schemas.openxmlformats.org/drawingml/2006/picture">
                <pic:pic>
                  <pic:nvPicPr>
                    <pic:cNvPr descr="intro_to_tidyverse_doc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仮説1：長さと幅の関係は部位で共通</w:t>
      </w:r>
    </w:p>
    <w:p>
      <w:pPr>
        <w:pStyle w:val="BodyText"/>
      </w:pPr>
      <w:r>
        <w:t xml:space="preserve">よい相関があるので、仮説は妥当だったようです。</w:t>
      </w:r>
      <w:r>
        <w:t xml:space="preserve"> </w:t>
      </w:r>
      <w:r>
        <w:t xml:space="preserve">更に見てみると、近似直線の傾きがどれも似ているようです。</w:t>
      </w:r>
    </w:p>
    <w:p>
      <w:pPr>
        <w:pStyle w:val="Heading1"/>
      </w:pPr>
      <w:bookmarkStart w:id="29" w:name="2"/>
      <w:bookmarkEnd w:id="29"/>
      <w:r>
        <w:t xml:space="preserve">仮説その2</w:t>
      </w:r>
    </w:p>
    <w:p>
      <w:pPr>
        <w:pStyle w:val="FirstParagraph"/>
      </w:pPr>
      <w:r>
        <w:t xml:space="preserve">長さと幅の傾きは種が異なっても共通かもしれません。</w:t>
      </w:r>
      <w:r>
        <w:t xml:space="preserve"> </w:t>
      </w:r>
      <w:r>
        <w:t xml:space="preserve">確認してみましょう。</w:t>
      </w:r>
    </w:p>
    <w:p>
      <w:pPr>
        <w:pStyle w:val="SourceCode"/>
      </w:pP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Length, </w:t>
      </w:r>
      <w:r>
        <w:rPr>
          <w:rStyle w:val="DataTypeTok"/>
        </w:rPr>
        <w:t xml:space="preserve">color =</w:t>
      </w:r>
      <w:r>
        <w:rPr>
          <w:rStyle w:val="NormalTok"/>
        </w:rPr>
        <w:t xml:space="preserve"> Species))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Part),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"Width(cm)"</w:t>
      </w:r>
      <w:r>
        <w:rPr>
          <w:rStyle w:val="NormalTok"/>
        </w:rPr>
        <w:t xml:space="preserve">, </w:t>
      </w:r>
      <w:r>
        <w:rPr>
          <w:rStyle w:val="DataTypeTok"/>
        </w:rPr>
        <w:t xml:space="preserve">y =</w:t>
      </w:r>
      <w:r>
        <w:rPr>
          <w:rStyle w:val="NormalTok"/>
        </w:rPr>
        <w:t xml:space="preserve"> </w:t>
      </w:r>
      <w:r>
        <w:rPr>
          <w:rStyle w:val="StringTok"/>
        </w:rPr>
        <w:t xml:space="preserve">"Length(cm)"</w:t>
      </w:r>
      <w:r>
        <w:rPr>
          <w:rStyle w:val="NormalTok"/>
        </w:rPr>
        <w:t xml:space="preserve">)</w:t>
      </w:r>
    </w:p>
    <w:p>
      <w:pPr>
        <w:pStyle w:val="FigureWithCaption"/>
      </w:pPr>
      <w:r>
        <w:drawing>
          <wp:inline>
            <wp:extent cx="4620126" cy="3696101"/>
            <wp:effectExtent b="0" l="0" r="0" t="0"/>
            <wp:docPr descr="仮説2：傾きは同一に見える" title="" id="1" name="Picture"/>
            <a:graphic>
              <a:graphicData uri="http://schemas.openxmlformats.org/drawingml/2006/picture">
                <pic:pic>
                  <pic:nvPicPr>
                    <pic:cNvPr descr="intro_to_tidyverse_doc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仮説2：傾きは同一に見える</w:t>
      </w:r>
    </w:p>
    <w:p>
      <w:pPr>
        <w:pStyle w:val="BodyText"/>
      </w:pPr>
      <w:r>
        <w:t xml:space="preserve">95%信頼区間（グレーの領域）を考慮すると、同じ傾きである可能性は高そうです。</w:t>
      </w:r>
    </w:p>
    <w:p>
      <w:pPr>
        <w:pStyle w:val="Heading1"/>
      </w:pPr>
      <w:bookmarkStart w:id="31" w:name="線形モデルの結果を数値で取得する"/>
      <w:bookmarkEnd w:id="31"/>
      <w:r>
        <w:t xml:space="preserve">線形モデルの結果を数値で取得する</w:t>
      </w:r>
    </w:p>
    <w:p>
      <w:pPr>
        <w:pStyle w:val="FirstParagraph"/>
      </w:pPr>
      <w:r>
        <w:t xml:space="preserve">いままではグラフで確認していましたが、モデル化の結果を数値で取得することもできます。</w:t>
      </w:r>
      <w:r>
        <w:t xml:space="preserve"> </w:t>
      </w:r>
      <w:r>
        <w:t xml:space="preserve">係数は推定値と標準誤差がestimateとstd.errに、無相関のt検定の結果はstaticとp.valueに示されています。</w:t>
      </w:r>
    </w:p>
    <w:p>
      <w:pPr>
        <w:pStyle w:val="SourceCode"/>
      </w:pPr>
      <w:r>
        <w:rPr>
          <w:rStyle w:val="NormalTok"/>
        </w:rPr>
        <w:t xml:space="preserve">lm_coef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gureWithCaption"/>
      </w:pPr>
      <w:r>
        <w:drawing>
          <wp:inline>
            <wp:extent cx="4620126" cy="2030930"/>
            <wp:effectExtent b="0" l="0" r="0" t="0"/>
            <wp:docPr descr="線形モデルの結果を確認する" title="" id="1" name="Picture"/>
            <a:graphic>
              <a:graphicData uri="http://schemas.openxmlformats.org/drawingml/2006/picture">
                <pic:pic>
                  <pic:nvPicPr>
                    <pic:cNvPr descr="intro_to_tidyverse_doc_files/figure-docx/unnamed-chunk-7-1.png" id="0" name="Picture"/>
                    <pic:cNvPicPr>
                      <a:picLocks noChangeArrowheads="1" noChangeAspect="1"/>
                    </pic:cNvPicPr>
                  </pic:nvPicPr>
                  <pic:blipFill>
                    <a:blip r:embed="rId32"/>
                    <a:stretch>
                      <a:fillRect/>
                    </a:stretch>
                  </pic:blipFill>
                  <pic:spPr bwMode="auto">
                    <a:xfrm>
                      <a:off x="0" y="0"/>
                      <a:ext cx="4620126" cy="2030930"/>
                    </a:xfrm>
                    <a:prstGeom prst="rect">
                      <a:avLst/>
                    </a:prstGeom>
                    <a:noFill/>
                    <a:ln w="9525">
                      <a:noFill/>
                      <a:headEnd/>
                      <a:tailEnd/>
                    </a:ln>
                  </pic:spPr>
                </pic:pic>
              </a:graphicData>
            </a:graphic>
          </wp:inline>
        </w:drawing>
      </w:r>
    </w:p>
    <w:p>
      <w:pPr>
        <w:pStyle w:val="ImageCaption"/>
      </w:pPr>
      <w:r>
        <w:t xml:space="preserve">線形モデルの結果を確認する</w:t>
      </w:r>
    </w:p>
    <w:p>
      <w:pPr>
        <w:pStyle w:val="BodyText"/>
      </w:pPr>
      <w:r>
        <w:t xml:space="preserve">ここから95%信頼区間を求めるには、以下のように直接計算することもできますし、</w:t>
      </w:r>
    </w:p>
    <w:p>
      <w:pPr>
        <w:pStyle w:val="SourceCode"/>
      </w:pPr>
      <w:r>
        <w:rPr>
          <w:rStyle w:val="NormalTok"/>
        </w:rPr>
        <w:t xml:space="preserve">ci_lwr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ci_upr &lt;-</w:t>
      </w:r>
      <w:r>
        <w:rPr>
          <w:rStyle w:val="StringTok"/>
        </w:rPr>
        <w:t xml:space="preserve"> </w:t>
      </w:r>
      <w:r>
        <w:rPr>
          <w:rStyle w:val="ControlFlowTok"/>
        </w:rPr>
        <w:t xml:space="preserve">function</w:t>
      </w:r>
      <w:r>
        <w:rPr>
          <w:rStyle w:val="NormalTok"/>
        </w:rPr>
        <w:t xml:space="preserve">(coef, err, n, </w:t>
      </w:r>
      <w:r>
        <w:rPr>
          <w:rStyle w:val="DataTypeTok"/>
        </w:rPr>
        <w:t xml:space="preserve">p =</w:t>
      </w:r>
      <w:r>
        <w:rPr>
          <w:rStyle w:val="NormalTok"/>
        </w:rPr>
        <w:t xml:space="preserve"> </w:t>
      </w:r>
      <w:r>
        <w:rPr>
          <w:rStyle w:val="FloatTok"/>
        </w:rPr>
        <w:t xml:space="preserve">0.95</w:t>
      </w:r>
      <w:r>
        <w:rPr>
          <w:rStyle w:val="NormalTok"/>
        </w:rPr>
        <w:t xml:space="preserve">) {</w:t>
      </w:r>
      <w:r>
        <w:br w:type="textWrapping"/>
      </w:r>
      <w:r>
        <w:rPr>
          <w:rStyle w:val="NormalTok"/>
        </w:rPr>
        <w:t xml:space="preserve">  coef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err </w:t>
      </w:r>
      <w:r>
        <w:rPr>
          <w:rStyle w:val="OperatorTok"/>
        </w:rPr>
        <w:t xml:space="preserve">*</w:t>
      </w:r>
      <w:r>
        <w:rPr>
          <w:rStyle w:val="StringTok"/>
        </w:rPr>
        <w:t xml:space="preserve"> </w:t>
      </w:r>
      <w:r>
        <w:rPr>
          <w:rStyle w:val="KeywordTok"/>
        </w:rPr>
        <w:t xml:space="preserve">qt</w:t>
      </w:r>
      <w:r>
        <w:rPr>
          <w:rStyle w:val="NormalTok"/>
        </w:rPr>
        <w:t xml:space="preserve">(</w:t>
      </w:r>
      <w:r>
        <w:rPr>
          <w:rStyle w:val="DataTypeTok"/>
        </w:rPr>
        <w:t xml:space="preserve">df =</w:t>
      </w:r>
      <w:r>
        <w:rPr>
          <w:rStyle w:val="NormalTok"/>
        </w:rPr>
        <w:t xml:space="preserve"> n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lm_coef_ci &lt;-</w:t>
      </w:r>
      <w:r>
        <w:rPr>
          <w:rStyle w:val="StringTok"/>
        </w:rPr>
        <w:t xml:space="preserve"> </w:t>
      </w:r>
      <w:r>
        <w:rPr>
          <w:rStyle w:val="NormalTok"/>
        </w:rPr>
        <w:t xml:space="preserve">lm_coef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"Width"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ci_lwr =</w:t>
      </w:r>
      <w:r>
        <w:rPr>
          <w:rStyle w:val="NormalTok"/>
        </w:rPr>
        <w:t xml:space="preserve"> </w:t>
      </w:r>
      <w:r>
        <w:rPr>
          <w:rStyle w:val="KeywordTok"/>
        </w:rPr>
        <w:t xml:space="preserve">ci_lwr</w:t>
      </w:r>
      <w:r>
        <w:rPr>
          <w:rStyle w:val="NormalTok"/>
        </w:rPr>
        <w:t xml:space="preserve">(estimate, std.error, </w:t>
      </w:r>
      <w:r>
        <w:rPr>
          <w:rStyle w:val="DecValTok"/>
        </w:rPr>
        <w:t xml:space="preserve">100</w:t>
      </w:r>
      <w:r>
        <w:rPr>
          <w:rStyle w:val="NormalTok"/>
        </w:rPr>
        <w:t xml:space="preserve">),</w:t>
      </w:r>
      <w:r>
        <w:br w:type="textWrapping"/>
      </w:r>
      <w:r>
        <w:rPr>
          <w:rStyle w:val="NormalTok"/>
        </w:rPr>
        <w:t xml:space="preserve">            </w:t>
      </w:r>
      <w:r>
        <w:rPr>
          <w:rStyle w:val="DataTypeTok"/>
        </w:rPr>
        <w:t xml:space="preserve">ci_upr =</w:t>
      </w:r>
      <w:r>
        <w:rPr>
          <w:rStyle w:val="NormalTok"/>
        </w:rPr>
        <w:t xml:space="preserve"> </w:t>
      </w:r>
      <w:r>
        <w:rPr>
          <w:rStyle w:val="KeywordTok"/>
        </w:rPr>
        <w:t xml:space="preserve">ci_upr</w:t>
      </w:r>
      <w:r>
        <w:rPr>
          <w:rStyle w:val="NormalTok"/>
        </w:rPr>
        <w:t xml:space="preserve">(estimate, std.error, </w:t>
      </w:r>
      <w:r>
        <w:rPr>
          <w:rStyle w:val="DecValTok"/>
        </w:rPr>
        <w:t xml:space="preserve">100</w:t>
      </w:r>
      <w:r>
        <w:rPr>
          <w:rStyle w:val="NormalTok"/>
        </w:rPr>
        <w:t xml:space="preserve">))</w:t>
      </w:r>
    </w:p>
    <w:p>
      <w:pPr>
        <w:pStyle w:val="FirstParagraph"/>
      </w:pPr>
      <w:r>
        <w:t xml:space="preserve">以下のように信頼区間を求める関数を使うこともできます。</w:t>
      </w:r>
    </w:p>
    <w:p>
      <w:pPr>
        <w:pStyle w:val="SourceCode"/>
      </w:pPr>
      <w:r>
        <w:rPr>
          <w:rStyle w:val="NormalTok"/>
        </w:rPr>
        <w:t xml:space="preserve">lm_coef_ci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br w:type="textWrapping"/>
      </w:r>
      <w:r>
        <w:rPr>
          <w:rStyle w:val="StringTok"/>
        </w:rPr>
        <w:t xml:space="preserve">                   </w:t>
      </w:r>
      <w:r>
        <w:rPr>
          <w:rStyle w:val="KeywordTok"/>
        </w:rPr>
        <w:t xml:space="preserve">confint</w:t>
      </w:r>
      <w:r>
        <w:rPr>
          <w:rStyle w:val="NormalTok"/>
        </w:rPr>
        <w:t xml:space="preserve">(., </w:t>
      </w:r>
      <w:r>
        <w:rPr>
          <w:rStyle w:val="StringTok"/>
        </w:rPr>
        <w:t xml:space="preserve">"Width"</w:t>
      </w:r>
      <w:r>
        <w:rPr>
          <w:rStyle w:val="NormalTok"/>
        </w:rPr>
        <w:t xml:space="preserve">) </w:t>
      </w:r>
      <w:r>
        <w:rPr>
          <w:rStyle w:val="OperatorTok"/>
        </w:rPr>
        <w:t xml:space="preserve">%&gt;%</w:t>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p>
    <w:p>
      <w:pPr>
        <w:pStyle w:val="FirstParagraph"/>
      </w:pPr>
      <w:r>
        <w:t xml:space="preserve">その結果は以下のようになり、傾きが同一である可能性があるといえます。</w:t>
      </w:r>
    </w:p>
    <w:p>
      <w:pPr>
        <w:pStyle w:val="FigureWithCaption"/>
      </w:pPr>
      <w:r>
        <w:drawing>
          <wp:inline>
            <wp:extent cx="2030930" cy="1106905"/>
            <wp:effectExtent b="0" l="0" r="0" t="0"/>
            <wp:docPr descr="仮説2：傾きは同一といえる" title="" id="1" name="Picture"/>
            <a:graphic>
              <a:graphicData uri="http://schemas.openxmlformats.org/drawingml/2006/picture">
                <pic:pic>
                  <pic:nvPicPr>
                    <pic:cNvPr descr="intro_to_tidyverse_doc_files/figure-docx/unnamed-chunk-10-1.png" id="0" name="Picture"/>
                    <pic:cNvPicPr>
                      <a:picLocks noChangeArrowheads="1" noChangeAspect="1"/>
                    </pic:cNvPicPr>
                  </pic:nvPicPr>
                  <pic:blipFill>
                    <a:blip r:embed="rId33"/>
                    <a:stretch>
                      <a:fillRect/>
                    </a:stretch>
                  </pic:blipFill>
                  <pic:spPr bwMode="auto">
                    <a:xfrm>
                      <a:off x="0" y="0"/>
                      <a:ext cx="2030930" cy="1106905"/>
                    </a:xfrm>
                    <a:prstGeom prst="rect">
                      <a:avLst/>
                    </a:prstGeom>
                    <a:noFill/>
                    <a:ln w="9525">
                      <a:noFill/>
                      <a:headEnd/>
                      <a:tailEnd/>
                    </a:ln>
                  </pic:spPr>
                </pic:pic>
              </a:graphicData>
            </a:graphic>
          </wp:inline>
        </w:drawing>
      </w:r>
    </w:p>
    <w:p>
      <w:pPr>
        <w:pStyle w:val="ImageCaption"/>
      </w:pPr>
      <w:r>
        <w:t xml:space="preserve">仮説2：傾きは同一といえる</w:t>
      </w:r>
    </w:p>
    <w:p>
      <w:pPr>
        <w:pStyle w:val="Heading1"/>
      </w:pPr>
      <w:bookmarkStart w:id="34" w:name="線形モデルの妥当性確認"/>
      <w:bookmarkEnd w:id="34"/>
      <w:r>
        <w:t xml:space="preserve">線形モデルの妥当性確認</w:t>
      </w:r>
    </w:p>
    <w:p>
      <w:pPr>
        <w:pStyle w:val="FirstParagraph"/>
      </w:pPr>
      <w:r>
        <w:t xml:space="preserve">直線回帰が適切に行えているのか、残差の分布を確認してみましょう。</w:t>
      </w:r>
      <w:r>
        <w:t xml:space="preserve"> </w:t>
      </w:r>
      <w:r>
        <w:t xml:space="preserve">説明変数（Width）に対して残差のバラツキはほぼ均等のようですし、残差の分布も偏っていないようなので、問題ないでしょう。</w:t>
      </w:r>
    </w:p>
    <w:p>
      <w:pPr>
        <w:pStyle w:val="SourceCode"/>
      </w:pPr>
      <w:r>
        <w:rPr>
          <w:rStyle w:val="NormalTok"/>
        </w:rPr>
        <w:t xml:space="preserve">lm_resid &lt;-</w:t>
      </w:r>
      <w:r>
        <w:rPr>
          <w:rStyle w:val="StringTok"/>
        </w:rPr>
        <w:t xml:space="preserve"> </w:t>
      </w:r>
      <w:r>
        <w:rPr>
          <w:rStyle w:val="NormalTok"/>
        </w:rPr>
        <w:t xml:space="preserve">iris_long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list</w:t>
      </w:r>
      <w:r>
        <w:rPr>
          <w:rStyle w:val="NormalTok"/>
        </w:rPr>
        <w:t xml:space="preserve">(</w:t>
      </w:r>
      <w:r>
        <w:rPr>
          <w:rStyle w:val="KeywordTok"/>
        </w:rPr>
        <w:t xml:space="preserve">lm</w:t>
      </w:r>
      <w:r>
        <w:rPr>
          <w:rStyle w:val="NormalTok"/>
        </w:rPr>
        <w:t xml:space="preserve">(Length </w:t>
      </w:r>
      <w:r>
        <w:rPr>
          <w:rStyle w:val="OperatorTok"/>
        </w:rPr>
        <w:t xml:space="preserve">~</w:t>
      </w:r>
      <w:r>
        <w:rPr>
          <w:rStyle w:val="StringTok"/>
        </w:rPr>
        <w:t xml:space="preserve"> </w:t>
      </w:r>
      <w:r>
        <w:rPr>
          <w:rStyle w:val="NormalTok"/>
        </w:rPr>
        <w:t xml:space="preserve">Width) </w:t>
      </w:r>
      <w:r>
        <w:rPr>
          <w:rStyle w:val="OperatorTok"/>
        </w:rPr>
        <w:t xml:space="preserve">%&gt;%</w:t>
      </w:r>
      <w:r>
        <w:rPr>
          <w:rStyle w:val="StringTok"/>
        </w:rPr>
        <w:t xml:space="preserve"> </w:t>
      </w:r>
      <w:r>
        <w:rPr>
          <w:rStyle w:val="KeywordTok"/>
        </w:rPr>
        <w:t xml:space="preserve">augment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unnest</w:t>
      </w:r>
      <w:r>
        <w:rPr>
          <w:rStyle w:val="NormalTok"/>
        </w:rPr>
        <w:t xml:space="preserve">()</w:t>
      </w:r>
      <w:r>
        <w:br w:type="textWrapping"/>
      </w:r>
      <w:r>
        <w:br w:type="textWrapping"/>
      </w: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(Width,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gureWithCaption"/>
      </w:pPr>
      <w:r>
        <w:drawing>
          <wp:inline>
            <wp:extent cx="4620126" cy="1848050"/>
            <wp:effectExtent b="0" l="0" r="0" t="0"/>
            <wp:docPr descr="残差プロットを確認してモデルをチェックする" title="" id="1" name="Picture"/>
            <a:graphic>
              <a:graphicData uri="http://schemas.openxmlformats.org/drawingml/2006/picture">
                <pic:pic>
                  <pic:nvPicPr>
                    <pic:cNvPr descr="intro_to_tidyverse_doc_files/figure-docx/unnamed-chunk-11-1.png" id="0" name="Picture"/>
                    <pic:cNvPicPr>
                      <a:picLocks noChangeArrowheads="1" noChangeAspect="1"/>
                    </pic:cNvPicPr>
                  </pic:nvPicPr>
                  <pic:blipFill>
                    <a:blip r:embed="rId35"/>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残差プロットを確認してモデルをチェックする</w:t>
      </w:r>
    </w:p>
    <w:p>
      <w:pPr>
        <w:pStyle w:val="SourceCode"/>
      </w:pPr>
      <w:r>
        <w:rPr>
          <w:rStyle w:val="NormalTok"/>
        </w:rPr>
        <w:t xml:space="preserve">lm_resid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.resid))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Species, </w:t>
      </w:r>
      <w:r>
        <w:rPr>
          <w:rStyle w:val="DataTypeTok"/>
        </w:rPr>
        <w:t xml:space="preserve">scales =</w:t>
      </w:r>
      <w:r>
        <w:rPr>
          <w:rStyle w:val="NormalTok"/>
        </w:rPr>
        <w:t xml:space="preserve"> </w:t>
      </w:r>
      <w:r>
        <w:rPr>
          <w:rStyle w:val="StringTok"/>
        </w:rPr>
        <w:t xml:space="preserve">"free_x"</w:t>
      </w:r>
      <w:r>
        <w:rPr>
          <w:rStyle w:val="NormalTok"/>
        </w:rPr>
        <w:t xml:space="preserve">)</w:t>
      </w:r>
    </w:p>
    <w:p>
      <w:pPr>
        <w:pStyle w:val="FigureWithCaption"/>
      </w:pPr>
      <w:r>
        <w:drawing>
          <wp:inline>
            <wp:extent cx="4620126" cy="1848050"/>
            <wp:effectExtent b="0" l="0" r="0" t="0"/>
            <wp:docPr descr="残差プロットを確認してモデルをチェックする" title="" id="1" name="Picture"/>
            <a:graphic>
              <a:graphicData uri="http://schemas.openxmlformats.org/drawingml/2006/picture">
                <pic:pic>
                  <pic:nvPicPr>
                    <pic:cNvPr descr="intro_to_tidyverse_doc_files/figure-docx/unnamed-chunk-11-2.png" id="0" name="Picture"/>
                    <pic:cNvPicPr>
                      <a:picLocks noChangeArrowheads="1" noChangeAspect="1"/>
                    </pic:cNvPicPr>
                  </pic:nvPicPr>
                  <pic:blipFill>
                    <a:blip r:embed="rId36"/>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残差プロットを確認してモデルをチェックする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6d43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Rによる探索的データ分析入門</dc:title>
  <dc:creator>発電基盤開発課 高津一誠</dc:creator>
  <dcterms:created xsi:type="dcterms:W3CDTF">2018-10-09T19:35:13Z</dcterms:created>
  <dcterms:modified xsi:type="dcterms:W3CDTF">2018-10-09T19:35:13Z</dcterms:modified>
</cp:coreProperties>
</file>