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6768"/>
            <w:tcMar>
              <w:top w:w="60" w:type="dxa"/>
              <w:bottom w:w="60" w:type="dxa"/>
              <w:left w:w="0" w:type="dxa"/>
              <w:right w:w="100" w:type="dxa"/>
            </w:tcMar>
          </w:tcPr>
          <w:p>
            <w:pPr>
              <w:spacing w:after="40"/>
            </w:pPr>
            <w:r>
              <w:rPr>
                <w:rFonts w:ascii="Calibri" w:hAnsi="Calibri"/>
                <w:b/>
                <w:color w:val="C59B27"/>
                <w:sz w:val="18"/>
              </w:rPr>
              <w:t>STATE INFORMATION TECHNOLOGY AGENCY (SITA)</w:t>
            </w:r>
          </w:p>
          <w:p>
            <w:pPr>
              <w:spacing w:before="0" w:after="80"/>
            </w:pPr>
            <w:r>
              <w:rPr>
                <w:rFonts w:ascii="Calibri" w:hAnsi="Calibri"/>
                <w:b/>
                <w:color w:val="1B365D"/>
                <w:sz w:val="30"/>
              </w:rPr>
              <w:t>EXECUTIVE BRIEF: SECURITY REMEDIATION TRUTH REPORT</w:t>
            </w:r>
          </w:p>
          <w:p>
            <w:pPr>
              <w:spacing w:before="0" w:after="0"/>
            </w:pPr>
            <w:r>
              <w:rPr>
                <w:rFonts w:ascii="Calibri" w:hAnsi="Calibri"/>
                <w:i/>
                <w:color w:val="64748B"/>
                <w:sz w:val="19"/>
              </w:rPr>
              <w:t>Consolidated Platform Audit Across VAPT, HCL AppScan DAST &amp; Unified SAST</w:t>
            </w:r>
          </w:p>
        </w:tc>
        <w:tc>
          <w:tcPr>
            <w:tcW w:type="dxa" w:w="3168"/>
            <w:shd w:fill="F4F6F9"/>
            <w:tcMar>
              <w:top w:w="100" w:type="dxa"/>
              <w:bottom w:w="100" w:type="dxa"/>
              <w:left w:w="140" w:type="dxa"/>
              <w:right w:w="140" w:type="dxa"/>
            </w:tcMar>
            <w:tcBorders>
              <w:top w:val="single" w:sz="4" w:space="0" w:color="D1D5DB"/>
              <w:left w:val="single" w:sz="12" w:space="0" w:color="C59B27"/>
              <w:bottom w:val="single" w:sz="4" w:space="0" w:color="D1D5DB"/>
              <w:right w:val="single" w:sz="4" w:space="0" w:color="D1D5DB"/>
              <w:insideH w:val="none"/>
              <w:insideV w:val="none"/>
            </w:tcBorders>
          </w:tcPr>
          <w:p>
            <w:pPr>
              <w:spacing w:before="0" w:after="40" w:line="276" w:lineRule="auto"/>
            </w:pPr>
            <w:r>
              <w:rPr>
                <w:rFonts w:ascii="Calibri" w:hAnsi="Calibri"/>
                <w:b/>
                <w:color w:val="1B365D"/>
                <w:sz w:val="16"/>
              </w:rPr>
              <w:t xml:space="preserve">DOC ID: </w:t>
            </w:r>
            <w:r>
              <w:rPr>
                <w:rFonts w:ascii="Calibri" w:hAnsi="Calibri"/>
                <w:color w:val="1E293B"/>
                <w:sz w:val="16"/>
              </w:rPr>
              <w:t>SITA-SEC-TRUTH-2026-EB1.0</w:t>
              <w:br/>
            </w:r>
            <w:r>
              <w:rPr>
                <w:rFonts w:ascii="Calibri" w:hAnsi="Calibri"/>
                <w:b/>
                <w:color w:val="1B365D"/>
                <w:sz w:val="16"/>
              </w:rPr>
              <w:t xml:space="preserve">CLASSIFICATION: </w:t>
            </w:r>
            <w:r>
              <w:rPr>
                <w:rFonts w:ascii="Calibri" w:hAnsi="Calibri"/>
                <w:color w:val="1E293B"/>
                <w:sz w:val="16"/>
              </w:rPr>
              <w:t>RESTRICTED (AUDIT GRADE)</w:t>
              <w:br/>
            </w:r>
            <w:r>
              <w:rPr>
                <w:rFonts w:ascii="Calibri" w:hAnsi="Calibri"/>
                <w:b/>
                <w:color w:val="1B365D"/>
                <w:sz w:val="16"/>
              </w:rPr>
              <w:t xml:space="preserve">DATE: </w:t>
            </w:r>
            <w:r>
              <w:rPr>
                <w:rFonts w:ascii="Calibri" w:hAnsi="Calibri"/>
                <w:color w:val="1E293B"/>
                <w:sz w:val="16"/>
              </w:rPr>
              <w:t>20 October 2026</w:t>
              <w:br/>
            </w:r>
            <w:r>
              <w:rPr>
                <w:rFonts w:ascii="Calibri" w:hAnsi="Calibri"/>
                <w:b/>
                <w:color w:val="1B365D"/>
                <w:sz w:val="16"/>
              </w:rPr>
              <w:t xml:space="preserve">TECHNICAL LEAD: </w:t>
            </w:r>
            <w:r>
              <w:rPr>
                <w:rFonts w:ascii="Calibri" w:hAnsi="Calibri"/>
                <w:color w:val="1E293B"/>
                <w:sz w:val="16"/>
              </w:rPr>
              <w:t>Takawira Mazando</w:t>
              <w:br/>
            </w:r>
            <w:r>
              <w:rPr>
                <w:rFonts w:ascii="Calibri" w:hAnsi="Calibri"/>
                <w:b/>
                <w:color w:val="1B365D"/>
                <w:sz w:val="16"/>
              </w:rPr>
              <w:t xml:space="preserve">STAGING TARGET: </w:t>
            </w:r>
            <w:r>
              <w:rPr>
                <w:rFonts w:ascii="Calibri" w:hAnsi="Calibri"/>
                <w:color w:val="1E293B"/>
                <w:sz w:val="16"/>
              </w:rPr>
              <w:t>192.168.101.20 (Ubuntu 26.04)</w:t>
              <w:br/>
            </w:r>
          </w:p>
        </w:tc>
      </w:tr>
    </w:tbl>
    <w:p>
      <w:pPr>
        <w:spacing w:before="120" w:after="20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77"/>
            <w:shd w:fill="E6F4EA"/>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insideH w:val="none"/>
              <w:insideV w:val="none"/>
            </w:tcBorders>
          </w:tcPr>
          <w:p>
            <w:pPr>
              <w:spacing w:before="40" w:after="40"/>
              <w:jc w:val="center"/>
            </w:pPr>
            <w:r>
              <w:rPr>
                <w:rFonts w:ascii="Calibri" w:hAnsi="Calibri"/>
                <w:b/>
                <w:color w:val="107C41"/>
                <w:sz w:val="30"/>
              </w:rPr>
              <w:t>100%</w:t>
              <w:br/>
            </w:r>
            <w:r>
              <w:rPr>
                <w:rFonts w:ascii="Calibri" w:hAnsi="Calibri"/>
                <w:b/>
                <w:color w:val="1E293B"/>
                <w:sz w:val="15"/>
              </w:rPr>
              <w:t>Production Code Remediated</w:t>
            </w:r>
          </w:p>
        </w:tc>
        <w:tc>
          <w:tcPr>
            <w:tcW w:type="dxa" w:w="2477"/>
            <w:shd w:fill="E6F4EA"/>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insideH w:val="none"/>
              <w:insideV w:val="none"/>
            </w:tcBorders>
          </w:tcPr>
          <w:p>
            <w:pPr>
              <w:spacing w:before="40" w:after="40"/>
              <w:jc w:val="center"/>
            </w:pPr>
            <w:r>
              <w:rPr>
                <w:rFonts w:ascii="Calibri" w:hAnsi="Calibri"/>
                <w:b/>
                <w:color w:val="107C41"/>
                <w:sz w:val="30"/>
              </w:rPr>
              <w:t>0</w:t>
              <w:br/>
            </w:r>
            <w:r>
              <w:rPr>
                <w:rFonts w:ascii="Calibri" w:hAnsi="Calibri"/>
                <w:b/>
                <w:color w:val="1E293B"/>
                <w:sz w:val="15"/>
              </w:rPr>
              <w:t>Open Critical / High Vulnerabilities</w:t>
            </w:r>
          </w:p>
        </w:tc>
        <w:tc>
          <w:tcPr>
            <w:tcW w:type="dxa" w:w="2477"/>
            <w:shd w:fill="F4F6F9"/>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insideH w:val="none"/>
              <w:insideV w:val="none"/>
            </w:tcBorders>
          </w:tcPr>
          <w:p>
            <w:pPr>
              <w:spacing w:before="40" w:after="40"/>
              <w:jc w:val="center"/>
            </w:pPr>
            <w:r>
              <w:rPr>
                <w:rFonts w:ascii="Calibri" w:hAnsi="Calibri"/>
                <w:b/>
                <w:color w:val="1B365D"/>
                <w:sz w:val="30"/>
              </w:rPr>
              <w:t>421 / 421</w:t>
              <w:br/>
            </w:r>
            <w:r>
              <w:rPr>
                <w:rFonts w:ascii="Calibri" w:hAnsi="Calibri"/>
                <w:b/>
                <w:color w:val="1E293B"/>
                <w:sz w:val="15"/>
              </w:rPr>
              <w:t>Backend Regression Tests Passed</w:t>
            </w:r>
          </w:p>
        </w:tc>
        <w:tc>
          <w:tcPr>
            <w:tcW w:type="dxa" w:w="2477"/>
            <w:shd w:fill="FEF3C7"/>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insideH w:val="none"/>
              <w:insideV w:val="none"/>
            </w:tcBorders>
          </w:tcPr>
          <w:p>
            <w:pPr>
              <w:spacing w:before="40" w:after="40"/>
              <w:jc w:val="center"/>
            </w:pPr>
            <w:r>
              <w:rPr>
                <w:rFonts w:ascii="Calibri" w:hAnsi="Calibri"/>
                <w:b/>
                <w:color w:val="B45309"/>
                <w:sz w:val="30"/>
              </w:rPr>
              <w:t>4</w:t>
              <w:br/>
            </w:r>
            <w:r>
              <w:rPr>
                <w:rFonts w:ascii="Calibri" w:hAnsi="Calibri"/>
                <w:b/>
                <w:color w:val="1E293B"/>
                <w:sz w:val="15"/>
              </w:rPr>
              <w:t>Go-Live Operational Steps Identified</w:t>
            </w:r>
          </w:p>
        </w:tc>
      </w:tr>
    </w:tbl>
    <w:p>
      <w:pPr>
        <w:spacing w:before="80" w:after="80"/>
      </w:pPr>
    </w:p>
    <w:p>
      <w:pPr>
        <w:keepNext/>
        <w:spacing w:before="280" w:after="80"/>
      </w:pPr>
      <w:r>
        <w:rPr>
          <w:rFonts w:ascii="Calibri" w:hAnsi="Calibri"/>
          <w:b/>
          <w:color w:val="1B365D"/>
          <w:sz w:val="28"/>
        </w:rPr>
        <w:t>1. Executive Summary &amp; Strategic Takeaway</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sz="4" w:space="0" w:color="auto"/>
              <w:left w:val="single" w:sz="24" w:space="0" w:color="1B365D"/>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CORE TAKEAWAY FOR SENIOR STAKEHOLDERS: </w:t>
            </w:r>
            <w:r>
              <w:rPr>
                <w:rFonts w:ascii="Calibri" w:hAnsi="Calibri"/>
                <w:color w:val="1E293B"/>
                <w:sz w:val="19"/>
              </w:rPr>
              <w:t>All application code vulnerabilities identified across Baseline VAPT, Delta VAPT, HCL AppScan DAST, and Unified SAST have been completely remediated. Zero critical or high severity defects remain open in production containers. Exactly 13 static scan findings were audited and safely dispositioned as non-production synthetic test fixtures. Four institutional go-live prerequisites (MFA, production cutover flag, HSM key custody, and font SRI risk acceptance) have been mapped for administrative sign-off.</w:t>
            </w:r>
          </w:p>
        </w:tc>
      </w:tr>
    </w:tbl>
    <w:p>
      <w:pPr>
        <w:spacing w:before="0" w:after="80"/>
      </w:pPr>
    </w:p>
    <w:p>
      <w:pPr>
        <w:keepNext/>
        <w:spacing w:before="280" w:after="80"/>
      </w:pPr>
      <w:r>
        <w:rPr>
          <w:rFonts w:ascii="Calibri" w:hAnsi="Calibri"/>
          <w:b/>
          <w:color w:val="1B365D"/>
          <w:sz w:val="28"/>
        </w:rPr>
        <w:t>2. Consolidated Assessment &amp; Remediation Ledger</w:t>
      </w:r>
    </w:p>
    <w:p>
      <w:pPr>
        <w:spacing w:before="40" w:after="120"/>
      </w:pPr>
      <w:r>
        <w:rPr>
          <w:rFonts w:ascii="Calibri" w:hAnsi="Calibri"/>
          <w:sz w:val="19"/>
        </w:rPr>
        <w:t>The table below details the full trajectory of security evaluations, documented findings, resolution milestones, and automated verification evidence:</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72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Assessment Cycle</w:t>
            </w:r>
          </w:p>
        </w:tc>
        <w:tc>
          <w:tcPr>
            <w:tcW w:type="dxa" w:w="158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Date &amp; Target</w:t>
            </w:r>
          </w:p>
        </w:tc>
        <w:tc>
          <w:tcPr>
            <w:tcW w:type="dxa" w:w="2160"/>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Exact Findings Reported</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Remediation &amp; Disposition</w:t>
            </w:r>
          </w:p>
        </w:tc>
        <w:tc>
          <w:tcPr>
            <w:tcW w:type="dxa" w:w="201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Verification Evidence</w:t>
            </w:r>
          </w:p>
        </w:tc>
      </w:tr>
      <w:tr>
        <w:trPr>
          <w:cantSplit/>
        </w:trPr>
        <w:tc>
          <w:tcPr>
            <w:tcW w:type="dxa" w:w="172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1. Baseline VAPT</w:t>
            </w:r>
          </w:p>
        </w:tc>
        <w:tc>
          <w:tcPr>
            <w:tcW w:type="dxa" w:w="158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Sept 2026</w:t>
              <w:br/>
              <w:t>Local Dev Stack</w:t>
            </w:r>
          </w:p>
        </w:tc>
        <w:tc>
          <w:tcPr>
            <w:tcW w:type="dxa" w:w="2160"/>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6 findings:</w:t>
              <w:br/>
              <w:t>• 1 Critical</w:t>
              <w:br/>
              <w:t>• 2 High</w:t>
              <w:br/>
              <w:t>• 3 Medium</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 5 Remediated in code (Commit 948d02d)</w:t>
              <w:br/>
              <w:t>• 1 Policy pending (IdP MFA)</w:t>
            </w:r>
          </w:p>
        </w:tc>
        <w:tc>
          <w:tcPr>
            <w:tcW w:type="dxa" w:w="201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19/19 Regression tests passed</w:t>
              <w:br/>
              <w:t>(test_remediation_verification.py)</w:t>
            </w:r>
          </w:p>
        </w:tc>
      </w:tr>
      <w:tr>
        <w:trPr>
          <w:cantSplit/>
        </w:trPr>
        <w:tc>
          <w:tcPr>
            <w:tcW w:type="dxa" w:w="172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2. Delta VAPT</w:t>
            </w:r>
          </w:p>
        </w:tc>
        <w:tc>
          <w:tcPr>
            <w:tcW w:type="dxa" w:w="158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12 Oct 2026</w:t>
              <w:br/>
              <w:t>192.168.101.20 (Staging)</w:t>
            </w:r>
          </w:p>
        </w:tc>
        <w:tc>
          <w:tcPr>
            <w:tcW w:type="dxa" w:w="2160"/>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Gap analysis on remote containerized stack</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 Verified zero regressions</w:t>
              <w:br/>
              <w:t>• All 5 baseline fixes active</w:t>
            </w:r>
          </w:p>
        </w:tc>
        <w:tc>
          <w:tcPr>
            <w:tcW w:type="dxa" w:w="201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AIMI MCP Engagement #346</w:t>
              <w:br/>
              <w:t>Job e21128fc verified live</w:t>
            </w:r>
          </w:p>
        </w:tc>
      </w:tr>
      <w:tr>
        <w:trPr>
          <w:cantSplit/>
        </w:trPr>
        <w:tc>
          <w:tcPr>
            <w:tcW w:type="dxa" w:w="172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3. HCL AppScan DAST</w:t>
            </w:r>
          </w:p>
        </w:tc>
        <w:tc>
          <w:tcPr>
            <w:tcW w:type="dxa" w:w="158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13 Oct 2026</w:t>
              <w:br/>
              <w:t>Staging Web &amp; API</w:t>
            </w:r>
          </w:p>
        </w:tc>
        <w:tc>
          <w:tcPr>
            <w:tcW w:type="dxa" w:w="2160"/>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38 unique findings (83 raw alerts):</w:t>
              <w:br/>
              <w:t>• 7 High, 8 Medium</w:t>
              <w:br/>
              <w:t>• 2 Low, 21 Informational</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 38/38 Remediated, mitigated, or accepted as informational</w:t>
            </w:r>
          </w:p>
        </w:tc>
        <w:tc>
          <w:tcPr>
            <w:tcW w:type="dxa" w:w="201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30/30 DAST regression tests;</w:t>
              <w:br/>
              <w:t>Nginx headers &amp; rate-limits verified</w:t>
            </w:r>
          </w:p>
        </w:tc>
      </w:tr>
      <w:tr>
        <w:trPr>
          <w:cantSplit/>
        </w:trPr>
        <w:tc>
          <w:tcPr>
            <w:tcW w:type="dxa" w:w="172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4. Unified SAST Scan</w:t>
            </w:r>
          </w:p>
        </w:tc>
        <w:tc>
          <w:tcPr>
            <w:tcW w:type="dxa" w:w="158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14–16 Oct 2026</w:t>
              <w:br/>
              <w:t>Full Repository</w:t>
            </w:r>
          </w:p>
        </w:tc>
        <w:tc>
          <w:tcPr>
            <w:tcW w:type="dxa" w:w="2160"/>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69 findings across 10 CWEs:</w:t>
              <w:br/>
              <w:t>• 5 Critical</w:t>
              <w:br/>
              <w:t>• 31 High</w:t>
              <w:br/>
              <w:t>• 33 Medium</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 56 Remediated in Code &amp; IaC</w:t>
              <w:br/>
              <w:t>• 13 Dispositioned (Safe Test Code)</w:t>
              <w:br/>
              <w:t>• 0 Open in production</w:t>
            </w:r>
          </w:p>
        </w:tc>
        <w:tc>
          <w:tcPr>
            <w:tcW w:type="dxa" w:w="201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421/421 Backend tests passing;</w:t>
              <w:br/>
              <w:t>Container cgroups &amp; defusedxml active</w:t>
            </w:r>
          </w:p>
        </w:tc>
      </w:tr>
    </w:tbl>
    <w:p>
      <w:r>
        <w:br w:type="page"/>
      </w:r>
    </w:p>
    <w:p>
      <w:pPr>
        <w:keepNext/>
        <w:spacing w:before="280" w:after="80"/>
      </w:pPr>
      <w:r>
        <w:rPr>
          <w:rFonts w:ascii="Calibri" w:hAnsi="Calibri"/>
          <w:b/>
          <w:color w:val="1B365D"/>
          <w:sz w:val="28"/>
        </w:rPr>
        <w:t>3. Technical Architecture &amp; Defense Remediation Highlights</w:t>
      </w:r>
    </w:p>
    <w:p>
      <w:pPr>
        <w:spacing w:after="120"/>
      </w:pPr>
      <w:r>
        <w:rPr>
          <w:rFonts w:ascii="Calibri" w:hAnsi="Calibri"/>
          <w:sz w:val="19"/>
        </w:rPr>
        <w:t>Remediations implemented across application source code, middleware, and Infrastructure-as-Code (IaC) establish five layered defense controls: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Security Control Domain</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Engineering Remediation Applied</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Impact &amp; Threat Mitigated</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Authentication &amp; Default Guardrails</w:t>
              <w:br/>
              <w:t>(R-01, R-02, R-06)</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Added Pydantic startup validator Settings._guard_non_dev_defaults(). Application refuses to boot if default admin passwords ('admin123') or weak secrets exist outside dev. Implemented Nginx rate-limiting zone auth_login (10 req/min).</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Blocks unauthorized administrative access and brute-force credential stuffing.</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Cryptographic Integrity</w:t>
              <w:br/>
              <w:t>(D-01, CWE-327)</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Configured authentication middleware to reject JWT 'alg:none' and algorithm mismatches with immediate HTTP 401. Replaced legacy MD5 hashing with SHA-256 and upgraded PRNG to secrets.SystemRandom().</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Prevents token forgery, signature bypass, and cryptographic predictability.</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Injection &amp; Parser Hardening</w:t>
              <w:br/>
              <w:t>(CWE-91, CWE-73, CWE-79)</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Enforced defusedxml.ElementTree across XML ingestion pipelines (blocking XXE/DTD attacks). Sanitized path operations with canonical pathlib.Path.resolve(). Wrapped innerHTML sinks in HTML esc() encoders.</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Eliminates XML external entity injection, path traversal, and Cross-Site Scripting (XSS).</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API Surface &amp; Traffic Bounds</w:t>
              <w:br/>
              <w:t>(R-04, R-05, D-04)</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Restricted CORS to strictly explicit white-listed domains; disabled OpenAPI / Swagger docs outside dev; enforced Query(le=200) parameter boundaries across all list endpoints.</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Prevents API reconnaissance, unauthorized cross-origin data exposure, and memory exhaustion DoS.</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Container &amp; Host Hardening</w:t>
              <w:br/>
              <w:t>(CWE-266, CWE-16, CWE-400)</w:t>
            </w:r>
          </w:p>
        </w:tc>
        <w:tc>
          <w:tcPr>
            <w:tcW w:type="dxa" w:w="4896"/>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Configured Docker containers to run under unprivileged appuser:appgroup with no-new-privileges flag. Pinned base images to python:3.12.7-slim. Defined strict CPU (0.5–2.0) and memory (256M–2G) quotas.</w:t>
            </w:r>
          </w:p>
        </w:tc>
        <w:tc>
          <w:tcPr>
            <w:tcW w:type="dxa" w:w="244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Prevents container breakouts, privilege escalation, and noisy-neighbor host resource starvation.</w:t>
            </w:r>
          </w:p>
        </w:tc>
      </w:tr>
    </w:tbl>
    <w:p>
      <w:pPr>
        <w:keepNext/>
        <w:spacing w:before="280" w:after="80"/>
      </w:pPr>
      <w:r>
        <w:rPr>
          <w:rFonts w:ascii="Calibri" w:hAnsi="Calibri"/>
          <w:b/>
          <w:color w:val="1B365D"/>
          <w:sz w:val="28"/>
        </w:rPr>
        <w:t>4. Truthful Audit Disposition: The 13 Synthetic Test Findings</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200" w:type="dxa"/>
              <w:right w:w="200" w:type="dxa"/>
            </w:tcMar>
            <w:tcBorders>
              <w:top w:val="none" w:sz="4" w:space="0" w:color="auto"/>
              <w:left w:val="single" w:sz="24" w:space="0" w:color="B45309"/>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AUDIT TRANSPARENCY NOTE: </w:t>
            </w:r>
            <w:r>
              <w:rPr>
                <w:rFonts w:ascii="Calibri" w:hAnsi="Calibri"/>
                <w:color w:val="1E293B"/>
                <w:sz w:val="19"/>
              </w:rPr>
              <w:t>A core mark of engineering integrity is distinguishing actual production vulnerabilities from benign test fixtures. Exactly 13 of the 69 SAST findings were located in backend/tests/test_remediation_verification.py, test_tenancy.py, and synthetic generator scripts. These files contain mock credentials used specifically to verify that insecure logins are rejected. They are strictly excluded from production Docker container images, pose zero security exposure, and have been formally documented and marked with '# nosec'.</w:t>
            </w:r>
          </w:p>
        </w:tc>
      </w:tr>
    </w:tbl>
    <w:p>
      <w:pPr>
        <w:spacing w:before="0" w:after="80"/>
      </w:pPr>
    </w:p>
    <w:p>
      <w:pPr>
        <w:keepNext/>
        <w:spacing w:before="280" w:after="80"/>
      </w:pPr>
      <w:r>
        <w:rPr>
          <w:rFonts w:ascii="Calibri" w:hAnsi="Calibri"/>
          <w:b/>
          <w:color w:val="1B365D"/>
          <w:sz w:val="28"/>
        </w:rPr>
        <w:t>5. Operational Dependencies &amp; Go-Live Checklist</w:t>
      </w:r>
    </w:p>
    <w:p>
      <w:pPr>
        <w:spacing w:after="120"/>
      </w:pPr>
      <w:r>
        <w:rPr>
          <w:rFonts w:ascii="Calibri" w:hAnsi="Calibri"/>
          <w:sz w:val="19"/>
        </w:rPr>
        <w:t>To ensure complete transparency with leadership, four operational prerequisites are scheduled for final execution prior to production go-live:</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Operational Item</w:t>
            </w:r>
          </w:p>
        </w:tc>
        <w:tc>
          <w:tcPr>
            <w:tcW w:type="dxa" w:w="187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Governance Domain</w:t>
            </w:r>
          </w:p>
        </w:tc>
        <w:tc>
          <w:tcPr>
            <w:tcW w:type="dxa" w:w="316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Technical Dependency &amp; Context</w:t>
            </w:r>
          </w:p>
        </w:tc>
        <w:tc>
          <w:tcPr>
            <w:tcW w:type="dxa" w:w="230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1B365D"/>
          </w:tcPr>
          <w:p>
            <w:pPr>
              <w:spacing w:before="40" w:after="40"/>
            </w:pPr>
            <w:r>
              <w:rPr>
                <w:rFonts w:ascii="Calibri" w:hAnsi="Calibri"/>
                <w:b/>
                <w:color w:val="FFFFFF"/>
                <w:sz w:val="18"/>
              </w:rPr>
              <w:t>Action Required For Go-Live</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1. Multi-Factor Auth (MFA)</w:t>
            </w:r>
          </w:p>
        </w:tc>
        <w:tc>
          <w:tcPr>
            <w:tcW w:type="dxa" w:w="187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Institutional Policy</w:t>
              <w:br/>
              <w:t>(Baseline VAPT)</w:t>
            </w:r>
          </w:p>
        </w:tc>
        <w:tc>
          <w:tcPr>
            <w:tcW w:type="dxa" w:w="316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Handled at the enterprise Identity Provider level (Okta / Cloud SSO), not within application code.</w:t>
            </w:r>
          </w:p>
        </w:tc>
        <w:tc>
          <w:tcPr>
            <w:tcW w:type="dxa" w:w="230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SITA Identity Admin must enforce mandatory TOTP/Push MFA for all admin roles.</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2. Production Cutover Flag</w:t>
            </w:r>
          </w:p>
        </w:tc>
        <w:tc>
          <w:tcPr>
            <w:tcW w:type="dxa" w:w="187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Deployment Config</w:t>
              <w:br/>
              <w:t>(Delta VAPT)</w:t>
            </w:r>
          </w:p>
        </w:tc>
        <w:tc>
          <w:tcPr>
            <w:tcW w:type="dxa" w:w="316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Remote staging operates with ENVIRONMENT=development to facilitate integration testing.</w:t>
            </w:r>
          </w:p>
        </w:tc>
        <w:tc>
          <w:tcPr>
            <w:tcW w:type="dxa" w:w="230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Set ENVIRONMENT=production in deployment .env to engage startup guardrails.</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b/>
                <w:color w:val="1E293B"/>
                <w:sz w:val="17"/>
              </w:rPr>
              <w:t>3. HSM Key Custody</w:t>
            </w:r>
          </w:p>
        </w:tc>
        <w:tc>
          <w:tcPr>
            <w:tcW w:type="dxa" w:w="187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Key Management</w:t>
              <w:br/>
              <w:t>(POPIA Compliance)</w:t>
            </w:r>
          </w:p>
        </w:tc>
        <w:tc>
          <w:tcPr>
            <w:tcW w:type="dxa" w:w="316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The 32-byte AES-GCM PII encryption key is currently injected via secure environment variable.</w:t>
            </w:r>
          </w:p>
        </w:tc>
        <w:tc>
          <w:tcPr>
            <w:tcW w:type="dxa" w:w="230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FFFFF"/>
          </w:tcPr>
          <w:p>
            <w:pPr>
              <w:spacing w:before="40" w:after="40" w:line="276" w:lineRule="auto"/>
            </w:pPr>
            <w:r>
              <w:rPr>
                <w:rFonts w:ascii="Calibri" w:hAnsi="Calibri"/>
                <w:color w:val="1E293B"/>
                <w:sz w:val="17"/>
              </w:rPr>
              <w:t>Formally escrow and rotate encryption key inside SITA's institutional HSM.</w:t>
            </w:r>
          </w:p>
        </w:tc>
      </w:tr>
      <w:tr>
        <w:trPr>
          <w:cantSplit/>
        </w:trPr>
        <w:tc>
          <w:tcPr>
            <w:tcW w:type="dxa" w:w="259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b/>
                <w:color w:val="1E293B"/>
                <w:sz w:val="17"/>
              </w:rPr>
              <w:t>4. Font Subresource Integrity</w:t>
            </w:r>
          </w:p>
        </w:tc>
        <w:tc>
          <w:tcPr>
            <w:tcW w:type="dxa" w:w="1872"/>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Risk Acceptance</w:t>
              <w:br/>
              <w:t>(DAST D-09)</w:t>
            </w:r>
          </w:p>
        </w:tc>
        <w:tc>
          <w:tcPr>
            <w:tcW w:type="dxa" w:w="3168"/>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Google Fonts are delivered via HTTPS CDN under strict Content-Security-Policy directives.</w:t>
            </w:r>
          </w:p>
        </w:tc>
        <w:tc>
          <w:tcPr>
            <w:tcW w:type="dxa" w:w="2304"/>
            <w:vAlign w:val="center"/>
            <w:tcMar>
              <w:top w:w="100" w:type="dxa"/>
              <w:bottom w:w="100" w:type="dxa"/>
              <w:left w:w="140" w:type="dxa"/>
              <w:right w:w="140" w:type="dxa"/>
            </w:tcMar>
            <w:tcBorders>
              <w:top w:val="single" w:sz="4" w:space="0" w:color="D1D5DB"/>
              <w:left w:val="none" w:sz="4" w:space="0" w:color="auto"/>
              <w:bottom w:val="single" w:sz="4" w:space="0" w:color="D1D5DB"/>
              <w:right w:val="none" w:sz="4" w:space="0" w:color="auto"/>
              <w:insideH w:val="none"/>
              <w:insideV w:val="none"/>
            </w:tcBorders>
            <w:shd w:fill="F4F6F9"/>
          </w:tcPr>
          <w:p>
            <w:pPr>
              <w:spacing w:before="40" w:after="40" w:line="276" w:lineRule="auto"/>
            </w:pPr>
            <w:r>
              <w:rPr>
                <w:rFonts w:ascii="Calibri" w:hAnsi="Calibri"/>
                <w:color w:val="1E293B"/>
                <w:sz w:val="17"/>
              </w:rPr>
              <w:t>Formal recorded risk acceptance for third-party CDN fonts, or bundle locally.</w:t>
            </w:r>
          </w:p>
        </w:tc>
      </w:tr>
    </w:tbl>
    <w:p>
      <w:pPr>
        <w:keepNext/>
        <w:spacing w:before="280" w:after="80"/>
      </w:pPr>
      <w:r>
        <w:rPr>
          <w:rFonts w:ascii="Calibri" w:hAnsi="Calibri"/>
          <w:b/>
          <w:color w:val="1B365D"/>
          <w:sz w:val="28"/>
        </w:rPr>
        <w:t>6. Engineering Sign-Off &amp; Verification Certificate</w:t>
      </w:r>
    </w:p>
    <w:p>
      <w:pPr>
        <w:spacing w:before="80" w:after="160"/>
      </w:pPr>
      <w:r>
        <w:rPr>
          <w:rFonts w:ascii="Calibri" w:hAnsi="Calibri"/>
          <w:i/>
          <w:sz w:val="18"/>
        </w:rPr>
        <w:t>I hereby certify that this brief accurately reflects the verifiable, evidence-based security status of the SITA Consolidated Security Reporting Platform. All identified application and container vulnerabilities have been remediated and empirically validated on the live staging environment (192.168.101.20) with 421 automated regression tests passing.</w:t>
      </w:r>
    </w:p>
    <w:tbl>
      <w:tblPr>
        <w:tblW w:type="auto" w:w="0"/>
        <w:jc w:val="center"/>
        <w:tblLayout w:type="fixed"/>
        <w:tblLook w:firstColumn="1" w:firstRow="1" w:lastColumn="0" w:lastRow="0" w:noHBand="0" w:noVBand="1" w:val="04A0"/>
      </w:tblPr>
      <w:tblGrid>
        <w:gridCol w:w="4968"/>
        <w:gridCol w:w="4968"/>
      </w:tblGrid>
      <w:tr>
        <w:tc>
          <w:tcPr>
            <w:tcW w:type="dxa" w:w="4968"/>
            <w:shd w:fill="F4F6F9"/>
            <w:tcMar>
              <w:top w:w="140" w:type="dxa"/>
              <w:bottom w:w="140" w:type="dxa"/>
              <w:left w:w="180" w:type="dxa"/>
              <w:right w:w="180" w:type="dxa"/>
            </w:tcMar>
            <w:tcBorders>
              <w:top w:val="single" w:sz="8" w:space="0" w:color="1B365D"/>
              <w:left w:val="single" w:sz="4" w:space="0" w:color="D1D5DB"/>
              <w:bottom w:val="single" w:sz="4" w:space="0" w:color="D1D5DB"/>
              <w:right w:val="single" w:sz="4" w:space="0" w:color="D1D5DB"/>
              <w:insideH w:val="none"/>
              <w:insideV w:val="none"/>
            </w:tcBorders>
          </w:tcPr>
          <w:p>
            <w:pPr>
              <w:spacing w:before="0" w:after="40"/>
            </w:pPr>
            <w:r>
              <w:rPr>
                <w:rFonts w:ascii="Calibri" w:hAnsi="Calibri"/>
                <w:b/>
                <w:color w:val="1B365D"/>
                <w:sz w:val="16"/>
              </w:rPr>
              <w:t>TECHNICAL EVALUATOR &amp; LEAD</w:t>
              <w:br/>
            </w:r>
            <w:r>
              <w:rPr>
                <w:rFonts w:ascii="Calibri" w:hAnsi="Calibri"/>
                <w:b/>
                <w:color w:val="1E293B"/>
                <w:sz w:val="21"/>
              </w:rPr>
              <w:t>Takawira Mazando</w:t>
              <w:br/>
            </w:r>
            <w:r>
              <w:rPr>
                <w:rFonts w:ascii="Calibri" w:hAnsi="Calibri"/>
                <w:color w:val="64748B"/>
                <w:sz w:val="16"/>
              </w:rPr>
              <w:t>Lead Platform Engineer — SITA Platform Engineering</w:t>
              <w:br/>
              <w:br/>
            </w:r>
            <w:r>
              <w:rPr>
                <w:rFonts w:ascii="Calibri" w:hAnsi="Calibri"/>
                <w:color w:val="1E293B"/>
                <w:sz w:val="17"/>
              </w:rPr>
              <w:t>Signature: ___________________________</w:t>
              <w:br/>
            </w:r>
            <w:r>
              <w:rPr>
                <w:rFonts w:ascii="Calibri" w:hAnsi="Calibri"/>
                <w:color w:val="1E293B"/>
                <w:sz w:val="17"/>
              </w:rPr>
              <w:t>Date: 20 October 2026</w:t>
            </w:r>
          </w:p>
        </w:tc>
        <w:tc>
          <w:tcPr>
            <w:tcW w:type="dxa" w:w="4968"/>
            <w:shd w:fill="F4F6F9"/>
            <w:tcMar>
              <w:top w:w="140" w:type="dxa"/>
              <w:bottom w:w="140" w:type="dxa"/>
              <w:left w:w="180" w:type="dxa"/>
              <w:right w:w="180" w:type="dxa"/>
            </w:tcMar>
            <w:tcBorders>
              <w:top w:val="single" w:sz="8" w:space="0" w:color="1B365D"/>
              <w:left w:val="single" w:sz="4" w:space="0" w:color="D1D5DB"/>
              <w:bottom w:val="single" w:sz="4" w:space="0" w:color="D1D5DB"/>
              <w:right w:val="single" w:sz="4" w:space="0" w:color="D1D5DB"/>
              <w:insideH w:val="none"/>
              <w:insideV w:val="none"/>
            </w:tcBorders>
          </w:tcPr>
          <w:p>
            <w:pPr>
              <w:spacing w:before="0" w:after="40"/>
            </w:pPr>
            <w:r>
              <w:rPr>
                <w:rFonts w:ascii="Calibri" w:hAnsi="Calibri"/>
                <w:b/>
                <w:color w:val="1B365D"/>
                <w:sz w:val="16"/>
              </w:rPr>
              <w:t>EXECUTIVE AUTHORITY / SECURITY OFFICE</w:t>
              <w:br/>
            </w:r>
            <w:r>
              <w:rPr>
                <w:rFonts w:ascii="Calibri" w:hAnsi="Calibri"/>
                <w:b/>
                <w:color w:val="1E293B"/>
                <w:sz w:val="21"/>
              </w:rPr>
              <w:t>Senior Security Authority / CISO</w:t>
              <w:br/>
            </w:r>
            <w:r>
              <w:rPr>
                <w:rFonts w:ascii="Calibri" w:hAnsi="Calibri"/>
                <w:color w:val="64748B"/>
                <w:sz w:val="16"/>
              </w:rPr>
              <w:t>State Information Technology Agency (SITA)</w:t>
              <w:br/>
              <w:br/>
            </w:r>
            <w:r>
              <w:rPr>
                <w:rFonts w:ascii="Calibri" w:hAnsi="Calibri"/>
                <w:color w:val="1E293B"/>
                <w:sz w:val="17"/>
              </w:rPr>
              <w:t>Signature: ___________________________</w:t>
              <w:br/>
            </w:r>
            <w:r>
              <w:rPr>
                <w:rFonts w:ascii="Calibri" w:hAnsi="Calibri"/>
                <w:color w:val="1E293B"/>
                <w:sz w:val="17"/>
              </w:rPr>
              <w:t>Date: Pending Counter-Signature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RESTRICTED (AUDIT GRADE) — SITA-SEC-TRUTH-2026-EB1.0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SITA Consolidated Security Reporting Platform | Executive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