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52"/>
        </w:rPr>
        <w:t>BANTU INFOTECH (B.iT)</w:t>
      </w:r>
    </w:p>
    <w:p>
      <w:pPr>
        <w:jc w:val="center"/>
      </w:pPr>
      <w:r>
        <w:rPr>
          <w:color w:val="95A5A6"/>
          <w:sz w:val="22"/>
        </w:rPr>
        <w:t>Pretoria, Gauteng, South Africa</w:t>
      </w:r>
    </w:p>
    <w:p>
      <w:pPr>
        <w:jc w:val="center"/>
      </w:pPr>
      <w:r>
        <w:rPr>
          <w:b/>
          <w:color w:val="2980B9"/>
          <w:sz w:val="36"/>
        </w:rPr>
        <w:t>TAX INVOICE</w:t>
      </w:r>
    </w:p>
    <w:p>
      <w:r>
        <w:rPr>
          <w:b/>
          <w:sz w:val="20"/>
        </w:rPr>
        <w:t xml:space="preserve">Invoice No: </w:t>
      </w:r>
      <w:r>
        <w:rPr>
          <w:sz w:val="20"/>
        </w:rPr>
        <w:t>INV-2026-007</w:t>
      </w:r>
    </w:p>
    <w:p>
      <w:r>
        <w:rPr>
          <w:b/>
          <w:sz w:val="20"/>
        </w:rPr>
        <w:t xml:space="preserve">Date Issued: </w:t>
      </w:r>
      <w:r>
        <w:rPr>
          <w:sz w:val="20"/>
        </w:rPr>
        <w:t>31 August 2026</w:t>
      </w:r>
    </w:p>
    <w:p>
      <w:r>
        <w:rPr>
          <w:b/>
          <w:sz w:val="20"/>
        </w:rPr>
        <w:t xml:space="preserve">Prepared By: </w:t>
      </w:r>
      <w:r>
        <w:rPr>
          <w:sz w:val="20"/>
        </w:rPr>
        <w:t>Takawira Mazando</w:t>
      </w:r>
    </w:p>
    <w:p>
      <w:r>
        <w:rPr>
          <w:b/>
          <w:sz w:val="20"/>
        </w:rPr>
        <w:t xml:space="preserve">Email: </w:t>
      </w:r>
      <w:r>
        <w:rPr>
          <w:sz w:val="20"/>
        </w:rPr>
        <w:t>takawira.mazando@entailabs.com</w:t>
      </w:r>
    </w:p>
    <w:p>
      <w:r>
        <w:rPr>
          <w:b/>
          <w:sz w:val="20"/>
        </w:rPr>
        <w:t xml:space="preserve">Contact: </w:t>
      </w:r>
      <w:r>
        <w:rPr>
          <w:sz w:val="20"/>
        </w:rPr>
        <w:t>0672 319 200</w:t>
      </w:r>
    </w:p>
    <w:p>
      <w:r>
        <w:rPr>
          <w:b/>
          <w:color w:val="2C3E50"/>
          <w:sz w:val="22"/>
        </w:rPr>
        <w:t>BILL TO:</w:t>
      </w:r>
    </w:p>
    <w:p>
      <w:r>
        <w:rPr>
          <w:sz w:val="20"/>
        </w:rPr>
        <w:t>Koketso Molelemane</w:t>
      </w:r>
    </w:p>
    <w:p>
      <w:r>
        <w:rPr>
          <w:sz w:val="20"/>
        </w:rPr>
        <w:t>Hosi Technologies (Pty) Ltd</w:t>
      </w:r>
    </w:p>
    <w:p>
      <w:r>
        <w:rPr>
          <w:sz w:val="20"/>
        </w:rPr>
        <w:t>Company ref: 2010/015030/07</w:t>
      </w:r>
    </w:p>
    <w:p>
      <w:r>
        <w:rPr>
          <w:sz w:val="20"/>
        </w:rPr>
        <w:t>Block A, 2nd Floor, The Pivot, Fourways, Johannesburg</w:t>
      </w:r>
    </w:p>
    <w:p>
      <w:r>
        <w:rPr>
          <w:sz w:val="20"/>
        </w:rPr>
        <w:t>koketso@hosi.co.za</w:t>
      </w:r>
    </w:p>
    <w:p>
      <w:r>
        <w:rPr>
          <w:sz w:val="20"/>
        </w:rPr>
        <w:t>+27 11 023 1995</w:t>
      </w:r>
    </w:p>
    <w:p>
      <w:r>
        <w:rPr>
          <w:b/>
          <w:sz w:val="22"/>
        </w:rPr>
        <w:t xml:space="preserve">SUBJECT: </w:t>
      </w:r>
      <w:r>
        <w:rPr>
          <w:sz w:val="22"/>
        </w:rPr>
        <w:t>Monthly Retainer Invoice - August 2026 | Independent Contractor Agreement (01 May - 30 Nov 2026) | SITA Unified Data Managed Service Project</w:t>
      </w:r>
    </w:p>
    <w:p>
      <w:r>
        <w:rPr>
          <w:b/>
          <w:color w:val="2C3E50"/>
          <w:sz w:val="24"/>
        </w:rPr>
        <w:t>DELIVERABLES BREAKDOWN</w:t>
      </w:r>
    </w:p>
    <w:p>
      <w:r>
        <w:rPr>
          <w:b/>
          <w:color w:val="2C3E50"/>
          <w:sz w:val="24"/>
        </w:rPr>
        <w:t>SECTION A - MULTI-TENANCY &amp; GOVERNMENT TENANCY PLATFORM (Completed Aug 11-14)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0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8"/>
              </w:rPr>
              <w:t># DELIVERABLE</w:t>
            </w:r>
          </w:p>
        </w:tc>
        <w:tc>
          <w:tcPr>
            <w:tcW w:type="dxa" w:w="1152"/>
            <w:shd w:fill="ECF0F1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8"/>
              </w:rPr>
              <w:t>HOURS</w:t>
            </w:r>
          </w:p>
        </w:tc>
      </w:tr>
      <w:tr>
        <w:tc>
          <w:tcPr>
            <w:tcW w:type="dxa" w:w="7920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8"/>
              </w:rPr>
              <w:t>A1 Tenancy Data Model (Provinces, Departments, Branches)</w:t>
            </w:r>
          </w:p>
        </w:tc>
        <w:tc>
          <w:tcPr>
            <w:tcW w:type="dxa" w:w="1152"/>
            <w:shd w:fill="ECF0F1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8"/>
              </w:rPr>
              <w:t>14 hrs</w:t>
            </w:r>
          </w:p>
        </w:tc>
      </w:tr>
      <w:tr>
        <w:tc>
          <w:tcPr>
            <w:tcW w:type="dxa" w:w="7920"/>
          </w:tcPr>
          <w:p>
            <w:r>
              <w:rPr>
                <w:rFonts w:ascii="Calibri" w:hAnsi="Calibri"/>
                <w:sz w:val="18"/>
              </w:rPr>
              <w:t>A2 API-Level Tenant Filtering &amp; Data Isolation (RLS)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 hrs</w:t>
            </w:r>
          </w:p>
        </w:tc>
      </w:tr>
      <w:tr>
        <w:tc>
          <w:tcPr>
            <w:tcW w:type="dxa" w:w="7920"/>
          </w:tcPr>
          <w:p>
            <w:r>
              <w:rPr>
                <w:rFonts w:ascii="Calibri" w:hAnsi="Calibri"/>
                <w:sz w:val="18"/>
              </w:rPr>
              <w:t>A3 Tenancy-Aware JWT Authentication Scopes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6 hrs</w:t>
            </w:r>
          </w:p>
        </w:tc>
      </w:tr>
      <w:tr>
        <w:tc>
          <w:tcPr>
            <w:tcW w:type="dxa" w:w="7920"/>
          </w:tcPr>
          <w:p>
            <w:r>
              <w:rPr>
                <w:rFonts w:ascii="Calibri" w:hAnsi="Calibri"/>
                <w:sz w:val="18"/>
              </w:rPr>
              <w:t>A4 Delegated Role-Based Access Control (RBAC) Logic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8 hrs</w:t>
            </w:r>
          </w:p>
        </w:tc>
      </w:tr>
      <w:tr>
        <w:tc>
          <w:tcPr>
            <w:tcW w:type="dxa" w:w="7920"/>
          </w:tcPr>
          <w:p>
            <w:r>
              <w:rPr>
                <w:rFonts w:ascii="Calibri" w:hAnsi="Calibri"/>
                <w:sz w:val="18"/>
              </w:rPr>
              <w:t>A5 Frontend Scoped User Management UI (Admin Users)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6 hrs</w:t>
            </w:r>
          </w:p>
        </w:tc>
      </w:tr>
      <w:tr>
        <w:tc>
          <w:tcPr>
            <w:tcW w:type="dxa" w:w="7920"/>
          </w:tcPr>
          <w:p>
            <w:r>
              <w:rPr>
                <w:rFonts w:ascii="Calibri" w:hAnsi="Calibri"/>
                <w:sz w:val="18"/>
              </w:rPr>
              <w:t>A6 Cross-Tenant Access Prevention &amp; Security Auditing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6 hrs</w:t>
            </w:r>
          </w:p>
        </w:tc>
      </w:tr>
      <w:tr>
        <w:tc>
          <w:tcPr>
            <w:tcW w:type="dxa" w:w="7920"/>
          </w:tcPr>
          <w:p>
            <w:r>
              <w:rPr>
                <w:rFonts w:ascii="Calibri" w:hAnsi="Calibri"/>
                <w:sz w:val="18"/>
              </w:rPr>
              <w:t>A7 Multi-Tenancy E2E Testing &amp; Verification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8 hrs</w:t>
            </w:r>
          </w:p>
        </w:tc>
      </w:tr>
      <w:tr>
        <w:tc>
          <w:tcPr>
            <w:tcW w:type="dxa" w:w="7920"/>
          </w:tcPr>
          <w:p>
            <w:r>
              <w:rPr>
                <w:rFonts w:ascii="Calibri" w:hAnsi="Calibri"/>
                <w:sz w:val="18"/>
              </w:rPr>
              <w:t>A8 Tenancy Architecture Documentation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6 hrs</w:t>
            </w:r>
          </w:p>
        </w:tc>
      </w:tr>
      <w:tr>
        <w:tc>
          <w:tcPr>
            <w:tcW w:type="dxa" w:w="7920"/>
            <w:shd w:fill="ECF0F1" w:val="clear"/>
            <w:shd w:fill="F8F9FA" w:val="clear"/>
          </w:tcPr>
          <w:p>
            <w:r>
              <w:rPr>
                <w:rFonts w:ascii="Calibri" w:hAnsi="Calibri"/>
                <w:b/>
                <w:color w:val="2C3E50"/>
                <w:sz w:val="18"/>
              </w:rPr>
              <w:t>SECTION A SUBTOTAL</w:t>
            </w:r>
          </w:p>
        </w:tc>
        <w:tc>
          <w:tcPr>
            <w:tcW w:type="dxa" w:w="1152"/>
            <w:shd w:fill="ECF0F1" w:val="clear"/>
            <w:shd w:fill="F8F9F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8"/>
              </w:rPr>
              <w:t>64 hrs</w:t>
            </w:r>
          </w:p>
        </w:tc>
      </w:tr>
    </w:tbl>
    <w:p>
      <w:r>
        <w:rPr>
          <w:b/>
          <w:color w:val="2C3E50"/>
          <w:sz w:val="24"/>
        </w:rPr>
        <w:t>SECTION B - PUBLIC ESTATE &amp; AUTHENTICATION ENHANCEMENTS (Completed Aug 13-14)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0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8"/>
              </w:rPr>
              <w:t># DELIVERABLE</w:t>
            </w:r>
          </w:p>
        </w:tc>
        <w:tc>
          <w:tcPr>
            <w:tcW w:type="dxa" w:w="1152"/>
            <w:shd w:fill="ECF0F1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8"/>
              </w:rPr>
              <w:t>HOURS</w:t>
            </w:r>
          </w:p>
        </w:tc>
      </w:tr>
      <w:tr>
        <w:tc>
          <w:tcPr>
            <w:tcW w:type="dxa" w:w="7920"/>
          </w:tcPr>
          <w:p>
            <w:r>
              <w:rPr>
                <w:rFonts w:ascii="Calibri" w:hAnsi="Calibri"/>
                <w:sz w:val="18"/>
              </w:rPr>
              <w:t>B1 Public Estate Summary API + Landing Page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6 hrs</w:t>
            </w:r>
          </w:p>
        </w:tc>
      </w:tr>
      <w:tr>
        <w:tc>
          <w:tcPr>
            <w:tcW w:type="dxa" w:w="7920"/>
          </w:tcPr>
          <w:p>
            <w:r>
              <w:rPr>
                <w:rFonts w:ascii="Calibri" w:hAnsi="Calibri"/>
                <w:sz w:val="18"/>
              </w:rPr>
              <w:t>B2 Tenancy-Aware Login &amp; Demo Scope Enforcement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3 hrs</w:t>
            </w:r>
          </w:p>
        </w:tc>
      </w:tr>
      <w:tr>
        <w:tc>
          <w:tcPr>
            <w:tcW w:type="dxa" w:w="7920"/>
          </w:tcPr>
          <w:p>
            <w:r>
              <w:rPr>
                <w:rFonts w:ascii="Calibri" w:hAnsi="Calibri"/>
                <w:sz w:val="18"/>
              </w:rPr>
              <w:t>B3 Tenant Switch Without Re-auth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3 hrs</w:t>
            </w:r>
          </w:p>
        </w:tc>
      </w:tr>
      <w:tr>
        <w:tc>
          <w:tcPr>
            <w:tcW w:type="dxa" w:w="7920"/>
          </w:tcPr>
          <w:p>
            <w:r>
              <w:rPr>
                <w:rFonts w:ascii="Calibri" w:hAnsi="Calibri"/>
                <w:sz w:val="18"/>
              </w:rPr>
              <w:t>B4 Platform Operator Role (Tier 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2 hrs</w:t>
            </w:r>
          </w:p>
        </w:tc>
      </w:tr>
      <w:tr>
        <w:tc>
          <w:tcPr>
            <w:tcW w:type="dxa" w:w="7920"/>
          </w:tcPr>
          <w:p>
            <w:r>
              <w:rPr>
                <w:rFonts w:ascii="Calibri" w:hAnsi="Calibri"/>
                <w:sz w:val="18"/>
              </w:rPr>
              <w:t>B5 HR-Only User Provisioning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4 hrs</w:t>
            </w:r>
          </w:p>
        </w:tc>
      </w:tr>
      <w:tr>
        <w:tc>
          <w:tcPr>
            <w:tcW w:type="dxa" w:w="7920"/>
          </w:tcPr>
          <w:p>
            <w:r>
              <w:rPr>
                <w:rFonts w:ascii="Calibri" w:hAnsi="Calibri"/>
                <w:sz w:val="18"/>
              </w:rPr>
              <w:t>B6 Simulated HR Browse &amp; Pull-Sync Endpoints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3 hrs</w:t>
            </w:r>
          </w:p>
        </w:tc>
      </w:tr>
      <w:tr>
        <w:tc>
          <w:tcPr>
            <w:tcW w:type="dxa" w:w="7920"/>
          </w:tcPr>
          <w:p>
            <w:r>
              <w:rPr>
                <w:rFonts w:ascii="Calibri" w:hAnsi="Calibri"/>
                <w:sz w:val="18"/>
              </w:rPr>
              <w:t>B7 Admin Users HR Employee Picker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3 hrs</w:t>
            </w:r>
          </w:p>
        </w:tc>
      </w:tr>
      <w:tr>
        <w:tc>
          <w:tcPr>
            <w:tcW w:type="dxa" w:w="7920"/>
          </w:tcPr>
          <w:p>
            <w:r>
              <w:rPr>
                <w:rFonts w:ascii="Calibri" w:hAnsi="Calibri"/>
                <w:sz w:val="18"/>
              </w:rPr>
              <w:t>B8 Admin Credentials Generation &amp; Cleanup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2 hrs</w:t>
            </w:r>
          </w:p>
        </w:tc>
      </w:tr>
      <w:tr>
        <w:tc>
          <w:tcPr>
            <w:tcW w:type="dxa" w:w="7920"/>
          </w:tcPr>
          <w:p>
            <w:r>
              <w:rPr>
                <w:rFonts w:ascii="Calibri" w:hAnsi="Calibri"/>
                <w:sz w:val="18"/>
              </w:rPr>
              <w:t>B9 Frontend Security Hardening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2 hrs</w:t>
            </w:r>
          </w:p>
        </w:tc>
      </w:tr>
      <w:tr>
        <w:tc>
          <w:tcPr>
            <w:tcW w:type="dxa" w:w="7920"/>
          </w:tcPr>
          <w:p>
            <w:r>
              <w:rPr>
                <w:rFonts w:ascii="Calibri" w:hAnsi="Calibri"/>
                <w:sz w:val="18"/>
              </w:rPr>
              <w:t>B10 Role Provisioning Roadmap Documentation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2 hrs</w:t>
            </w:r>
          </w:p>
        </w:tc>
      </w:tr>
      <w:tr>
        <w:tc>
          <w:tcPr>
            <w:tcW w:type="dxa" w:w="7920"/>
          </w:tcPr>
          <w:p>
            <w:r>
              <w:rPr>
                <w:rFonts w:ascii="Calibri" w:hAnsi="Calibri"/>
                <w:sz w:val="18"/>
              </w:rPr>
              <w:t>B11 Tenancy &amp; Public-Summary Test Coverage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3 hrs</w:t>
            </w:r>
          </w:p>
        </w:tc>
      </w:tr>
      <w:tr>
        <w:tc>
          <w:tcPr>
            <w:tcW w:type="dxa" w:w="7920"/>
            <w:shd w:fill="ECF0F1" w:val="clear"/>
            <w:shd w:fill="F8F9FA" w:val="clear"/>
          </w:tcPr>
          <w:p>
            <w:r>
              <w:rPr>
                <w:rFonts w:ascii="Calibri" w:hAnsi="Calibri"/>
                <w:b/>
                <w:color w:val="2C3E50"/>
                <w:sz w:val="18"/>
              </w:rPr>
              <w:t>SECTION B SUBTOTAL</w:t>
            </w:r>
          </w:p>
        </w:tc>
        <w:tc>
          <w:tcPr>
            <w:tcW w:type="dxa" w:w="1152"/>
            <w:shd w:fill="ECF0F1" w:val="clear"/>
            <w:shd w:fill="F8F9F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8"/>
              </w:rPr>
              <w:t>33 hrs</w:t>
            </w:r>
          </w:p>
        </w:tc>
      </w:tr>
    </w:tbl>
    <w:p>
      <w:r>
        <w:rPr>
          <w:b/>
          <w:color w:val="2C3E50"/>
          <w:sz w:val="24"/>
        </w:rPr>
        <w:t>SECTION C - DEPLOYMENT PLANNING &amp; DOCUMENTATION (Completed Aug 19)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0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8"/>
              </w:rPr>
              <w:t># DELIVERABLE</w:t>
            </w:r>
          </w:p>
        </w:tc>
        <w:tc>
          <w:tcPr>
            <w:tcW w:type="dxa" w:w="1152"/>
            <w:shd w:fill="ECF0F1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8"/>
              </w:rPr>
              <w:t>HOURS</w:t>
            </w:r>
          </w:p>
        </w:tc>
      </w:tr>
      <w:tr>
        <w:tc>
          <w:tcPr>
            <w:tcW w:type="dxa" w:w="7920"/>
          </w:tcPr>
          <w:p>
            <w:r>
              <w:rPr>
                <w:rFonts w:ascii="Calibri" w:hAnsi="Calibri"/>
                <w:sz w:val="18"/>
              </w:rPr>
              <w:t>C1 Enhanced Detailed Deployment Plan v2.0 (Markdown)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8 hrs</w:t>
            </w:r>
          </w:p>
        </w:tc>
      </w:tr>
      <w:tr>
        <w:tc>
          <w:tcPr>
            <w:tcW w:type="dxa" w:w="7920"/>
          </w:tcPr>
          <w:p>
            <w:r>
              <w:rPr>
                <w:rFonts w:ascii="Calibri" w:hAnsi="Calibri"/>
                <w:sz w:val="18"/>
              </w:rPr>
              <w:t>C2 Deployment Plan - Word Document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4 hrs</w:t>
            </w:r>
          </w:p>
        </w:tc>
      </w:tr>
      <w:tr>
        <w:tc>
          <w:tcPr>
            <w:tcW w:type="dxa" w:w="7920"/>
          </w:tcPr>
          <w:p>
            <w:r>
              <w:rPr>
                <w:rFonts w:ascii="Calibri" w:hAnsi="Calibri"/>
                <w:sz w:val="18"/>
              </w:rPr>
              <w:t>C3 Deployment Plan - HTML Report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4 hrs</w:t>
            </w:r>
          </w:p>
        </w:tc>
      </w:tr>
      <w:tr>
        <w:tc>
          <w:tcPr>
            <w:tcW w:type="dxa" w:w="7920"/>
            <w:shd w:fill="ECF0F1" w:val="clear"/>
            <w:shd w:fill="F8F9FA" w:val="clear"/>
          </w:tcPr>
          <w:p>
            <w:r>
              <w:rPr>
                <w:rFonts w:ascii="Calibri" w:hAnsi="Calibri"/>
                <w:b/>
                <w:color w:val="2C3E50"/>
                <w:sz w:val="18"/>
              </w:rPr>
              <w:t>SECTION C SUBTOTAL</w:t>
            </w:r>
          </w:p>
        </w:tc>
        <w:tc>
          <w:tcPr>
            <w:tcW w:type="dxa" w:w="1152"/>
            <w:shd w:fill="ECF0F1" w:val="clear"/>
            <w:shd w:fill="F8F9F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8"/>
              </w:rPr>
              <w:t>16 hrs</w:t>
            </w:r>
          </w:p>
        </w:tc>
      </w:tr>
    </w:tbl>
    <w:p>
      <w:r>
        <w:rPr>
          <w:b/>
          <w:color w:val="2C3E50"/>
          <w:sz w:val="24"/>
        </w:rPr>
        <w:t>SECTION D - SECURITY &amp; CODE QUALITY (Completed Aug 11-14)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0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8"/>
              </w:rPr>
              <w:t># DELIVERABLE</w:t>
            </w:r>
          </w:p>
        </w:tc>
        <w:tc>
          <w:tcPr>
            <w:tcW w:type="dxa" w:w="1152"/>
            <w:shd w:fill="ECF0F1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8"/>
              </w:rPr>
              <w:t>HOURS</w:t>
            </w:r>
          </w:p>
        </w:tc>
      </w:tr>
      <w:tr>
        <w:tc>
          <w:tcPr>
            <w:tcW w:type="dxa" w:w="7920"/>
          </w:tcPr>
          <w:p>
            <w:r>
              <w:rPr>
                <w:rFonts w:ascii="Calibri" w:hAnsi="Calibri"/>
                <w:sz w:val="18"/>
              </w:rPr>
              <w:t>D1 Frontend SAST Setup &amp; Scan (Semgrep)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3 hrs</w:t>
            </w:r>
          </w:p>
        </w:tc>
      </w:tr>
      <w:tr>
        <w:tc>
          <w:tcPr>
            <w:tcW w:type="dxa" w:w="7920"/>
          </w:tcPr>
          <w:p>
            <w:r>
              <w:rPr>
                <w:rFonts w:ascii="Calibri" w:hAnsi="Calibri"/>
                <w:sz w:val="18"/>
              </w:rPr>
              <w:t>D2 Vulnerability Remediation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3 hrs</w:t>
            </w:r>
          </w:p>
        </w:tc>
      </w:tr>
      <w:tr>
        <w:tc>
          <w:tcPr>
            <w:tcW w:type="dxa" w:w="7920"/>
          </w:tcPr>
          <w:p>
            <w:r>
              <w:rPr>
                <w:rFonts w:ascii="Calibri" w:hAnsi="Calibri"/>
                <w:sz w:val="18"/>
              </w:rPr>
              <w:t>D3 Backend SAST Setup &amp; Scan (Bandit)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3 hrs</w:t>
            </w:r>
          </w:p>
        </w:tc>
      </w:tr>
      <w:tr>
        <w:tc>
          <w:tcPr>
            <w:tcW w:type="dxa" w:w="7920"/>
          </w:tcPr>
          <w:p>
            <w:r>
              <w:rPr>
                <w:rFonts w:ascii="Calibri" w:hAnsi="Calibri"/>
                <w:sz w:val="18"/>
              </w:rPr>
              <w:t>D4 SITA Platform Risk Engine &amp; Pipeline Work (Aug 1-10)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15 hrs</w:t>
            </w:r>
          </w:p>
        </w:tc>
      </w:tr>
      <w:tr>
        <w:tc>
          <w:tcPr>
            <w:tcW w:type="dxa" w:w="7920"/>
            <w:shd w:fill="ECF0F1" w:val="clear"/>
            <w:shd w:fill="F8F9FA" w:val="clear"/>
          </w:tcPr>
          <w:p>
            <w:r>
              <w:rPr>
                <w:rFonts w:ascii="Calibri" w:hAnsi="Calibri"/>
                <w:b/>
                <w:color w:val="2C3E50"/>
                <w:sz w:val="18"/>
              </w:rPr>
              <w:t>SECTION D SUBTOTAL</w:t>
            </w:r>
          </w:p>
        </w:tc>
        <w:tc>
          <w:tcPr>
            <w:tcW w:type="dxa" w:w="1152"/>
            <w:shd w:fill="ECF0F1" w:val="clear"/>
            <w:shd w:fill="F8F9F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8"/>
              </w:rPr>
              <w:t>24 hrs</w:t>
            </w:r>
          </w:p>
        </w:tc>
      </w:tr>
    </w:tbl>
    <w:p>
      <w:r>
        <w:rPr>
          <w:b/>
          <w:color w:val="2C3E50"/>
          <w:sz w:val="24"/>
        </w:rPr>
        <w:t>SECTION E - UAT PREPARATION &amp; GO-LIVE READINESS (In Progress Aug 21+)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0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8"/>
              </w:rPr>
              <w:t># DELIVERABLE</w:t>
            </w:r>
          </w:p>
        </w:tc>
        <w:tc>
          <w:tcPr>
            <w:tcW w:type="dxa" w:w="1152"/>
            <w:shd w:fill="ECF0F1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8"/>
              </w:rPr>
              <w:t>HOURS</w:t>
            </w:r>
          </w:p>
        </w:tc>
      </w:tr>
      <w:tr>
        <w:tc>
          <w:tcPr>
            <w:tcW w:type="dxa" w:w="7920"/>
          </w:tcPr>
          <w:p>
            <w:r>
              <w:rPr>
                <w:rFonts w:ascii="Calibri" w:hAnsi="Calibri"/>
                <w:sz w:val="18"/>
              </w:rPr>
              <w:t>E1 User Acceptance Testing Preparation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8 hrs</w:t>
            </w:r>
          </w:p>
        </w:tc>
      </w:tr>
      <w:tr>
        <w:tc>
          <w:tcPr>
            <w:tcW w:type="dxa" w:w="7920"/>
          </w:tcPr>
          <w:p>
            <w:r>
              <w:rPr>
                <w:rFonts w:ascii="Calibri" w:hAnsi="Calibri"/>
                <w:sz w:val="18"/>
              </w:rPr>
              <w:t>E2 Runbook &amp; Operations Guide (Initiated)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6 hrs</w:t>
            </w:r>
          </w:p>
        </w:tc>
      </w:tr>
      <w:tr>
        <w:tc>
          <w:tcPr>
            <w:tcW w:type="dxa" w:w="7920"/>
          </w:tcPr>
          <w:p>
            <w:r>
              <w:rPr>
                <w:rFonts w:ascii="Calibri" w:hAnsi="Calibri"/>
                <w:sz w:val="18"/>
              </w:rPr>
              <w:t>E3 Security Review &amp; Penetration Test Planning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4 hrs</w:t>
            </w:r>
          </w:p>
        </w:tc>
      </w:tr>
      <w:tr>
        <w:tc>
          <w:tcPr>
            <w:tcW w:type="dxa" w:w="7920"/>
          </w:tcPr>
          <w:p>
            <w:r>
              <w:rPr>
                <w:rFonts w:ascii="Calibri" w:hAnsi="Calibri"/>
                <w:sz w:val="18"/>
              </w:rPr>
              <w:t>E4 Stakeholder Demo &amp; Training Preparation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4 hrs</w:t>
            </w:r>
          </w:p>
        </w:tc>
      </w:tr>
      <w:tr>
        <w:tc>
          <w:tcPr>
            <w:tcW w:type="dxa" w:w="7920"/>
            <w:shd w:fill="ECF0F1" w:val="clear"/>
            <w:shd w:fill="F8F9FA" w:val="clear"/>
          </w:tcPr>
          <w:p>
            <w:r>
              <w:rPr>
                <w:rFonts w:ascii="Calibri" w:hAnsi="Calibri"/>
                <w:b/>
                <w:color w:val="2C3E50"/>
                <w:sz w:val="18"/>
              </w:rPr>
              <w:t>SECTION E SUBTOTAL</w:t>
            </w:r>
          </w:p>
        </w:tc>
        <w:tc>
          <w:tcPr>
            <w:tcW w:type="dxa" w:w="1152"/>
            <w:shd w:fill="ECF0F1" w:val="clear"/>
            <w:shd w:fill="F8F9F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8"/>
              </w:rPr>
              <w:t>22 hrs</w:t>
            </w:r>
          </w:p>
        </w:tc>
      </w:tr>
    </w:tbl>
    <w:p>
      <w:pPr>
        <w:jc w:val="right"/>
      </w:pPr>
      <w:r>
        <w:rPr>
          <w:b/>
          <w:sz w:val="22"/>
        </w:rPr>
        <w:t>TOTAL HOURS:</w:t>
      </w:r>
      <w:r>
        <w:rPr>
          <w:b/>
          <w:sz w:val="22"/>
        </w:rPr>
        <w:t xml:space="preserve"> 160</w:t>
      </w:r>
    </w:p>
    <w:p>
      <w:pPr>
        <w:jc w:val="right"/>
      </w:pPr>
      <w:r>
        <w:rPr>
          <w:b/>
          <w:sz w:val="22"/>
        </w:rPr>
        <w:t>MONTHLY RETAINER:</w:t>
      </w:r>
      <w:r>
        <w:rPr>
          <w:b/>
          <w:sz w:val="22"/>
        </w:rPr>
        <w:t xml:space="preserve"> R60,000.00</w:t>
      </w:r>
    </w:p>
    <w:p>
      <w:pPr>
        <w:jc w:val="right"/>
      </w:pPr>
      <w:r>
        <w:rPr>
          <w:b/>
          <w:sz w:val="22"/>
        </w:rPr>
        <w:t>VAT:</w:t>
      </w:r>
      <w:r>
        <w:rPr>
          <w:b/>
          <w:sz w:val="22"/>
        </w:rPr>
        <w:t xml:space="preserve"> R0.00 (clause 5.5)</w:t>
      </w:r>
    </w:p>
    <w:p>
      <w:pPr>
        <w:jc w:val="right"/>
      </w:pPr>
      <w:r>
        <w:rPr>
          <w:b/>
          <w:sz w:val="22"/>
        </w:rPr>
        <w:t>TOTAL DUE:</w:t>
      </w:r>
      <w:r>
        <w:rPr>
          <w:b/>
          <w:color w:val="C0392B"/>
          <w:sz w:val="22"/>
        </w:rPr>
        <w:t xml:space="preserve"> R60,000.00</w:t>
      </w:r>
    </w:p>
    <w:p>
      <w:r>
        <w:rPr>
          <w:b/>
          <w:color w:val="2C3E50"/>
          <w:sz w:val="22"/>
        </w:rPr>
        <w:t>NOTES:</w:t>
      </w:r>
    </w:p>
    <w:p>
      <w:pPr>
        <w:pStyle w:val="ListBullet"/>
      </w:pPr>
      <w:r>
        <w:t>This is a fixed-price monthly retainer of R60,000 covering 160 hours of work across five project areas, billed under clause 5.1.</w:t>
      </w:r>
    </w:p>
    <w:p>
      <w:pPr>
        <w:pStyle w:val="ListBullet"/>
      </w:pPr>
      <w:r>
        <w:t>No duplication of billing with previous invoices (INV-2026-001 through INV-2026-006).</w:t>
      </w:r>
    </w:p>
    <w:p>
      <w:pPr>
        <w:pStyle w:val="ListBullet"/>
      </w:pPr>
      <w:r>
        <w:t>Hours shown are for transparency and tracking only; retainer is flat-rate.</w:t>
      </w:r>
    </w:p>
    <w:p>
      <w:pPr>
        <w:pStyle w:val="ListBullet"/>
      </w:pPr>
      <w:r>
        <w:t>August deliverables focused on multi-tenancy platform completion, authentication enhancements, deployment documentation, and UAT preparation.</w:t>
      </w:r>
    </w:p>
    <w:p>
      <w:pPr>
        <w:pStyle w:val="ListBullet"/>
      </w:pPr>
      <w:r>
        <w:t>Multi-tenancy features (Section A) represent core platform capability enabling government-wide deployment across 9 provinces, 156 departments, and 347 branches with full data isolation.</w:t>
      </w:r>
    </w:p>
    <w:p>
      <w:pPr>
        <w:pStyle w:val="ListBullet"/>
      </w:pPr>
      <w:r>
        <w:t>UAT preparation (Section E) ongoing into early September per project plan.</w:t>
      </w:r>
    </w:p>
    <w:p>
      <w:r>
        <w:rPr>
          <w:b/>
          <w:color w:val="2C3E50"/>
          <w:sz w:val="24"/>
        </w:rPr>
        <w:t>PAYMENT DETAILS</w:t>
      </w:r>
    </w:p>
    <w:p>
      <w:r>
        <w:rPr>
          <w:b/>
          <w:sz w:val="20"/>
        </w:rPr>
        <w:t xml:space="preserve">Method: </w:t>
      </w:r>
      <w:r>
        <w:rPr>
          <w:sz w:val="20"/>
        </w:rPr>
        <w:t>EFT / Bank Transfer</w:t>
      </w:r>
    </w:p>
    <w:p>
      <w:r>
        <w:rPr>
          <w:b/>
          <w:sz w:val="20"/>
        </w:rPr>
        <w:t xml:space="preserve">Account Name: </w:t>
      </w:r>
      <w:r>
        <w:rPr>
          <w:sz w:val="20"/>
        </w:rPr>
        <w:t>Bantu InfoTech (Pty) Ltd</w:t>
      </w:r>
    </w:p>
    <w:p>
      <w:r>
        <w:rPr>
          <w:b/>
          <w:sz w:val="20"/>
        </w:rPr>
        <w:t xml:space="preserve">Bank: </w:t>
      </w:r>
      <w:r>
        <w:rPr>
          <w:sz w:val="20"/>
        </w:rPr>
        <w:t>FNB Business Banking</w:t>
      </w:r>
    </w:p>
    <w:p>
      <w:r>
        <w:rPr>
          <w:b/>
          <w:sz w:val="20"/>
        </w:rPr>
        <w:t xml:space="preserve">Branch Code: </w:t>
      </w:r>
      <w:r>
        <w:rPr>
          <w:sz w:val="20"/>
        </w:rPr>
        <w:t>250655</w:t>
      </w:r>
    </w:p>
    <w:p>
      <w:r>
        <w:rPr>
          <w:b/>
          <w:sz w:val="20"/>
        </w:rPr>
        <w:t xml:space="preserve">Account Number: </w:t>
      </w:r>
      <w:r>
        <w:rPr>
          <w:sz w:val="20"/>
        </w:rPr>
        <w:t>63223253129</w:t>
      </w:r>
    </w:p>
    <w:p>
      <w:r>
        <w:rPr>
          <w:b/>
          <w:sz w:val="20"/>
        </w:rPr>
        <w:t xml:space="preserve">Reference: </w:t>
      </w:r>
      <w:r>
        <w:rPr>
          <w:sz w:val="20"/>
        </w:rPr>
        <w:t>INV-2026-007 / Hosi Technologies</w:t>
      </w:r>
    </w:p>
    <w:p>
      <w:r>
        <w:rPr>
          <w:b/>
          <w:color w:val="C0392B"/>
          <w:sz w:val="20"/>
        </w:rPr>
        <w:t xml:space="preserve">TERMS: </w:t>
      </w:r>
      <w:r>
        <w:rPr>
          <w:sz w:val="20"/>
        </w:rPr>
        <w:t>Payment due on receipt. Subject to Independent Contractor Agreement clauses 5.1-5.6.</w:t>
      </w:r>
    </w:p>
    <w:p>
      <w:pPr>
        <w:jc w:val="center"/>
      </w:pPr>
      <w:r>
        <w:rPr>
          <w:b/>
          <w:color w:val="2C3E50"/>
          <w:sz w:val="22"/>
        </w:rPr>
        <w:t>Bantu InfoTech (B.iT)</w:t>
      </w:r>
    </w:p>
    <w:p>
      <w:pPr>
        <w:jc w:val="center"/>
      </w:pPr>
      <w:r>
        <w:rPr>
          <w:sz w:val="20"/>
        </w:rPr>
        <w:t>Takawira Mazando</w:t>
      </w:r>
    </w:p>
    <w:p>
      <w:pPr>
        <w:jc w:val="center"/>
      </w:pPr>
      <w:r>
        <w:rPr>
          <w:color w:val="95A5A6"/>
          <w:sz w:val="20"/>
        </w:rPr>
        <w:t>takawira.mazando@entailabs.com | 0672 319 200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