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SITA Consolidated Security Reporting — Project Requirements</w:t>
      </w:r>
    </w:p>
    <w:p>
      <w:r>
        <w:t>This document defines the functional and non-functional requirements for the SITA Consolidated Security Reporting platform. It is derived from the implemented system and serves as the reference specification for development, testing, and acceptance.</w:t>
      </w:r>
    </w:p>
    <w:p>
      <w:pPr>
        <w:pStyle w:val="Heading1"/>
      </w:pPr>
      <w:r>
        <w:t>1. Purpose and scope</w:t>
      </w:r>
    </w:p>
    <w:p>
      <w:r>
        <w:t>The platform is a full-stack security intelligence solution that unifies application security, database security, SOC operations, compliance, and executive reporting into a single experience. It provides:</w:t>
      </w:r>
    </w:p>
    <w:p>
      <w:pPr>
        <w:pStyle w:val="ListBullet"/>
      </w:pPr>
      <w:r>
        <w:t>Multi-domain alert and finding ingestion and correlation</w:t>
      </w:r>
    </w:p>
    <w:p>
      <w:pPr>
        <w:pStyle w:val="ListBullet"/>
      </w:pPr>
      <w:r>
        <w:t>Risk scoring, compliance assessment, and executive-level summaries</w:t>
      </w:r>
    </w:p>
    <w:p>
      <w:pPr>
        <w:pStyle w:val="ListBullet"/>
      </w:pPr>
      <w:r>
        <w:t>Role-based dashboards for executive, SOC, appsec, DBsec, and compliance stakeholders</w:t>
      </w:r>
    </w:p>
    <w:p>
      <w:pPr>
        <w:pStyle w:val="ListBullet"/>
      </w:pPr>
      <w:r>
        <w:t>Automated dispatch and notification to downstream systems</w:t>
      </w:r>
    </w:p>
    <w:p>
      <w:pPr>
        <w:pStyle w:val="ListBullet"/>
      </w:pPr>
      <w:r>
        <w:t>Multi-tenant scoping by province, department, and branch</w:t>
      </w:r>
    </w:p>
    <w:p>
      <w:pPr>
        <w:pStyle w:val="ListBullet"/>
      </w:pPr>
      <w:r>
        <w:t>Provincial peer benchmarking and Auditor-General (AG) compliance export</w:t>
      </w:r>
    </w:p>
    <w:p>
      <w:pPr>
        <w:pStyle w:val="Heading1"/>
      </w:pPr>
      <w:r>
        <w:t>2. Functional requirements</w:t>
      </w:r>
    </w:p>
    <w:p>
      <w:pPr>
        <w:pStyle w:val="Heading2"/>
      </w:pPr>
      <w:r>
        <w:t>2.1 Authentication and identity (FR-AUTH)</w:t>
      </w:r>
    </w:p>
    <w:p>
      <w:pPr>
        <w:pStyle w:val="ListBullet"/>
      </w:pPr>
      <w:r>
        <w:t>FR-AUTH-01: The platform MUST support JWT-based authentication with configurable token TTL (default 12 hours).</w:t>
      </w:r>
    </w:p>
    <w:p>
      <w:pPr>
        <w:pStyle w:val="ListBullet"/>
      </w:pPr>
      <w:r>
        <w:t>FR-AUTH-02: A bootstrap superadmin account MUST be created on first startup and its default password MUST be overridable via environment configuration.</w:t>
      </w:r>
    </w:p>
    <w:p>
      <w:pPr>
        <w:pStyle w:val="ListBullet"/>
      </w:pPr>
      <w:r>
        <w:t>FR-AUTH-03: Demo role accounts MUST be seedable for local exploration (exec, soc, appsec, dbsec, compliance, transversal, province soc, admin).</w:t>
      </w:r>
    </w:p>
    <w:p>
      <w:pPr>
        <w:pStyle w:val="ListBullet"/>
      </w:pPr>
      <w:r>
        <w:t>FR-AUTH-04: Demo users MUST be disabled by default in non-development environments.</w:t>
      </w:r>
    </w:p>
    <w:p>
      <w:pPr>
        <w:pStyle w:val="ListBullet"/>
      </w:pPr>
      <w:r>
        <w:t>FR-AUTH-05: The system MUST support Auth0 integration (domain, audience, RS256 algorithms) when configured.</w:t>
      </w:r>
    </w:p>
    <w:p>
      <w:pPr>
        <w:pStyle w:val="ListBullet"/>
      </w:pPr>
      <w:r>
        <w:t>FR-AUTH-06: Login MUST support a tenancy-scope override (province, department, or branch) so users can sign in under a specific scope.</w:t>
      </w:r>
    </w:p>
    <w:p>
      <w:pPr>
        <w:pStyle w:val="Heading2"/>
      </w:pPr>
      <w:r>
        <w:t>2.2 Role-based access (FR-RBAC)</w:t>
      </w:r>
    </w:p>
    <w:p>
      <w:pPr>
        <w:pStyle w:val="ListBullet"/>
      </w:pPr>
      <w:r>
        <w:t>FR-RBAC-01: The system MUST expose role-aware navigation and dashboards for executive, SOC, appsec, DBsec, compliance, transversal, and provincial SOC personas.</w:t>
      </w:r>
    </w:p>
    <w:p>
      <w:pPr>
        <w:pStyle w:val="ListBullet"/>
      </w:pPr>
      <w:r>
        <w:t>FR-RBAC-02: A transversal superadmin role MUST span all-department reports and multiple departments.</w:t>
      </w:r>
    </w:p>
    <w:p>
      <w:pPr>
        <w:pStyle w:val="ListBullet"/>
      </w:pPr>
      <w:r>
        <w:t>FR-RBAC-03: A provincial SOC lead role MUST be scoped to a province's departments (e.g., Gauteng).</w:t>
      </w:r>
    </w:p>
    <w:p>
      <w:pPr>
        <w:pStyle w:val="ListBullet"/>
      </w:pPr>
      <w:r>
        <w:t>FR-RBAC-04: Tenancy scoping MUST filter data access to the selected province, department, or branch; province scope expands to every department in the province.</w:t>
      </w:r>
    </w:p>
    <w:p>
      <w:pPr>
        <w:pStyle w:val="Heading2"/>
      </w:pPr>
      <w:r>
        <w:t>2.3 Data ingestion and processing (FR-INGEST)</w:t>
      </w:r>
    </w:p>
    <w:p>
      <w:pPr>
        <w:pStyle w:val="ListBullet"/>
      </w:pPr>
      <w:r>
        <w:t>FR-INGEST-01: The system MUST ingest alerts and findings from multiple security domains.</w:t>
      </w:r>
    </w:p>
    <w:p>
      <w:pPr>
        <w:pStyle w:val="ListBullet"/>
      </w:pPr>
      <w:r>
        <w:t>FR-INGEST-02: Ingestion MUST support rate limiting (token bucket), scheduling, retries, a dead-letter queue, and a circuit breaker.</w:t>
      </w:r>
    </w:p>
    <w:p>
      <w:pPr>
        <w:pStyle w:val="ListBullet"/>
      </w:pPr>
      <w:r>
        <w:t>FR-INGEST-03: Incoming data MUST be normalised into a common structure for downstream analysis.</w:t>
      </w:r>
    </w:p>
    <w:p>
      <w:pPr>
        <w:pStyle w:val="ListBullet"/>
      </w:pPr>
      <w:r>
        <w:t>FR-INGEST-04: Ingested findings MUST feed the processing pipeline (risk engine, compliance, alert engine, alert enrichment, alert dedup).</w:t>
      </w:r>
    </w:p>
    <w:p>
      <w:pPr>
        <w:pStyle w:val="Heading2"/>
      </w:pPr>
      <w:r>
        <w:t>2.4 Risk and compliance (FR-RISK)</w:t>
      </w:r>
    </w:p>
    <w:p>
      <w:pPr>
        <w:pStyle w:val="ListBullet"/>
      </w:pPr>
      <w:r>
        <w:t>FR-RISK-01: The system MUST compute risk scores per finding and aggregate them (risk aggregation).</w:t>
      </w:r>
    </w:p>
    <w:p>
      <w:pPr>
        <w:pStyle w:val="ListBullet"/>
      </w:pPr>
      <w:r>
        <w:t>FR-RISK-02: Compliance posture MUST be assessed against configured compliance rules.</w:t>
      </w:r>
    </w:p>
    <w:p>
      <w:pPr>
        <w:pStyle w:val="ListBullet"/>
      </w:pPr>
      <w:r>
        <w:t>FR-RISK-03: Alert generation MUST support deduplication and enrichment.</w:t>
      </w:r>
    </w:p>
    <w:p>
      <w:pPr>
        <w:pStyle w:val="ListBullet"/>
      </w:pPr>
      <w:r>
        <w:t>FR-RISK-04: Risk and aggregate calculations MUST run on scheduled intervals (configurable, defaults: aggregate rules 60s, risk 300s).</w:t>
      </w:r>
    </w:p>
    <w:p>
      <w:pPr>
        <w:pStyle w:val="Heading2"/>
      </w:pPr>
      <w:r>
        <w:t>2.5 Dashboards and reporting (FR-DASH)</w:t>
      </w:r>
    </w:p>
    <w:p>
      <w:pPr>
        <w:pStyle w:val="ListBullet"/>
      </w:pPr>
      <w:r>
        <w:t>FR-DASH-01: The platform MUST provide role-specific dashboards (executive, SOC, appsec, DBsec, compliance).</w:t>
      </w:r>
    </w:p>
    <w:p>
      <w:pPr>
        <w:pStyle w:val="ListBullet"/>
      </w:pPr>
      <w:r>
        <w:t>FR-DASH-02: The system MUST expose a public summary endpoint and metrics for monitoring.</w:t>
      </w:r>
    </w:p>
    <w:p>
      <w:pPr>
        <w:pStyle w:val="ListBullet"/>
      </w:pPr>
      <w:r>
        <w:t>FR-DASH-03: Dashboards MUST present findings, risks, alerts, and compliance posture through a modern web interface.</w:t>
      </w:r>
    </w:p>
    <w:p>
      <w:pPr>
        <w:pStyle w:val="Heading2"/>
      </w:pPr>
      <w:r>
        <w:t>2.6 Dispatch and notifications (FR-DISPATCH)</w:t>
      </w:r>
    </w:p>
    <w:p>
      <w:pPr>
        <w:pStyle w:val="ListBullet"/>
      </w:pPr>
      <w:r>
        <w:t>FR-DISPATCH-01: Alerts MUST be dispatchable to downstream channels via adapters: email (SMTP), Microsoft Teams (webhook), and PagerDuty (routing key).</w:t>
      </w:r>
    </w:p>
    <w:p>
      <w:pPr>
        <w:pStyle w:val="ListBullet"/>
      </w:pPr>
      <w:r>
        <w:t>FR-DISPATCH-02: Dispatch MUST support configurable worker and consumer counts.</w:t>
      </w:r>
    </w:p>
    <w:p>
      <w:pPr>
        <w:pStyle w:val="ListBullet"/>
      </w:pPr>
      <w:r>
        <w:t>FR-DISPATCH-03: Dispatch failures MUST NOT silently drop alerts (retry / dead-letter handling).</w:t>
      </w:r>
    </w:p>
    <w:p>
      <w:pPr>
        <w:pStyle w:val="Heading2"/>
      </w:pPr>
      <w:r>
        <w:t>2.7 Exports and benchmarking (FR-EXPORT)</w:t>
      </w:r>
    </w:p>
    <w:p>
      <w:pPr>
        <w:pStyle w:val="ListBullet"/>
      </w:pPr>
      <w:r>
        <w:t>FR-EXPORT-01: The platform MUST provide a provincial peer benchmark endpoint (`/api/v1/benchmark/province`) that anonymises peer provinces and exposes only aggregated fused risk for peers.</w:t>
      </w:r>
    </w:p>
    <w:p>
      <w:pPr>
        <w:pStyle w:val="ListBullet"/>
      </w:pPr>
      <w:r>
        <w:t>FR-EXPORT-02: Peers MUST never expose raw vulnerability counts, findings, or logs.</w:t>
      </w:r>
    </w:p>
    <w:p>
      <w:pPr>
        <w:pStyle w:val="ListBullet"/>
      </w:pPr>
      <w:r>
        <w:t>FR-EXPORT-03: An Auditor-General aggregation-only compliance attestation export MUST be provided (`/api/v1/exports/ag-compliance`).</w:t>
      </w:r>
    </w:p>
    <w:p>
      <w:pPr>
        <w:pStyle w:val="ListBullet"/>
      </w:pPr>
      <w:r>
        <w:t>FR-EXPORT-04: AG exports MUST strip raw findings and PII, bind a SHA-256 integrity hash to the actor and tenant scope in the audit trail, and support hash verification (`/api/v1/exports/ag-compliance/verify/{hash}`).</w:t>
      </w:r>
    </w:p>
    <w:p>
      <w:pPr>
        <w:pStyle w:val="Heading2"/>
      </w:pPr>
      <w:r>
        <w:t>2.8 Connectors (FR-CONN)</w:t>
      </w:r>
    </w:p>
    <w:p>
      <w:pPr>
        <w:pStyle w:val="ListBullet"/>
      </w:pPr>
      <w:r>
        <w:t>FR-CONN-01: The system MUST support pluggable connectors to third-party security tooling (e.g., Imperva, AppScan, APIsec, compliance).</w:t>
      </w:r>
    </w:p>
    <w:p>
      <w:pPr>
        <w:pStyle w:val="ListBullet"/>
      </w:pPr>
      <w:r>
        <w:t>FR-CONN-02: Connector status MUST be tracked (connector status model).</w:t>
      </w:r>
    </w:p>
    <w:p>
      <w:pPr>
        <w:pStyle w:val="Heading2"/>
      </w:pPr>
      <w:r>
        <w:t>2.9 Administration (FR-ADMIN)</w:t>
      </w:r>
    </w:p>
    <w:p>
      <w:pPr>
        <w:pStyle w:val="ListBullet"/>
      </w:pPr>
      <w:r>
        <w:t>FR-ADMIN-01: Admin routes MUST be available under the `/admin` base path.</w:t>
      </w:r>
    </w:p>
    <w:p>
      <w:pPr>
        <w:pStyle w:val="ListBullet"/>
      </w:pPr>
      <w:r>
        <w:t>FR-ADMIN-02: All sensitive operations MUST be written to an audit trail (audit action log).</w:t>
      </w:r>
    </w:p>
    <w:p>
      <w:pPr>
        <w:pStyle w:val="Heading1"/>
      </w:pPr>
      <w:r>
        <w:t>3. Non-functional requirements</w:t>
      </w:r>
    </w:p>
    <w:p>
      <w:pPr>
        <w:pStyle w:val="Heading2"/>
      </w:pPr>
      <w:r>
        <w:t>3.1 Architecture (NFR-ARCH)</w:t>
      </w:r>
    </w:p>
    <w:p>
      <w:pPr>
        <w:pStyle w:val="ListBullet"/>
      </w:pPr>
      <w:r>
        <w:t>NFR-ARCH-01: The system MUST use a service-oriented architecture with a FastAPI backend, React/Vite frontend, PostgreSQL, and Redis.</w:t>
      </w:r>
    </w:p>
    <w:p>
      <w:pPr>
        <w:pStyle w:val="ListBullet"/>
      </w:pPr>
      <w:r>
        <w:t>NFR-ARCH-02: The backend MUST expose API routes under `/api/v1`, admin routes under `/admin`, and health at `/health`.</w:t>
      </w:r>
    </w:p>
    <w:p>
      <w:pPr>
        <w:pStyle w:val="ListBullet"/>
      </w:pPr>
      <w:r>
        <w:t>NFR-ARCH-03: Database schema evolution MUST be managed with Alembic migrations.</w:t>
      </w:r>
    </w:p>
    <w:p>
      <w:pPr>
        <w:pStyle w:val="ListBullet"/>
      </w:pPr>
      <w:r>
        <w:t>NFR-ARCH-04: Deployment MUST be supported via Docker Compose (local, remote, and production configurations).</w:t>
      </w:r>
    </w:p>
    <w:p>
      <w:pPr>
        <w:pStyle w:val="Heading2"/>
      </w:pPr>
      <w:r>
        <w:t>3.2 Performance and scalability (NFR-PERF)</w:t>
      </w:r>
    </w:p>
    <w:p>
      <w:pPr>
        <w:pStyle w:val="ListBullet"/>
      </w:pPr>
      <w:r>
        <w:t>NFR-PERF-01: The API MUST be asynchronous (asyncpg + SQLAlchemy asyncio) to support concurrent load.</w:t>
      </w:r>
    </w:p>
    <w:p>
      <w:pPr>
        <w:pStyle w:val="ListBullet"/>
      </w:pPr>
      <w:r>
        <w:t>NFR-PERF-02: Database connection pooling MUST be configurable (defaults: pool size 20, max overflow 40, pool timeout 30s).</w:t>
      </w:r>
    </w:p>
    <w:p>
      <w:pPr>
        <w:pStyle w:val="ListBullet"/>
      </w:pPr>
      <w:r>
        <w:t>NFR-PERF-03: Processing MUST support configurable batch sizes (default 100) and consumer counts (default 4).</w:t>
      </w:r>
    </w:p>
    <w:p>
      <w:pPr>
        <w:pStyle w:val="Heading2"/>
      </w:pPr>
      <w:r>
        <w:t>3.3 Security (NFR-SEC)</w:t>
      </w:r>
    </w:p>
    <w:p>
      <w:pPr>
        <w:pStyle w:val="ListBullet"/>
      </w:pPr>
      <w:r>
        <w:t>NFR-SEC-01: The default development JWT secret and bootstrap password MUST be rejected in non-dev environments.</w:t>
      </w:r>
    </w:p>
    <w:p>
      <w:pPr>
        <w:pStyle w:val="ListBullet"/>
      </w:pPr>
      <w:r>
        <w:t>NFR-SEC-02: Demo user seeding MUST be disabled in non-dev environments.</w:t>
      </w:r>
    </w:p>
    <w:p>
      <w:pPr>
        <w:pStyle w:val="ListBullet"/>
      </w:pPr>
      <w:r>
        <w:t>NFR-SEC-03: CORS MUST be configured for the frontend origin.</w:t>
      </w:r>
    </w:p>
    <w:p>
      <w:pPr>
        <w:pStyle w:val="ListBullet"/>
      </w:pPr>
      <w:r>
        <w:t>NFR-SEC-04: Secrets MUST be supplied via environment configuration (`.env`) and never committed.</w:t>
      </w:r>
    </w:p>
    <w:p>
      <w:pPr>
        <w:pStyle w:val="Heading2"/>
      </w:pPr>
      <w:r>
        <w:t>3.4 Observability (NFR-OBS)</w:t>
      </w:r>
    </w:p>
    <w:p>
      <w:pPr>
        <w:pStyle w:val="ListBullet"/>
      </w:pPr>
      <w:r>
        <w:t>NFR-OBS-01: The system MUST expose Prometheus metrics and integrate with Grafana dashboards.</w:t>
      </w:r>
    </w:p>
    <w:p>
      <w:pPr>
        <w:pStyle w:val="ListBullet"/>
      </w:pPr>
      <w:r>
        <w:t>NFR-OBS-02: Structured logging MUST be used (structlog).</w:t>
      </w:r>
    </w:p>
    <w:p>
      <w:pPr>
        <w:pStyle w:val="ListBullet"/>
      </w:pPr>
      <w:r>
        <w:t>NFR-OBS-03: The `/health` endpoint MUST report service status, database status, and uptime.</w:t>
      </w:r>
    </w:p>
    <w:p>
      <w:pPr>
        <w:pStyle w:val="Heading2"/>
      </w:pPr>
      <w:r>
        <w:t>3.5 Reliability (NFR-REL)</w:t>
      </w:r>
    </w:p>
    <w:p>
      <w:pPr>
        <w:pStyle w:val="ListBullet"/>
      </w:pPr>
      <w:r>
        <w:t>NFR-REL-01: Ingestion MUST tolerate transient failures via retry and dead-letter queues.</w:t>
      </w:r>
    </w:p>
    <w:p>
      <w:pPr>
        <w:pStyle w:val="ListBullet"/>
      </w:pPr>
      <w:r>
        <w:t>NFR-REL-02: Dispatch adapters MUST be isolated so a single channel failure does not block others.</w:t>
      </w:r>
    </w:p>
    <w:p>
      <w:pPr>
        <w:pStyle w:val="Heading1"/>
      </w:pPr>
      <w:r>
        <w:t>4. 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3.11+, FastAPI, SQLAlchemy (async), Pydantic v2, Alembic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18, TypeScript, Vite, React Router, Recharts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Cache / messaging</w:t>
            </w:r>
          </w:p>
        </w:tc>
        <w:tc>
          <w:tcPr>
            <w:tcW w:type="dxa" w:w="4320"/>
          </w:tcPr>
          <w:p>
            <w:r>
              <w:t>Redis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Prometheus, Grafana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Packaging</w:t>
            </w:r>
          </w:p>
        </w:tc>
        <w:tc>
          <w:tcPr>
            <w:tcW w:type="dxa" w:w="4320"/>
          </w:tcPr>
          <w:p>
            <w:r>
              <w:t>Docker Compose, Nginx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 (native) with optional Auth0 integration</w:t>
            </w:r>
          </w:p>
        </w:tc>
      </w:tr>
    </w:tbl>
    <w:p>
      <w:pPr>
        <w:pStyle w:val="Heading1"/>
      </w:pPr>
      <w:r>
        <w:t>5. Acceptance criteria</w:t>
      </w:r>
    </w:p>
    <w:p>
      <w:pPr>
        <w:pStyle w:val="ListBullet"/>
      </w:pPr>
      <w:r>
        <w:t>All demo role accounts can log in and see role-appropriate dashboards.</w:t>
      </w:r>
    </w:p>
    <w:p>
      <w:pPr>
        <w:pStyle w:val="ListBullet"/>
      </w:pPr>
      <w:r>
        <w:t>Provincial SOC lead sees only their province's departments; transversal superadmin sees all departments.</w:t>
      </w:r>
    </w:p>
    <w:p>
      <w:pPr>
        <w:pStyle w:val="ListBullet"/>
      </w:pPr>
      <w:r>
        <w:t>Ingested findings produce normalised records, risk scores, and alerts with deduplication.</w:t>
      </w:r>
    </w:p>
    <w:p>
      <w:pPr>
        <w:pStyle w:val="ListBullet"/>
      </w:pPr>
      <w:r>
        <w:t>Alerts dispatch correctly to configured email/Teams/PagerDuty targets.</w:t>
      </w:r>
    </w:p>
    <w:p>
      <w:pPr>
        <w:pStyle w:val="ListBullet"/>
      </w:pPr>
      <w:r>
        <w:t>Provincial benchmark anonymises peers and AG export strips PII with a verifiable integrity hash.</w:t>
      </w:r>
    </w:p>
    <w:p>
      <w:pPr>
        <w:pStyle w:val="ListBullet"/>
      </w:pPr>
      <w:r>
        <w:t>`/health` returns healthy with database connectivity.</w:t>
      </w:r>
    </w:p>
    <w:p>
      <w:pPr>
        <w:pStyle w:val="ListBullet"/>
      </w:pPr>
      <w:r>
        <w:t>Backend unit tests pass (`pytest`), frontend passes lint and typecheck (`npm run lint`, `npm run typecheck`).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