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007A8A"/>
          <w:sz w:val="24"/>
        </w:rPr>
        <w:t>STATE INFORMATION TECHNOLOGY AGENCY (SITA)</w:t>
        <w:br/>
      </w:r>
      <w:r>
        <w:rPr>
          <w:b/>
          <w:color w:val="0A275C"/>
          <w:sz w:val="44"/>
        </w:rPr>
        <w:t>AIMI Artificial Intelligence Integration Guide &amp;</w:t>
        <w:br/>
        <w:t>Business Value Proposition for Senior Stakeholders</w:t>
      </w:r>
    </w:p>
    <w:p>
      <w:pPr>
        <w:spacing w:before="80" w:after="280"/>
        <w:pBdr>
          <w:bottom w:val="single" w:sz="18" w:space="4" w:color="0A275C"/>
        </w:pBdr>
      </w:pPr>
      <w:r>
        <w:rPr>
          <w:i/>
          <w:color w:val="4B5563"/>
          <w:sz w:val="21"/>
        </w:rPr>
        <w:t>Plain-Language Demystification: How AI Solves Real Security &amp; Compliance Requirements, Empowers Every Role-Based Access Tier (RBAC), and Delivers Tangible Dashboard Outcomes</w:t>
      </w:r>
    </w:p>
    <w:tbl>
      <w:tblPr>
        <w:tblW w:type="auto" w:w="0"/>
        <w:jc w:val="center"/>
        <w:tblLook w:firstColumn="1" w:firstRow="1" w:lastColumn="0" w:lastRow="0" w:noHBand="0" w:noVBand="1" w:val="04A0"/>
      </w:tblPr>
      <w:tblGrid>
        <w:gridCol w:w="4873"/>
        <w:gridCol w:w="4873"/>
      </w:tblGrid>
      <w:tr>
        <w:tc>
          <w:tcPr>
            <w:tcW w:type="dxa" w:w="2721"/>
            <w:shd w:val="clear" w:color="auto" w:fill="F9FAFB"/>
            <w:tcMar>
              <w:top w:w="80" w:type="dxa"/>
              <w:bottom w:w="80" w:type="dxa"/>
              <w:left w:w="120" w:type="dxa"/>
              <w:right w:w="120" w:type="dxa"/>
            </w:tcMar>
          </w:tcPr>
          <w:p>
            <w:r>
              <w:rPr>
                <w:b/>
                <w:color w:val="0A275C"/>
                <w:sz w:val="18"/>
              </w:rPr>
              <w:t>Document ID &amp; Version</w:t>
            </w:r>
          </w:p>
        </w:tc>
        <w:tc>
          <w:tcPr>
            <w:tcW w:type="dxa" w:w="6633"/>
            <w:shd w:val="clear" w:color="auto" w:fill="FFFFFF"/>
            <w:tcMar>
              <w:top w:w="80" w:type="dxa"/>
              <w:bottom w:w="80" w:type="dxa"/>
              <w:left w:w="120" w:type="dxa"/>
              <w:right w:w="120" w:type="dxa"/>
            </w:tcMar>
          </w:tcPr>
          <w:p>
            <w:r>
              <w:rPr>
                <w:color w:val="1F2937"/>
                <w:sz w:val="18"/>
              </w:rPr>
              <w:t>SITA-AIMI-BVP-2026-V1.0 (Executive Release)</w:t>
            </w:r>
          </w:p>
        </w:tc>
      </w:tr>
      <w:tr>
        <w:tc>
          <w:tcPr>
            <w:tcW w:type="dxa" w:w="2721"/>
            <w:shd w:val="clear" w:color="auto" w:fill="F9FAFB"/>
            <w:tcMar>
              <w:top w:w="80" w:type="dxa"/>
              <w:bottom w:w="80" w:type="dxa"/>
              <w:left w:w="120" w:type="dxa"/>
              <w:right w:w="120" w:type="dxa"/>
            </w:tcMar>
          </w:tcPr>
          <w:p>
            <w:r>
              <w:rPr>
                <w:b/>
                <w:color w:val="0A275C"/>
                <w:sz w:val="18"/>
              </w:rPr>
              <w:t>Prepared By</w:t>
            </w:r>
          </w:p>
        </w:tc>
        <w:tc>
          <w:tcPr>
            <w:tcW w:type="dxa" w:w="6633"/>
            <w:shd w:val="clear" w:color="auto" w:fill="FFFFFF"/>
            <w:tcMar>
              <w:top w:w="80" w:type="dxa"/>
              <w:bottom w:w="80" w:type="dxa"/>
              <w:left w:w="120" w:type="dxa"/>
              <w:right w:w="120" w:type="dxa"/>
            </w:tcMar>
          </w:tcPr>
          <w:p>
            <w:r>
              <w:rPr>
                <w:color w:val="1F2937"/>
                <w:sz w:val="18"/>
              </w:rPr>
              <w:t>Takawira Mazando (Technical Lead — SITA Platform Engineering)</w:t>
            </w:r>
          </w:p>
        </w:tc>
      </w:tr>
      <w:tr>
        <w:tc>
          <w:tcPr>
            <w:tcW w:type="dxa" w:w="2721"/>
            <w:shd w:val="clear" w:color="auto" w:fill="F9FAFB"/>
            <w:tcMar>
              <w:top w:w="80" w:type="dxa"/>
              <w:bottom w:w="80" w:type="dxa"/>
              <w:left w:w="120" w:type="dxa"/>
              <w:right w:w="120" w:type="dxa"/>
            </w:tcMar>
          </w:tcPr>
          <w:p>
            <w:r>
              <w:rPr>
                <w:b/>
                <w:color w:val="0A275C"/>
                <w:sz w:val="18"/>
              </w:rPr>
              <w:t>Reviewed &amp; Formatted By</w:t>
            </w:r>
          </w:p>
        </w:tc>
        <w:tc>
          <w:tcPr>
            <w:tcW w:type="dxa" w:w="6633"/>
            <w:shd w:val="clear" w:color="auto" w:fill="FFFFFF"/>
            <w:tcMar>
              <w:top w:w="80" w:type="dxa"/>
              <w:bottom w:w="80" w:type="dxa"/>
              <w:left w:w="120" w:type="dxa"/>
              <w:right w:w="120" w:type="dxa"/>
            </w:tcMar>
          </w:tcPr>
          <w:p>
            <w:r>
              <w:rPr>
                <w:color w:val="1F2937"/>
                <w:sz w:val="18"/>
              </w:rPr>
              <w:t>Peter Rashaya (Business Analyst — SITA Security Intelligence)</w:t>
            </w:r>
          </w:p>
        </w:tc>
      </w:tr>
      <w:tr>
        <w:tc>
          <w:tcPr>
            <w:tcW w:type="dxa" w:w="2721"/>
            <w:shd w:val="clear" w:color="auto" w:fill="F9FAFB"/>
            <w:tcMar>
              <w:top w:w="80" w:type="dxa"/>
              <w:bottom w:w="80" w:type="dxa"/>
              <w:left w:w="120" w:type="dxa"/>
              <w:right w:w="120" w:type="dxa"/>
            </w:tcMar>
          </w:tcPr>
          <w:p>
            <w:r>
              <w:rPr>
                <w:b/>
                <w:color w:val="0A275C"/>
                <w:sz w:val="18"/>
              </w:rPr>
              <w:t>Target Stakeholders</w:t>
            </w:r>
          </w:p>
        </w:tc>
        <w:tc>
          <w:tcPr>
            <w:tcW w:type="dxa" w:w="6633"/>
            <w:shd w:val="clear" w:color="auto" w:fill="FFFFFF"/>
            <w:tcMar>
              <w:top w:w="80" w:type="dxa"/>
              <w:bottom w:w="80" w:type="dxa"/>
              <w:left w:w="120" w:type="dxa"/>
              <w:right w:w="120" w:type="dxa"/>
            </w:tcMar>
          </w:tcPr>
          <w:p>
            <w:r>
              <w:rPr>
                <w:color w:val="1F2937"/>
                <w:sz w:val="18"/>
              </w:rPr>
              <w:t>Executive Committee, DDGs, CISOs, Legal Counsel, Provincial SOC Leads</w:t>
            </w:r>
          </w:p>
        </w:tc>
      </w:tr>
      <w:tr>
        <w:tc>
          <w:tcPr>
            <w:tcW w:type="dxa" w:w="2721"/>
            <w:shd w:val="clear" w:color="auto" w:fill="F9FAFB"/>
            <w:tcMar>
              <w:top w:w="80" w:type="dxa"/>
              <w:bottom w:w="80" w:type="dxa"/>
              <w:left w:w="120" w:type="dxa"/>
              <w:right w:w="120" w:type="dxa"/>
            </w:tcMar>
          </w:tcPr>
          <w:p>
            <w:r>
              <w:rPr>
                <w:b/>
                <w:color w:val="0A275C"/>
                <w:sz w:val="18"/>
              </w:rPr>
              <w:t>Classification</w:t>
            </w:r>
          </w:p>
        </w:tc>
        <w:tc>
          <w:tcPr>
            <w:tcW w:type="dxa" w:w="6633"/>
            <w:shd w:val="clear" w:color="auto" w:fill="FFFFFF"/>
            <w:tcMar>
              <w:top w:w="80" w:type="dxa"/>
              <w:bottom w:w="80" w:type="dxa"/>
              <w:left w:w="120" w:type="dxa"/>
              <w:right w:w="120" w:type="dxa"/>
            </w:tcMar>
          </w:tcPr>
          <w:p>
            <w:r>
              <w:rPr>
                <w:color w:val="1F2937"/>
                <w:sz w:val="18"/>
              </w:rPr>
              <w:t>RESTRICTED — INTERNAL STAKEHOLDER STRATEGY DOCUMENT</w:t>
            </w:r>
          </w:p>
        </w:tc>
      </w:tr>
      <w:tr>
        <w:tc>
          <w:tcPr>
            <w:tcW w:type="dxa" w:w="2721"/>
            <w:shd w:val="clear" w:color="auto" w:fill="F9FAFB"/>
            <w:tcMar>
              <w:top w:w="80" w:type="dxa"/>
              <w:bottom w:w="80" w:type="dxa"/>
              <w:left w:w="120" w:type="dxa"/>
              <w:right w:w="120" w:type="dxa"/>
            </w:tcMar>
          </w:tcPr>
          <w:p>
            <w:r>
              <w:rPr>
                <w:b/>
                <w:color w:val="0A275C"/>
                <w:sz w:val="18"/>
              </w:rPr>
              <w:t>Platform Baseline</w:t>
            </w:r>
          </w:p>
        </w:tc>
        <w:tc>
          <w:tcPr>
            <w:tcW w:type="dxa" w:w="6633"/>
            <w:shd w:val="clear" w:color="auto" w:fill="FFFFFF"/>
            <w:tcMar>
              <w:top w:w="80" w:type="dxa"/>
              <w:bottom w:w="80" w:type="dxa"/>
              <w:left w:w="120" w:type="dxa"/>
              <w:right w:w="120" w:type="dxa"/>
            </w:tcMar>
          </w:tcPr>
          <w:p>
            <w:r>
              <w:rPr>
                <w:color w:val="1F2937"/>
                <w:sz w:val="18"/>
              </w:rPr>
              <w:t>SITA Consolidated Security Reporting Platform (Frontend v2.4 / Backend v1.8)</w:t>
            </w:r>
          </w:p>
        </w:tc>
      </w:tr>
    </w:tbl>
    <w:p>
      <w:pPr>
        <w:spacing w:after="240"/>
      </w:pPr>
    </w:p>
    <w:p>
      <w:pPr>
        <w:spacing w:before="400" w:after="160"/>
        <w:pBdr>
          <w:bottom w:val="single" w:sz="12" w:space="4" w:color="0A275C"/>
        </w:pBdr>
      </w:pPr>
      <w:r>
        <w:rPr>
          <w:b/>
          <w:color w:val="0A275C"/>
          <w:sz w:val="32"/>
        </w:rPr>
        <w:t>1. Executive Overview: Demystifying AI in SITA's Security Platform</w:t>
      </w:r>
    </w:p>
    <w:p>
      <w:pPr>
        <w:spacing w:after="100" w:line="276" w:lineRule="auto"/>
      </w:pPr>
      <w:r>
        <w:rPr>
          <w:color w:val="1F2937"/>
          <w:sz w:val="19"/>
        </w:rPr>
        <w:t>Modern cybersecurity operations across the South African public sector generate overwhelming volumes of raw technical telemetry. Every second, automated sensors, web application firewalls (Imperva WAF), database activity monitors (Imperva DAM), and static/dynamic source code scanners (HCL AppScan) emit thousands of data points. For senior stakeholders, Director-Generals, and risk committees, this creates an operational paradox: despite investing millions into top-tier security tools, leadership remains blind to the real, plain-language business risk because the data is trapped in fragmented technical silos.</w:t>
      </w:r>
    </w:p>
    <w:p>
      <w:pPr>
        <w:spacing w:after="100" w:line="276" w:lineRule="auto"/>
      </w:pPr>
      <w:r>
        <w:rPr>
          <w:color w:val="1F2937"/>
          <w:sz w:val="19"/>
        </w:rPr>
        <w:t>To resolve this, SITA commissioned the Consolidated Security Intelligence Platform integrated with the AIMI Artificial Intelligence engine. However, the adoption of AI in government demands absolute transparency, fiscal prudence, and cryptographic trustworthiness. This document serves as the executive guide for senior stakeholders to understand exactly what the AI does, what it does not do, and how it directly drives value across all Role-Based Access Control (RBAC) tiers.</w:t>
      </w:r>
    </w:p>
    <w:tbl>
      <w:tblPr>
        <w:tblW w:type="auto" w:w="0"/>
        <w:jc w:val="center"/>
        <w:tblLook w:firstColumn="1" w:firstRow="1" w:lastColumn="0" w:lastRow="0" w:noHBand="0" w:noVBand="1" w:val="04A0"/>
      </w:tblPr>
      <w:tblGrid>
        <w:gridCol w:w="9746"/>
      </w:tblGrid>
      <w:tr>
        <w:tc>
          <w:tcPr>
            <w:tcW w:type="dxa" w:w="9354"/>
            <w:shd w:val="clear" w:color="auto" w:fill="EEF5FC"/>
            <w:tcMar>
              <w:top w:w="160" w:type="dxa"/>
              <w:bottom w:w="160" w:type="dxa"/>
              <w:left w:w="240" w:type="dxa"/>
              <w:right w:w="200" w:type="dxa"/>
            </w:tcMar>
            <w:tcBorders>
              <w:left w:val="single" w:sz="24" w:color="0A275C"/>
              <w:top w:val="none"/>
              <w:bottom w:val="none"/>
              <w:right w:val="none"/>
            </w:tcBorders>
          </w:tcPr>
          <w:p>
            <w:pPr>
              <w:spacing w:before="80" w:after="80" w:line="276" w:lineRule="auto"/>
            </w:pPr>
            <w:r>
              <w:rPr>
                <w:b/>
                <w:color w:val="0A275C"/>
                <w:sz w:val="20"/>
              </w:rPr>
              <w:t>★ The Golden Rule of AI at SITA: The 'Strict AI Test'</w:t>
              <w:br/>
            </w:r>
            <w:r>
              <w:rPr>
                <w:color w:val="1F2937"/>
                <w:sz w:val="19"/>
              </w:rPr>
              <w:t>A core architectural principle governs this platform: 'If a calculation, join, alert, or report can be produced by ordinary computer code or database queries, it is NOT AI, and SITA will never pay for it as AI.'</w:t>
              <w:br/>
              <w:br/>
              <w:t>Of twelve originally proposed AI capabilities, seven were deliberately demoted to standard, deterministic software engineering (already built and operating at zero licensing cost). SITA integrates AIMI exclusively for the five irreducible cognitive tasks that mathematically and practically cannot be performed by traditional code.</w:t>
            </w:r>
          </w:p>
        </w:tc>
      </w:tr>
    </w:tbl>
    <w:p>
      <w:pPr>
        <w:spacing w:after="80"/>
      </w:pPr>
    </w:p>
    <w:p>
      <w:pPr>
        <w:spacing w:before="280" w:after="80"/>
      </w:pPr>
      <w:r>
        <w:rPr>
          <w:b/>
          <w:color w:val="1E3A8A"/>
          <w:sz w:val="25"/>
        </w:rPr>
        <w:t>1.1 The Deterministic Foundation vs The AIMI AI Residue</w:t>
      </w:r>
    </w:p>
    <w:p>
      <w:pPr>
        <w:spacing w:after="100" w:line="276" w:lineRule="auto"/>
      </w:pPr>
      <w:r>
        <w:rPr>
          <w:color w:val="1F2937"/>
          <w:sz w:val="19"/>
        </w:rPr>
        <w:t>To appreciate the AI's value, stakeholders must understand the clear division of labor in the platform:</w:t>
      </w:r>
    </w:p>
    <w:p>
      <w:pPr>
        <w:pStyle w:val="ListBullet"/>
        <w:spacing w:after="60" w:line="276" w:lineRule="auto"/>
        <w:ind w:left="397"/>
      </w:pPr>
      <w:r>
        <w:rPr>
          <w:b/>
          <w:color w:val="0A275C"/>
          <w:sz w:val="19"/>
        </w:rPr>
        <w:t xml:space="preserve">What the Platform Does WITHOUT AI (The Deterministic Foundation): </w:t>
      </w:r>
      <w:r>
        <w:rPr>
          <w:color w:val="1F2937"/>
          <w:sz w:val="19"/>
        </w:rPr>
        <w:t>The platform ingests telemetry from 4 OEM sources, normalizes disparate vendor vocabularies into an OWASP/CWE standard, calculates mathematical risk scores, and cryptographically signs audit trails using ECDSA keys. This work is 100% deterministic code. It is fast, mathematical, and predictable.</w:t>
      </w:r>
    </w:p>
    <w:p>
      <w:pPr>
        <w:pStyle w:val="ListBullet"/>
        <w:spacing w:after="60" w:line="276" w:lineRule="auto"/>
        <w:ind w:left="397"/>
      </w:pPr>
      <w:r>
        <w:rPr>
          <w:b/>
          <w:color w:val="0A275C"/>
          <w:sz w:val="19"/>
        </w:rPr>
        <w:t xml:space="preserve">What Strictly Requires the AIMI AI Engine (The Cognitive Residue): </w:t>
      </w:r>
      <w:r>
        <w:rPr>
          <w:color w:val="1F2937"/>
          <w:sz w:val="19"/>
        </w:rPr>
        <w:t>These are tasks requiring contextual human-like comprehension, such as translating technical security alerts into plain-language executive prose, interpreting South African privacy statutes (POPIA Section 22) against technical server logs, matching active geopolitical cyber campaigns to government systems, and synthesizing defensive alert rules without breaking database schemas.</w:t>
      </w:r>
    </w:p>
    <w:p>
      <w:pPr>
        <w:spacing w:before="280" w:after="80"/>
      </w:pPr>
      <w:r>
        <w:rPr>
          <w:b/>
          <w:color w:val="1E3A8A"/>
          <w:sz w:val="25"/>
        </w:rPr>
        <w:t>1.2 The Four Safety Pillars Protecting Government Data</w:t>
      </w:r>
    </w:p>
    <w:p>
      <w:pPr>
        <w:spacing w:after="100" w:line="276" w:lineRule="auto"/>
      </w:pPr>
      <w:r>
        <w:rPr>
          <w:color w:val="1F2937"/>
          <w:sz w:val="19"/>
        </w:rPr>
        <w:t>Senior stakeholders often ask: 'Can the AI make a mistake that brings down a government system, or can it leak confidential department data?' SITA's integration architecture enforces four immutable safety guardrails:</w:t>
      </w:r>
    </w:p>
    <w:tbl>
      <w:tblPr>
        <w:tblW w:type="auto" w:w="0"/>
        <w:jc w:val="center"/>
        <w:tblLook w:firstColumn="1" w:firstRow="1" w:lastColumn="0" w:lastRow="0" w:noHBand="0" w:noVBand="1" w:val="04A0"/>
      </w:tblPr>
      <w:tblGrid>
        <w:gridCol w:w="3249"/>
        <w:gridCol w:w="3249"/>
        <w:gridCol w:w="3249"/>
      </w:tblGrid>
      <w:tr>
        <w:tc>
          <w:tcPr>
            <w:tcW w:type="dxa" w:w="1814"/>
            <w:shd w:val="clear" w:color="auto" w:fill="0A275C"/>
            <w:tcMar>
              <w:top w:w="160" w:type="dxa"/>
              <w:bottom w:w="160" w:type="dxa"/>
              <w:left w:w="160" w:type="dxa"/>
              <w:right w:w="160" w:type="dxa"/>
            </w:tcMar>
          </w:tcPr>
          <w:p>
            <w:pPr>
              <w:jc w:val="left"/>
            </w:pPr>
            <w:r>
              <w:rPr>
                <w:b/>
                <w:color w:val="FFFFFF"/>
                <w:sz w:val="18"/>
              </w:rPr>
              <w:t>Pillar</w:t>
            </w:r>
          </w:p>
        </w:tc>
        <w:tc>
          <w:tcPr>
            <w:tcW w:type="dxa" w:w="3288"/>
            <w:shd w:val="clear" w:color="auto" w:fill="0A275C"/>
            <w:tcMar>
              <w:top w:w="160" w:type="dxa"/>
              <w:bottom w:w="160" w:type="dxa"/>
              <w:left w:w="160" w:type="dxa"/>
              <w:right w:w="160" w:type="dxa"/>
            </w:tcMar>
          </w:tcPr>
          <w:p>
            <w:pPr>
              <w:jc w:val="left"/>
            </w:pPr>
            <w:r>
              <w:rPr>
                <w:b/>
                <w:color w:val="FFFFFF"/>
                <w:sz w:val="18"/>
              </w:rPr>
              <w:t>Technical Mechanism</w:t>
            </w:r>
          </w:p>
        </w:tc>
        <w:tc>
          <w:tcPr>
            <w:tcW w:type="dxa" w:w="4252"/>
            <w:shd w:val="clear" w:color="auto" w:fill="0A275C"/>
            <w:tcMar>
              <w:top w:w="160" w:type="dxa"/>
              <w:bottom w:w="160" w:type="dxa"/>
              <w:left w:w="160" w:type="dxa"/>
              <w:right w:w="160" w:type="dxa"/>
            </w:tcMar>
          </w:tcPr>
          <w:p>
            <w:pPr>
              <w:jc w:val="left"/>
            </w:pPr>
            <w:r>
              <w:rPr>
                <w:b/>
                <w:color w:val="FFFFFF"/>
                <w:sz w:val="18"/>
              </w:rPr>
              <w:t>Plain-Language Stakeholder Guarantee</w:t>
            </w:r>
          </w:p>
        </w:tc>
      </w:tr>
      <w:tr>
        <w:tc>
          <w:tcPr>
            <w:tcW w:type="dxa" w:w="1814"/>
            <w:shd w:val="clear" w:color="auto" w:fill="FFFFFF"/>
            <w:tcMar>
              <w:top w:w="110" w:type="dxa"/>
              <w:bottom w:w="110" w:type="dxa"/>
              <w:left w:w="150" w:type="dxa"/>
              <w:right w:w="150" w:type="dxa"/>
            </w:tcMar>
          </w:tcPr>
          <w:p>
            <w:r>
              <w:rPr>
                <w:b/>
                <w:color w:val="0A275C"/>
              </w:rPr>
              <w:t>1. Advisory-Only Architecture</w:t>
            </w:r>
          </w:p>
        </w:tc>
        <w:tc>
          <w:tcPr>
            <w:tcW w:type="dxa" w:w="3288"/>
            <w:shd w:val="clear" w:color="auto" w:fill="FFFFFF"/>
            <w:tcMar>
              <w:top w:w="110" w:type="dxa"/>
              <w:bottom w:w="110" w:type="dxa"/>
              <w:left w:w="150" w:type="dxa"/>
              <w:right w:w="150" w:type="dxa"/>
            </w:tcMar>
          </w:tcPr>
          <w:p>
            <w:r>
              <w:t>Read-only access; AI endpoints emit proposals, never automated system writes or policy blocks.</w:t>
            </w:r>
          </w:p>
        </w:tc>
        <w:tc>
          <w:tcPr>
            <w:tcW w:type="dxa" w:w="4252"/>
            <w:shd w:val="clear" w:color="auto" w:fill="FFFFFF"/>
            <w:tcMar>
              <w:top w:w="110" w:type="dxa"/>
              <w:bottom w:w="110" w:type="dxa"/>
              <w:left w:w="150" w:type="dxa"/>
              <w:right w:w="150" w:type="dxa"/>
            </w:tcMar>
          </w:tcPr>
          <w:p>
            <w:r>
              <w:t>The AI CANNOT alter security scores, lock accounts, modify firewall rules, or communicate with external regulators. It drafts advice for named human experts to accept or reject.</w:t>
            </w:r>
          </w:p>
        </w:tc>
      </w:tr>
      <w:tr>
        <w:tc>
          <w:tcPr>
            <w:tcW w:type="dxa" w:w="1814"/>
            <w:shd w:val="clear" w:color="auto" w:fill="F9FAFB"/>
            <w:tcMar>
              <w:top w:w="110" w:type="dxa"/>
              <w:bottom w:w="110" w:type="dxa"/>
              <w:left w:w="150" w:type="dxa"/>
              <w:right w:w="150" w:type="dxa"/>
            </w:tcMar>
          </w:tcPr>
          <w:p>
            <w:r>
              <w:rPr>
                <w:b/>
                <w:color w:val="0A275C"/>
              </w:rPr>
              <w:t>2. 100% Grounding &amp; Zero Hallucination</w:t>
            </w:r>
          </w:p>
        </w:tc>
        <w:tc>
          <w:tcPr>
            <w:tcW w:type="dxa" w:w="3288"/>
            <w:shd w:val="clear" w:color="auto" w:fill="F9FAFB"/>
            <w:tcMar>
              <w:top w:w="110" w:type="dxa"/>
              <w:bottom w:w="110" w:type="dxa"/>
              <w:left w:w="150" w:type="dxa"/>
              <w:right w:w="150" w:type="dxa"/>
            </w:tcMar>
          </w:tcPr>
          <w:p>
            <w:r>
              <w:t>Every figure and finding generated in a narrative must match warehouse database records or it is discarded.</w:t>
            </w:r>
          </w:p>
        </w:tc>
        <w:tc>
          <w:tcPr>
            <w:tcW w:type="dxa" w:w="4252"/>
            <w:shd w:val="clear" w:color="auto" w:fill="F9FAFB"/>
            <w:tcMar>
              <w:top w:w="110" w:type="dxa"/>
              <w:bottom w:w="110" w:type="dxa"/>
              <w:left w:w="150" w:type="dxa"/>
              <w:right w:w="150" w:type="dxa"/>
            </w:tcMar>
          </w:tcPr>
          <w:p>
            <w:r>
              <w:t>The AI CANNOT invent numbers or make up fake security incidents. If an AI report mentions '14 SQL injections in Home Affairs', that number is verified against the database before display.</w:t>
            </w:r>
          </w:p>
        </w:tc>
      </w:tr>
      <w:tr>
        <w:tc>
          <w:tcPr>
            <w:tcW w:type="dxa" w:w="1814"/>
            <w:shd w:val="clear" w:color="auto" w:fill="FFFFFF"/>
            <w:tcMar>
              <w:top w:w="110" w:type="dxa"/>
              <w:bottom w:w="110" w:type="dxa"/>
              <w:left w:w="150" w:type="dxa"/>
              <w:right w:w="150" w:type="dxa"/>
            </w:tcMar>
          </w:tcPr>
          <w:p>
            <w:r>
              <w:rPr>
                <w:b/>
                <w:color w:val="0A275C"/>
              </w:rPr>
              <w:t>3. High-Availability Deterministic Fallback</w:t>
            </w:r>
          </w:p>
        </w:tc>
        <w:tc>
          <w:tcPr>
            <w:tcW w:type="dxa" w:w="3288"/>
            <w:shd w:val="clear" w:color="auto" w:fill="FFFFFF"/>
            <w:tcMar>
              <w:top w:w="110" w:type="dxa"/>
              <w:bottom w:w="110" w:type="dxa"/>
              <w:left w:w="150" w:type="dxa"/>
              <w:right w:w="150" w:type="dxa"/>
            </w:tcMar>
          </w:tcPr>
          <w:p>
            <w:r>
              <w:t>Failover to pre-built, verified algorithmic templates if the AI model is offline or unreachable.</w:t>
            </w:r>
          </w:p>
        </w:tc>
        <w:tc>
          <w:tcPr>
            <w:tcW w:type="dxa" w:w="4252"/>
            <w:shd w:val="clear" w:color="auto" w:fill="FFFFFF"/>
            <w:tcMar>
              <w:top w:w="110" w:type="dxa"/>
              <w:bottom w:w="110" w:type="dxa"/>
              <w:left w:w="150" w:type="dxa"/>
              <w:right w:w="150" w:type="dxa"/>
            </w:tcMar>
          </w:tcPr>
          <w:p>
            <w:r>
              <w:t>Platform operations NEVER stop if the AI engine is down. The dashboard seamlessly switches to verified static templates, ensuring 100% operational uptime for government users.</w:t>
            </w:r>
          </w:p>
        </w:tc>
      </w:tr>
      <w:tr>
        <w:tc>
          <w:tcPr>
            <w:tcW w:type="dxa" w:w="1814"/>
            <w:shd w:val="clear" w:color="auto" w:fill="F9FAFB"/>
            <w:tcMar>
              <w:top w:w="110" w:type="dxa"/>
              <w:bottom w:w="110" w:type="dxa"/>
              <w:left w:w="150" w:type="dxa"/>
              <w:right w:w="150" w:type="dxa"/>
            </w:tcMar>
          </w:tcPr>
          <w:p>
            <w:r>
              <w:rPr>
                <w:b/>
                <w:color w:val="0A275C"/>
              </w:rPr>
              <w:t>4. Cryptographic Tenancy Isolation</w:t>
            </w:r>
          </w:p>
        </w:tc>
        <w:tc>
          <w:tcPr>
            <w:tcW w:type="dxa" w:w="3288"/>
            <w:shd w:val="clear" w:color="auto" w:fill="F9FAFB"/>
            <w:tcMar>
              <w:top w:w="110" w:type="dxa"/>
              <w:bottom w:w="110" w:type="dxa"/>
              <w:left w:w="150" w:type="dxa"/>
              <w:right w:w="150" w:type="dxa"/>
            </w:tcMar>
          </w:tcPr>
          <w:p>
            <w:r>
              <w:t>Role-Based Access Control (RBAC) and tenancy filters applied before the AI prompt is constructed.</w:t>
            </w:r>
          </w:p>
        </w:tc>
        <w:tc>
          <w:tcPr>
            <w:tcW w:type="dxa" w:w="4252"/>
            <w:shd w:val="clear" w:color="auto" w:fill="F9FAFB"/>
            <w:tcMar>
              <w:top w:w="110" w:type="dxa"/>
              <w:bottom w:w="110" w:type="dxa"/>
              <w:left w:w="150" w:type="dxa"/>
              <w:right w:w="150" w:type="dxa"/>
            </w:tcMar>
          </w:tcPr>
          <w:p>
            <w:r>
              <w:t>Department data is strictly segregated. An official in the Department of Health will NEVER see or have their AI query informed by data from the National Treasury or Defense.</w:t>
            </w:r>
          </w:p>
        </w:tc>
      </w:tr>
    </w:tbl>
    <w:p>
      <w:pPr>
        <w:spacing w:after="240"/>
      </w:pPr>
    </w:p>
    <w:p>
      <w:pPr>
        <w:spacing w:before="400" w:after="160"/>
        <w:pBdr>
          <w:bottom w:val="single" w:sz="12" w:space="4" w:color="0A275C"/>
        </w:pBdr>
      </w:pPr>
      <w:r>
        <w:rPr>
          <w:b/>
          <w:color w:val="0A275C"/>
          <w:sz w:val="32"/>
        </w:rPr>
        <w:t>2. Requirements Traceability: How AIMI Answers SITA's Formal AI Mandate</w:t>
      </w:r>
    </w:p>
    <w:p>
      <w:pPr>
        <w:spacing w:after="100" w:line="276" w:lineRule="auto"/>
      </w:pPr>
      <w:r>
        <w:rPr>
          <w:color w:val="1F2937"/>
          <w:sz w:val="19"/>
        </w:rPr>
        <w:t>SITA's AI initiative was formally scoped across two governing specifications: the High-Level AI Requirements (Document D0: Outcomes 1 through 7, AI-01 to AI-28) and the AI Technical Integration Requirements (Document AIR-R1: Capabilities R1 through R5). Below is the comprehensive mapping showing how AIMI fulfills every requirement in plain business language.</w:t>
      </w:r>
    </w:p>
    <w:tbl>
      <w:tblPr>
        <w:tblW w:type="auto" w:w="0"/>
        <w:jc w:val="center"/>
        <w:tblLook w:firstColumn="1" w:firstRow="1" w:lastColumn="0" w:lastRow="0" w:noHBand="0" w:noVBand="1" w:val="04A0"/>
      </w:tblPr>
      <w:tblGrid>
        <w:gridCol w:w="2436"/>
        <w:gridCol w:w="2436"/>
        <w:gridCol w:w="2436"/>
        <w:gridCol w:w="2436"/>
      </w:tblGrid>
      <w:tr>
        <w:tc>
          <w:tcPr>
            <w:tcW w:type="dxa" w:w="1417"/>
            <w:shd w:val="clear" w:color="auto" w:fill="0A275C"/>
            <w:tcMar>
              <w:top w:w="160" w:type="dxa"/>
              <w:bottom w:w="160" w:type="dxa"/>
              <w:left w:w="160" w:type="dxa"/>
              <w:right w:w="160" w:type="dxa"/>
            </w:tcMar>
          </w:tcPr>
          <w:p>
            <w:pPr>
              <w:jc w:val="left"/>
            </w:pPr>
            <w:r>
              <w:rPr>
                <w:b/>
                <w:color w:val="FFFFFF"/>
                <w:sz w:val="18"/>
              </w:rPr>
              <w:t>Requirement</w:t>
            </w:r>
          </w:p>
        </w:tc>
        <w:tc>
          <w:tcPr>
            <w:tcW w:type="dxa" w:w="2381"/>
            <w:shd w:val="clear" w:color="auto" w:fill="0A275C"/>
            <w:tcMar>
              <w:top w:w="160" w:type="dxa"/>
              <w:bottom w:w="160" w:type="dxa"/>
              <w:left w:w="160" w:type="dxa"/>
              <w:right w:w="160" w:type="dxa"/>
            </w:tcMar>
          </w:tcPr>
          <w:p>
            <w:pPr>
              <w:jc w:val="left"/>
            </w:pPr>
            <w:r>
              <w:rPr>
                <w:b/>
                <w:color w:val="FFFFFF"/>
                <w:sz w:val="18"/>
              </w:rPr>
              <w:t>Formal Mandate</w:t>
            </w:r>
          </w:p>
        </w:tc>
        <w:tc>
          <w:tcPr>
            <w:tcW w:type="dxa" w:w="2721"/>
            <w:shd w:val="clear" w:color="auto" w:fill="0A275C"/>
            <w:tcMar>
              <w:top w:w="160" w:type="dxa"/>
              <w:bottom w:w="160" w:type="dxa"/>
              <w:left w:w="160" w:type="dxa"/>
              <w:right w:w="160" w:type="dxa"/>
            </w:tcMar>
          </w:tcPr>
          <w:p>
            <w:pPr>
              <w:jc w:val="left"/>
            </w:pPr>
            <w:r>
              <w:rPr>
                <w:b/>
                <w:color w:val="FFFFFF"/>
                <w:sz w:val="18"/>
              </w:rPr>
              <w:t>Why Traditional Code Fails</w:t>
            </w:r>
          </w:p>
        </w:tc>
        <w:tc>
          <w:tcPr>
            <w:tcW w:type="dxa" w:w="2835"/>
            <w:shd w:val="clear" w:color="auto" w:fill="0A275C"/>
            <w:tcMar>
              <w:top w:w="160" w:type="dxa"/>
              <w:bottom w:w="160" w:type="dxa"/>
              <w:left w:w="160" w:type="dxa"/>
              <w:right w:w="160" w:type="dxa"/>
            </w:tcMar>
          </w:tcPr>
          <w:p>
            <w:pPr>
              <w:jc w:val="left"/>
            </w:pPr>
            <w:r>
              <w:rPr>
                <w:b/>
                <w:color w:val="FFFFFF"/>
                <w:sz w:val="18"/>
              </w:rPr>
              <w:t>How AIMI Solves It on Dashboard</w:t>
            </w:r>
          </w:p>
        </w:tc>
      </w:tr>
      <w:tr>
        <w:tc>
          <w:tcPr>
            <w:tcW w:type="dxa" w:w="1417"/>
            <w:shd w:val="clear" w:color="auto" w:fill="FFFFFF"/>
            <w:tcMar>
              <w:top w:w="110" w:type="dxa"/>
              <w:bottom w:w="110" w:type="dxa"/>
              <w:left w:w="150" w:type="dxa"/>
              <w:right w:w="150" w:type="dxa"/>
            </w:tcMar>
          </w:tcPr>
          <w:p>
            <w:r>
              <w:rPr>
                <w:b/>
                <w:color w:val="0A275C"/>
              </w:rPr>
              <w:t>AI-01 to AI-05</w:t>
              <w:br/>
              <w:t>(Outcome 1)</w:t>
            </w:r>
          </w:p>
        </w:tc>
        <w:tc>
          <w:tcPr>
            <w:tcW w:type="dxa" w:w="2381"/>
            <w:shd w:val="clear" w:color="auto" w:fill="FFFFFF"/>
            <w:tcMar>
              <w:top w:w="110" w:type="dxa"/>
              <w:bottom w:w="110" w:type="dxa"/>
              <w:left w:w="150" w:type="dxa"/>
              <w:right w:w="150" w:type="dxa"/>
            </w:tcMar>
          </w:tcPr>
          <w:p>
            <w:r>
              <w:t>Plain-language security reports generated on demand for executives &amp; compliance officers.</w:t>
            </w:r>
          </w:p>
        </w:tc>
        <w:tc>
          <w:tcPr>
            <w:tcW w:type="dxa" w:w="2721"/>
            <w:shd w:val="clear" w:color="auto" w:fill="FFFFFF"/>
            <w:tcMar>
              <w:top w:w="110" w:type="dxa"/>
              <w:bottom w:w="110" w:type="dxa"/>
              <w:left w:w="150" w:type="dxa"/>
              <w:right w:w="150" w:type="dxa"/>
            </w:tcMar>
          </w:tcPr>
          <w:p>
            <w:r>
              <w:t>Code can only fill static placeholders, producing robotic, repetitive text that cannot synthesize complex multi-vendor narratives.</w:t>
            </w:r>
          </w:p>
        </w:tc>
        <w:tc>
          <w:tcPr>
            <w:tcW w:type="dxa" w:w="2835"/>
            <w:shd w:val="clear" w:color="auto" w:fill="FFFFFF"/>
            <w:tcMar>
              <w:top w:w="110" w:type="dxa"/>
              <w:bottom w:w="110" w:type="dxa"/>
              <w:left w:w="150" w:type="dxa"/>
              <w:right w:w="150" w:type="dxa"/>
            </w:tcMar>
          </w:tcPr>
          <w:p>
            <w:r>
              <w:t>AIMI reads live normalized database tables and authors coherent, contextual executive briefings in under 8 seconds inside the AI Report Studio.</w:t>
            </w:r>
          </w:p>
        </w:tc>
      </w:tr>
      <w:tr>
        <w:tc>
          <w:tcPr>
            <w:tcW w:type="dxa" w:w="1417"/>
            <w:shd w:val="clear" w:color="auto" w:fill="F9FAFB"/>
            <w:tcMar>
              <w:top w:w="110" w:type="dxa"/>
              <w:bottom w:w="110" w:type="dxa"/>
              <w:left w:w="150" w:type="dxa"/>
              <w:right w:w="150" w:type="dxa"/>
            </w:tcMar>
          </w:tcPr>
          <w:p>
            <w:r>
              <w:rPr>
                <w:b/>
                <w:color w:val="0A275C"/>
              </w:rPr>
              <w:t>AI-06 to AI-10</w:t>
              <w:br/>
              <w:t>(Outcome 2)</w:t>
            </w:r>
          </w:p>
        </w:tc>
        <w:tc>
          <w:tcPr>
            <w:tcW w:type="dxa" w:w="2381"/>
            <w:shd w:val="clear" w:color="auto" w:fill="F9FAFB"/>
            <w:tcMar>
              <w:top w:w="110" w:type="dxa"/>
              <w:bottom w:w="110" w:type="dxa"/>
              <w:left w:w="150" w:type="dxa"/>
              <w:right w:w="150" w:type="dxa"/>
            </w:tcMar>
          </w:tcPr>
          <w:p>
            <w:r>
              <w:t>Tenancy scoping &amp; zero cross-department data exposure across 14 platform roles.</w:t>
            </w:r>
          </w:p>
        </w:tc>
        <w:tc>
          <w:tcPr>
            <w:tcW w:type="dxa" w:w="2721"/>
            <w:shd w:val="clear" w:color="auto" w:fill="F9FAFB"/>
            <w:tcMar>
              <w:top w:w="110" w:type="dxa"/>
              <w:bottom w:w="110" w:type="dxa"/>
              <w:left w:w="150" w:type="dxa"/>
              <w:right w:w="150" w:type="dxa"/>
            </w:tcMar>
          </w:tcPr>
          <w:p>
            <w:r>
              <w:t>Standard LLMs mix context in prompt caches and cannot enforce strict multi-tier government authorization boundaries.</w:t>
            </w:r>
          </w:p>
        </w:tc>
        <w:tc>
          <w:tcPr>
            <w:tcW w:type="dxa" w:w="2835"/>
            <w:shd w:val="clear" w:color="auto" w:fill="F9FAFB"/>
            <w:tcMar>
              <w:top w:w="110" w:type="dxa"/>
              <w:bottom w:w="110" w:type="dxa"/>
              <w:left w:w="150" w:type="dxa"/>
              <w:right w:w="150" w:type="dxa"/>
            </w:tcMar>
          </w:tcPr>
          <w:p>
            <w:r>
              <w:t>The platform pre-filters data through the SITA Tenancy Tree before the AI sees it. If a user lacks clearance, the AI receives empty data and issues a secure notice.</w:t>
            </w:r>
          </w:p>
        </w:tc>
      </w:tr>
      <w:tr>
        <w:tc>
          <w:tcPr>
            <w:tcW w:type="dxa" w:w="1417"/>
            <w:shd w:val="clear" w:color="auto" w:fill="FFFFFF"/>
            <w:tcMar>
              <w:top w:w="110" w:type="dxa"/>
              <w:bottom w:w="110" w:type="dxa"/>
              <w:left w:w="150" w:type="dxa"/>
              <w:right w:w="150" w:type="dxa"/>
            </w:tcMar>
          </w:tcPr>
          <w:p>
            <w:r>
              <w:rPr>
                <w:b/>
                <w:color w:val="0A275C"/>
              </w:rPr>
              <w:t>AI-11 to AI-14</w:t>
              <w:br/>
              <w:t>(Outcome 3)</w:t>
            </w:r>
          </w:p>
        </w:tc>
        <w:tc>
          <w:tcPr>
            <w:tcW w:type="dxa" w:w="2381"/>
            <w:shd w:val="clear" w:color="auto" w:fill="FFFFFF"/>
            <w:tcMar>
              <w:top w:w="110" w:type="dxa"/>
              <w:bottom w:w="110" w:type="dxa"/>
              <w:left w:w="150" w:type="dxa"/>
              <w:right w:w="150" w:type="dxa"/>
            </w:tcMar>
          </w:tcPr>
          <w:p>
            <w:r>
              <w:t>100% data verifiability; zero hallucinations; citation linking to source data records.</w:t>
            </w:r>
          </w:p>
        </w:tc>
        <w:tc>
          <w:tcPr>
            <w:tcW w:type="dxa" w:w="2721"/>
            <w:shd w:val="clear" w:color="auto" w:fill="FFFFFF"/>
            <w:tcMar>
              <w:top w:w="110" w:type="dxa"/>
              <w:bottom w:w="110" w:type="dxa"/>
              <w:left w:w="150" w:type="dxa"/>
              <w:right w:w="150" w:type="dxa"/>
            </w:tcMar>
          </w:tcPr>
          <w:p>
            <w:r>
              <w:t>Generic generative AI models hallucinate plausibly sounding statistics and dates when synthesizing large data bodies.</w:t>
            </w:r>
          </w:p>
        </w:tc>
        <w:tc>
          <w:tcPr>
            <w:tcW w:type="dxa" w:w="2835"/>
            <w:shd w:val="clear" w:color="auto" w:fill="FFFFFF"/>
            <w:tcMar>
              <w:top w:w="110" w:type="dxa"/>
              <w:bottom w:w="110" w:type="dxa"/>
              <w:left w:w="150" w:type="dxa"/>
              <w:right w:w="150" w:type="dxa"/>
            </w:tcMar>
          </w:tcPr>
          <w:p>
            <w:r>
              <w:t>The Grounding Engine compares every number in the AI narrative against the SQL warehouse. Citations link directly to raw CVEs, AppScan logs, and WAF hits.</w:t>
            </w:r>
          </w:p>
        </w:tc>
      </w:tr>
      <w:tr>
        <w:tc>
          <w:tcPr>
            <w:tcW w:type="dxa" w:w="1417"/>
            <w:shd w:val="clear" w:color="auto" w:fill="F9FAFB"/>
            <w:tcMar>
              <w:top w:w="110" w:type="dxa"/>
              <w:bottom w:w="110" w:type="dxa"/>
              <w:left w:w="150" w:type="dxa"/>
              <w:right w:w="150" w:type="dxa"/>
            </w:tcMar>
          </w:tcPr>
          <w:p>
            <w:r>
              <w:rPr>
                <w:b/>
                <w:color w:val="0A275C"/>
              </w:rPr>
              <w:t>AI-15 to AI-18</w:t>
              <w:br/>
              <w:t>(Outcome 4)</w:t>
            </w:r>
          </w:p>
        </w:tc>
        <w:tc>
          <w:tcPr>
            <w:tcW w:type="dxa" w:w="2381"/>
            <w:shd w:val="clear" w:color="auto" w:fill="F9FAFB"/>
            <w:tcMar>
              <w:top w:w="110" w:type="dxa"/>
              <w:bottom w:w="110" w:type="dxa"/>
              <w:left w:w="150" w:type="dxa"/>
              <w:right w:w="150" w:type="dxa"/>
            </w:tcMar>
          </w:tcPr>
          <w:p>
            <w:r>
              <w:t>Guaranteed availability during AI model outages via pre-built deterministic fallback.</w:t>
            </w:r>
          </w:p>
        </w:tc>
        <w:tc>
          <w:tcPr>
            <w:tcW w:type="dxa" w:w="2721"/>
            <w:shd w:val="clear" w:color="auto" w:fill="F9FAFB"/>
            <w:tcMar>
              <w:top w:w="110" w:type="dxa"/>
              <w:bottom w:w="110" w:type="dxa"/>
              <w:left w:w="150" w:type="dxa"/>
              <w:right w:w="150" w:type="dxa"/>
            </w:tcMar>
          </w:tcPr>
          <w:p>
            <w:r>
              <w:t>If cloud AI dependencies fail, standard AI applications throw connection errors or crash the UI.</w:t>
            </w:r>
          </w:p>
        </w:tc>
        <w:tc>
          <w:tcPr>
            <w:tcW w:type="dxa" w:w="2835"/>
            <w:shd w:val="clear" w:color="auto" w:fill="F9FAFB"/>
            <w:tcMar>
              <w:top w:w="110" w:type="dxa"/>
              <w:bottom w:w="110" w:type="dxa"/>
              <w:left w:w="150" w:type="dxa"/>
              <w:right w:w="150" w:type="dxa"/>
            </w:tcMar>
          </w:tcPr>
          <w:p>
            <w:r>
              <w:t>Dual-pipeline engine: if AIMI fails or exceeds latency thresholds, the platform instantly delivers a verified deterministic template report. Zero dashboard downtime.</w:t>
            </w:r>
          </w:p>
        </w:tc>
      </w:tr>
      <w:tr>
        <w:tc>
          <w:tcPr>
            <w:tcW w:type="dxa" w:w="1417"/>
            <w:shd w:val="clear" w:color="auto" w:fill="FFFFFF"/>
            <w:tcMar>
              <w:top w:w="110" w:type="dxa"/>
              <w:bottom w:w="110" w:type="dxa"/>
              <w:left w:w="150" w:type="dxa"/>
              <w:right w:w="150" w:type="dxa"/>
            </w:tcMar>
          </w:tcPr>
          <w:p>
            <w:r>
              <w:rPr>
                <w:b/>
                <w:color w:val="0A275C"/>
              </w:rPr>
              <w:t>AI-19 to AI-22</w:t>
              <w:br/>
              <w:t>(Outcome 5)</w:t>
            </w:r>
          </w:p>
        </w:tc>
        <w:tc>
          <w:tcPr>
            <w:tcW w:type="dxa" w:w="2381"/>
            <w:shd w:val="clear" w:color="auto" w:fill="FFFFFF"/>
            <w:tcMar>
              <w:top w:w="110" w:type="dxa"/>
              <w:bottom w:w="110" w:type="dxa"/>
              <w:left w:w="150" w:type="dxa"/>
              <w:right w:w="150" w:type="dxa"/>
            </w:tcMar>
          </w:tcPr>
          <w:p>
            <w:r>
              <w:t>Full auditability, model version logging, and human sign-off accountability.</w:t>
            </w:r>
          </w:p>
        </w:tc>
        <w:tc>
          <w:tcPr>
            <w:tcW w:type="dxa" w:w="2721"/>
            <w:shd w:val="clear" w:color="auto" w:fill="FFFFFF"/>
            <w:tcMar>
              <w:top w:w="110" w:type="dxa"/>
              <w:bottom w:w="110" w:type="dxa"/>
              <w:left w:w="150" w:type="dxa"/>
              <w:right w:w="150" w:type="dxa"/>
            </w:tcMar>
          </w:tcPr>
          <w:p>
            <w:r>
              <w:t>Ad-hoc AI interactions lack reproducible audit trails required by the Auditor-General and ISO 27001.</w:t>
            </w:r>
          </w:p>
        </w:tc>
        <w:tc>
          <w:tcPr>
            <w:tcW w:type="dxa" w:w="2835"/>
            <w:shd w:val="clear" w:color="auto" w:fill="FFFFFF"/>
            <w:tcMar>
              <w:top w:w="110" w:type="dxa"/>
              <w:bottom w:w="110" w:type="dxa"/>
              <w:left w:w="150" w:type="dxa"/>
              <w:right w:w="150" w:type="dxa"/>
            </w:tcMar>
          </w:tcPr>
          <w:p>
            <w:r>
              <w:t>Every AI generation is immutably logged with its model hash, temperature, prompt version, input dataset, and the specific officer who approved the finding.</w:t>
            </w:r>
          </w:p>
        </w:tc>
      </w:tr>
      <w:tr>
        <w:tc>
          <w:tcPr>
            <w:tcW w:type="dxa" w:w="1417"/>
            <w:shd w:val="clear" w:color="auto" w:fill="F9FAFB"/>
            <w:tcMar>
              <w:top w:w="110" w:type="dxa"/>
              <w:bottom w:w="110" w:type="dxa"/>
              <w:left w:w="150" w:type="dxa"/>
              <w:right w:w="150" w:type="dxa"/>
            </w:tcMar>
          </w:tcPr>
          <w:p>
            <w:r>
              <w:rPr>
                <w:b/>
                <w:color w:val="0A275C"/>
              </w:rPr>
              <w:t>AI-23 to AI-26</w:t>
              <w:br/>
              <w:t>(Outcome 6)</w:t>
            </w:r>
          </w:p>
        </w:tc>
        <w:tc>
          <w:tcPr>
            <w:tcW w:type="dxa" w:w="2381"/>
            <w:shd w:val="clear" w:color="auto" w:fill="F9FAFB"/>
            <w:tcMar>
              <w:top w:w="110" w:type="dxa"/>
              <w:bottom w:w="110" w:type="dxa"/>
              <w:left w:w="150" w:type="dxa"/>
              <w:right w:w="150" w:type="dxa"/>
            </w:tcMar>
          </w:tcPr>
          <w:p>
            <w:r>
              <w:t>Custom user-steered narratives without privilege escalation.</w:t>
            </w:r>
          </w:p>
        </w:tc>
        <w:tc>
          <w:tcPr>
            <w:tcW w:type="dxa" w:w="2721"/>
            <w:shd w:val="clear" w:color="auto" w:fill="F9FAFB"/>
            <w:tcMar>
              <w:top w:w="110" w:type="dxa"/>
              <w:bottom w:w="110" w:type="dxa"/>
              <w:left w:w="150" w:type="dxa"/>
              <w:right w:w="150" w:type="dxa"/>
            </w:tcMar>
          </w:tcPr>
          <w:p>
            <w:r>
              <w:t>Allowing freeform prompts usually risks prompt-injection or unauthorized database querying.</w:t>
            </w:r>
          </w:p>
        </w:tc>
        <w:tc>
          <w:tcPr>
            <w:tcW w:type="dxa" w:w="2835"/>
            <w:shd w:val="clear" w:color="auto" w:fill="F9FAFB"/>
            <w:tcMar>
              <w:top w:w="110" w:type="dxa"/>
              <w:bottom w:w="110" w:type="dxa"/>
              <w:left w:w="150" w:type="dxa"/>
              <w:right w:w="150" w:type="dxa"/>
            </w:tcMar>
          </w:tcPr>
          <w:p>
            <w:r>
              <w:t>User prompt focus (e.g. 'focus on payroll servers') is applied as a semantic lens over strictly pre-authorized rows, preventing prompt jailbreaks.</w:t>
            </w:r>
          </w:p>
        </w:tc>
      </w:tr>
      <w:tr>
        <w:tc>
          <w:tcPr>
            <w:tcW w:type="dxa" w:w="1417"/>
            <w:shd w:val="clear" w:color="auto" w:fill="FFFFFF"/>
            <w:tcMar>
              <w:top w:w="110" w:type="dxa"/>
              <w:bottom w:w="110" w:type="dxa"/>
              <w:left w:w="150" w:type="dxa"/>
              <w:right w:w="150" w:type="dxa"/>
            </w:tcMar>
          </w:tcPr>
          <w:p>
            <w:r>
              <w:rPr>
                <w:b/>
                <w:color w:val="0A275C"/>
              </w:rPr>
              <w:t>AI-27 to AI-28</w:t>
              <w:br/>
              <w:t>(Outcome 7)</w:t>
            </w:r>
          </w:p>
        </w:tc>
        <w:tc>
          <w:tcPr>
            <w:tcW w:type="dxa" w:w="2381"/>
            <w:shd w:val="clear" w:color="auto" w:fill="FFFFFF"/>
            <w:tcMar>
              <w:top w:w="110" w:type="dxa"/>
              <w:bottom w:w="110" w:type="dxa"/>
              <w:left w:w="150" w:type="dxa"/>
              <w:right w:w="150" w:type="dxa"/>
            </w:tcMar>
          </w:tcPr>
          <w:p>
            <w:r>
              <w:t>Instant exportability of all generated narratives to DOCX, PDF, and CSV formats.</w:t>
            </w:r>
          </w:p>
        </w:tc>
        <w:tc>
          <w:tcPr>
            <w:tcW w:type="dxa" w:w="2721"/>
            <w:shd w:val="clear" w:color="auto" w:fill="FFFFFF"/>
            <w:tcMar>
              <w:top w:w="110" w:type="dxa"/>
              <w:bottom w:w="110" w:type="dxa"/>
              <w:left w:w="150" w:type="dxa"/>
              <w:right w:w="150" w:type="dxa"/>
            </w:tcMar>
          </w:tcPr>
          <w:p>
            <w:r>
              <w:t>Manual report compilation takes days of copy-pasting charts and formatting tables into office documents.</w:t>
            </w:r>
          </w:p>
        </w:tc>
        <w:tc>
          <w:tcPr>
            <w:tcW w:type="dxa" w:w="2835"/>
            <w:shd w:val="clear" w:color="auto" w:fill="FFFFFF"/>
            <w:tcMar>
              <w:top w:w="110" w:type="dxa"/>
              <w:bottom w:w="110" w:type="dxa"/>
              <w:left w:w="150" w:type="dxa"/>
              <w:right w:w="150" w:type="dxa"/>
            </w:tcMar>
          </w:tcPr>
          <w:p>
            <w:r>
              <w:t>One-click export directly from the dashboard (/national/ai and /dept/ai) into formal Word and PDF documents ready for Director-General signature.</w:t>
            </w:r>
          </w:p>
        </w:tc>
      </w:tr>
    </w:tbl>
    <w:p>
      <w:pPr>
        <w:spacing w:after="280"/>
      </w:pPr>
    </w:p>
    <w:p>
      <w:pPr>
        <w:spacing w:before="400" w:after="160"/>
        <w:pBdr>
          <w:bottom w:val="single" w:sz="12" w:space="4" w:color="0A275C"/>
        </w:pBdr>
      </w:pPr>
      <w:r>
        <w:rPr>
          <w:b/>
          <w:color w:val="0A275C"/>
          <w:sz w:val="32"/>
        </w:rPr>
        <w:t>3. RBAC Persona Deep Dive: The AIMI Value Add for Each Platform Role</w:t>
      </w:r>
    </w:p>
    <w:p>
      <w:pPr>
        <w:spacing w:after="100" w:line="276" w:lineRule="auto"/>
      </w:pPr>
      <w:r>
        <w:rPr>
          <w:color w:val="1F2937"/>
          <w:sz w:val="19"/>
        </w:rPr>
        <w:t>The SITA platform enforces a granular Role-Based Access Control (RBAC) model spanning National, Provincial, and Departmental tiers. The table below illustrates the real-world business transformation that AIMI introduces for each persona, detailing the specific dashboard screen, the underlying AI capability, and why standard code is completely incapable of delivering the outcome.</w:t>
      </w:r>
    </w:p>
    <w:p>
      <w:pPr>
        <w:spacing w:before="280" w:after="80"/>
      </w:pPr>
      <w:r>
        <w:rPr>
          <w:b/>
          <w:color w:val="1E3A8A"/>
          <w:sz w:val="25"/>
        </w:rPr>
        <w:t>3.1 Persona 1: Executive Leadership &amp; Director-Generals (Role: 'exec')</w:t>
      </w:r>
    </w:p>
    <w:tbl>
      <w:tblPr>
        <w:tblW w:type="auto" w:w="0"/>
        <w:jc w:val="center"/>
        <w:tblLook w:firstColumn="1" w:firstRow="1" w:lastColumn="0" w:lastRow="0" w:noHBand="0" w:noVBand="1" w:val="04A0"/>
      </w:tblPr>
      <w:tblGrid>
        <w:gridCol w:w="9746"/>
      </w:tblGrid>
      <w:tr>
        <w:tc>
          <w:tcPr>
            <w:tcW w:type="dxa" w:w="9354"/>
            <w:shd w:val="clear" w:color="auto" w:fill="EEF5FC"/>
            <w:tcMar>
              <w:top w:w="160" w:type="dxa"/>
              <w:bottom w:w="160" w:type="dxa"/>
              <w:left w:w="240" w:type="dxa"/>
              <w:right w:w="200" w:type="dxa"/>
            </w:tcMar>
            <w:tcBorders>
              <w:left w:val="single" w:sz="24" w:color="0A275C"/>
              <w:top w:val="none"/>
              <w:bottom w:val="none"/>
              <w:right w:val="none"/>
            </w:tcBorders>
          </w:tcPr>
          <w:p>
            <w:pPr>
              <w:spacing w:before="80" w:after="80" w:line="276" w:lineRule="auto"/>
            </w:pPr>
            <w:r>
              <w:rPr>
                <w:b/>
                <w:color w:val="0A275C"/>
                <w:sz w:val="20"/>
              </w:rPr>
              <w:t>★ The Layman's Analogy</w:t>
              <w:br/>
            </w:r>
            <w:r>
              <w:rPr>
                <w:color w:val="1F2937"/>
                <w:sz w:val="19"/>
              </w:rPr>
              <w:t>Like a Minister having a veteran Chief of Staff who reviews 500 pages of technical intelligence every morning and delivers a 1-page briefing explaining: 'Our risk rose by 14% this week because a global extortion group is actively targeting state healthcare systems, and our Western Cape hospital servers have an unpatched vulnerability that matches their exact playbook.'</w:t>
            </w:r>
          </w:p>
        </w:tc>
      </w:tr>
    </w:tbl>
    <w:p>
      <w:pPr>
        <w:spacing w:after="80"/>
      </w:pPr>
    </w:p>
    <w:p>
      <w:pPr>
        <w:spacing w:after="100" w:line="276" w:lineRule="auto"/>
      </w:pPr>
      <w:r>
        <w:rPr>
          <w:b/>
          <w:color w:val="0A275C"/>
          <w:sz w:val="19"/>
        </w:rPr>
        <w:t xml:space="preserve">Operational Context: </w:t>
      </w:r>
      <w:r>
        <w:rPr>
          <w:color w:val="1F2937"/>
          <w:sz w:val="19"/>
        </w:rPr>
        <w:t>Responsibilities: Oversees government-wide security posture, authorizes budgets, reports to Parliamentary Portfolio Committees, and signs annual compliance attestations.</w:t>
      </w:r>
    </w:p>
    <w:p>
      <w:pPr>
        <w:pStyle w:val="ListBullet"/>
        <w:spacing w:after="60" w:line="276" w:lineRule="auto"/>
        <w:ind w:left="397"/>
      </w:pPr>
      <w:r>
        <w:rPr>
          <w:b/>
          <w:color w:val="0A275C"/>
          <w:sz w:val="19"/>
        </w:rPr>
        <w:t xml:space="preserve">The Daily Frustration: </w:t>
      </w:r>
      <w:r>
        <w:rPr>
          <w:color w:val="1F2937"/>
          <w:sz w:val="19"/>
        </w:rPr>
        <w:t>Without AI, the executive sees a line chart showing that risk jumped from 42 to 58. The chart cannot explain 'Why?'. To find out, the executive must summon 4 technical leads from different departments who take 3 days to correlate logs manually.</w:t>
      </w:r>
    </w:p>
    <w:p>
      <w:pPr>
        <w:pStyle w:val="ListBullet"/>
        <w:spacing w:after="60" w:line="276" w:lineRule="auto"/>
        <w:ind w:left="397"/>
      </w:pPr>
      <w:r>
        <w:rPr>
          <w:b/>
          <w:color w:val="0A275C"/>
          <w:sz w:val="19"/>
        </w:rPr>
        <w:t xml:space="preserve">The AIMI Solution: </w:t>
      </w:r>
      <w:r>
        <w:rPr>
          <w:color w:val="1F2937"/>
          <w:sz w:val="19"/>
        </w:rPr>
        <w:t>AVP-8 (Risk-Delta Causal Attribution) and AI Executive Report Studio.</w:t>
      </w:r>
    </w:p>
    <w:p>
      <w:pPr>
        <w:pStyle w:val="ListBullet"/>
        <w:spacing w:after="60" w:line="276" w:lineRule="auto"/>
        <w:ind w:left="397"/>
      </w:pPr>
      <w:r>
        <w:rPr>
          <w:b/>
          <w:color w:val="0A275C"/>
          <w:sz w:val="19"/>
        </w:rPr>
        <w:t xml:space="preserve">Why Code Alone Cannot Do This: </w:t>
      </w:r>
      <w:r>
        <w:rPr>
          <w:color w:val="1F2937"/>
          <w:sz w:val="19"/>
        </w:rPr>
        <w:t>Standard code can calculate the mathematical difference (58 - 42 = +16). But code CANNOT understand that an external threat report published 12 hours ago by CISA correlates with an unpatched Apache vulnerability detected by AppScan on a specific DHA server.</w:t>
      </w:r>
    </w:p>
    <w:p>
      <w:pPr>
        <w:pStyle w:val="ListBullet"/>
        <w:spacing w:after="60" w:line="276" w:lineRule="auto"/>
        <w:ind w:left="397"/>
      </w:pPr>
      <w:r>
        <w:rPr>
          <w:b/>
          <w:color w:val="0A275C"/>
          <w:sz w:val="19"/>
        </w:rPr>
        <w:t xml:space="preserve">Actual Value Add on the Dashboard: </w:t>
      </w:r>
      <w:r>
        <w:rPr>
          <w:color w:val="1F2937"/>
          <w:sz w:val="19"/>
        </w:rPr>
        <w:t>Located at /national/ai (View: avp-8) and ExecDashboard.tsx. Displays the 'Explain Risk Shift' button. In 3 seconds, it generates a plain-language briefing: 'Risk increased by 16 points due to external campaign RansomHub exploiting CVE-2026-3841 on DHA Passport Gateway'. Includes an executive export button for cabinet presentations.</w:t>
      </w:r>
    </w:p>
    <w:p>
      <w:pPr>
        <w:pStyle w:val="ListBullet"/>
        <w:spacing w:after="60" w:line="276" w:lineRule="auto"/>
        <w:ind w:left="397"/>
      </w:pPr>
      <w:r>
        <w:rPr>
          <w:b/>
          <w:color w:val="0A275C"/>
          <w:sz w:val="19"/>
        </w:rPr>
        <w:t xml:space="preserve">Measurable Business ROI: </w:t>
      </w:r>
      <w:r>
        <w:rPr>
          <w:color w:val="1F2937"/>
          <w:sz w:val="19"/>
        </w:rPr>
        <w:t>Eliminates 3 days of manual executive briefing preparation; provides real-time defensibility in parliamentary inquiries; stops panic by isolating real threats from background noise.</w:t>
      </w:r>
    </w:p>
    <w:p>
      <w:pPr>
        <w:spacing w:before="280" w:after="80"/>
      </w:pPr>
      <w:r>
        <w:rPr>
          <w:b/>
          <w:color w:val="1E3A8A"/>
          <w:sz w:val="25"/>
        </w:rPr>
        <w:t>3.2 Persona 2: Security Operations Centre (Roles: 'soc', 'province-soc-lead')</w:t>
      </w:r>
    </w:p>
    <w:tbl>
      <w:tblPr>
        <w:tblW w:type="auto" w:w="0"/>
        <w:jc w:val="center"/>
        <w:tblLook w:firstColumn="1" w:firstRow="1" w:lastColumn="0" w:lastRow="0" w:noHBand="0" w:noVBand="1" w:val="04A0"/>
      </w:tblPr>
      <w:tblGrid>
        <w:gridCol w:w="9746"/>
      </w:tblGrid>
      <w:tr>
        <w:tc>
          <w:tcPr>
            <w:tcW w:type="dxa" w:w="9354"/>
            <w:shd w:val="clear" w:color="auto" w:fill="EEF5FC"/>
            <w:tcMar>
              <w:top w:w="160" w:type="dxa"/>
              <w:bottom w:w="160" w:type="dxa"/>
              <w:left w:w="240" w:type="dxa"/>
              <w:right w:w="200" w:type="dxa"/>
            </w:tcMar>
            <w:tcBorders>
              <w:left w:val="single" w:sz="24" w:color="0A275C"/>
              <w:top w:val="none"/>
              <w:bottom w:val="none"/>
              <w:right w:val="none"/>
            </w:tcBorders>
          </w:tcPr>
          <w:p>
            <w:pPr>
              <w:spacing w:before="80" w:after="80" w:line="276" w:lineRule="auto"/>
            </w:pPr>
            <w:r>
              <w:rPr>
                <w:b/>
                <w:color w:val="0A275C"/>
                <w:sz w:val="20"/>
              </w:rPr>
              <w:t>★ The Layman's Analogy</w:t>
              <w:br/>
            </w:r>
            <w:r>
              <w:rPr>
                <w:color w:val="1F2937"/>
                <w:sz w:val="19"/>
              </w:rPr>
              <w:t>Like an air traffic controller equipped with radar that not only detects an unidentified aircraft, but instantly recognizes the flight formation, identifies the hostile squadron, and predicts which airfield they are attempting to bomb.</w:t>
            </w:r>
          </w:p>
        </w:tc>
      </w:tr>
    </w:tbl>
    <w:p>
      <w:pPr>
        <w:spacing w:after="80"/>
      </w:pPr>
    </w:p>
    <w:p>
      <w:pPr>
        <w:spacing w:after="100" w:line="276" w:lineRule="auto"/>
      </w:pPr>
      <w:r>
        <w:rPr>
          <w:b/>
          <w:color w:val="0A275C"/>
          <w:sz w:val="19"/>
        </w:rPr>
        <w:t xml:space="preserve">Operational Context: </w:t>
      </w:r>
      <w:r>
        <w:rPr>
          <w:color w:val="1F2937"/>
          <w:sz w:val="19"/>
        </w:rPr>
        <w:t>Responsibilities: 24/7/365 active monitoring, incident triage, threat hunting, and emergency defense containment across national and provincial departments.</w:t>
      </w:r>
    </w:p>
    <w:p>
      <w:pPr>
        <w:pStyle w:val="ListBullet"/>
        <w:spacing w:after="60" w:line="276" w:lineRule="auto"/>
        <w:ind w:left="397"/>
      </w:pPr>
      <w:r>
        <w:rPr>
          <w:b/>
          <w:color w:val="0A275C"/>
          <w:sz w:val="19"/>
        </w:rPr>
        <w:t xml:space="preserve">The Daily Frustration: </w:t>
      </w:r>
      <w:r>
        <w:rPr>
          <w:color w:val="1F2937"/>
          <w:sz w:val="19"/>
        </w:rPr>
        <w:t>SOC analysts suffer from extreme 'alert fatigue'. They receive 15,000 WAF and scanner alerts daily. They have no way of knowing whether an attack on a DPSA web portal is a harmless script-kiddie scan or part of a targeted, state-sponsored espionage campaign.</w:t>
      </w:r>
    </w:p>
    <w:p>
      <w:pPr>
        <w:pStyle w:val="ListBullet"/>
        <w:spacing w:after="60" w:line="276" w:lineRule="auto"/>
        <w:ind w:left="397"/>
      </w:pPr>
      <w:r>
        <w:rPr>
          <w:b/>
          <w:color w:val="0A275C"/>
          <w:sz w:val="19"/>
        </w:rPr>
        <w:t xml:space="preserve">The AIMI Solution: </w:t>
      </w:r>
      <w:r>
        <w:rPr>
          <w:color w:val="1F2937"/>
          <w:sz w:val="19"/>
        </w:rPr>
        <w:t>AVP-3 (Campaign Attribution &amp; Threat Actor Profiling) and AVP-9 (Coverage-Driven Hunt Cards).</w:t>
      </w:r>
    </w:p>
    <w:p>
      <w:pPr>
        <w:pStyle w:val="ListBullet"/>
        <w:spacing w:after="60" w:line="276" w:lineRule="auto"/>
        <w:ind w:left="397"/>
      </w:pPr>
      <w:r>
        <w:rPr>
          <w:b/>
          <w:color w:val="0A275C"/>
          <w:sz w:val="19"/>
        </w:rPr>
        <w:t xml:space="preserve">Why Code Alone Cannot Do This: </w:t>
      </w:r>
      <w:r>
        <w:rPr>
          <w:color w:val="1F2937"/>
          <w:sz w:val="19"/>
        </w:rPr>
        <w:t>Attributing a campaign requires reading unstructured, natural-language threat advisories written by intelligence agencies (e.g., 'Threat Actor Storm-0501 targets municipal Active Directories using Kerberoasting') and semantically mapping those English sentences onto the exact CWE and telemetry fields in SITA's database.</w:t>
      </w:r>
    </w:p>
    <w:p>
      <w:pPr>
        <w:pStyle w:val="ListBullet"/>
        <w:spacing w:after="60" w:line="276" w:lineRule="auto"/>
        <w:ind w:left="397"/>
      </w:pPr>
      <w:r>
        <w:rPr>
          <w:b/>
          <w:color w:val="0A275C"/>
          <w:sz w:val="19"/>
        </w:rPr>
        <w:t xml:space="preserve">Actual Value Add on the Dashboard: </w:t>
      </w:r>
      <w:r>
        <w:rPr>
          <w:color w:val="1F2937"/>
          <w:sz w:val="19"/>
        </w:rPr>
        <w:t>Located at /national/ai (View: avp-3) and SocDashboard.tsx. Analysts paste or select threat reports; AIMI matches the attacker's tactics against live SITA findings in under 5 seconds. Displays the 'Matched TTPs' table, severity ratings, and one-click 'Generate Hunt Query' cards.</w:t>
      </w:r>
    </w:p>
    <w:p>
      <w:pPr>
        <w:pStyle w:val="ListBullet"/>
        <w:spacing w:after="60" w:line="276" w:lineRule="auto"/>
        <w:ind w:left="397"/>
      </w:pPr>
      <w:r>
        <w:rPr>
          <w:b/>
          <w:color w:val="0A275C"/>
          <w:sz w:val="19"/>
        </w:rPr>
        <w:t xml:space="preserve">Measurable Business ROI: </w:t>
      </w:r>
      <w:r>
        <w:rPr>
          <w:color w:val="1F2937"/>
          <w:sz w:val="19"/>
        </w:rPr>
        <w:t>Reduces threat investigation time from 6 hours to 45 seconds; prioritizes high-impact state threats over thousands of trivial alerts; prevents ransomware propagation across transversal government networks.</w:t>
      </w:r>
    </w:p>
    <w:p>
      <w:pPr>
        <w:spacing w:before="280" w:after="80"/>
      </w:pPr>
      <w:r>
        <w:rPr>
          <w:b/>
          <w:color w:val="1E3A8A"/>
          <w:sz w:val="25"/>
        </w:rPr>
        <w:t>3.3 Persona 3: Application Security Engineers (Roles: 'appsec', 'local-appsec')</w:t>
      </w:r>
    </w:p>
    <w:tbl>
      <w:tblPr>
        <w:tblW w:type="auto" w:w="0"/>
        <w:jc w:val="center"/>
        <w:tblLook w:firstColumn="1" w:firstRow="1" w:lastColumn="0" w:lastRow="0" w:noHBand="0" w:noVBand="1" w:val="04A0"/>
      </w:tblPr>
      <w:tblGrid>
        <w:gridCol w:w="9746"/>
      </w:tblGrid>
      <w:tr>
        <w:tc>
          <w:tcPr>
            <w:tcW w:type="dxa" w:w="9354"/>
            <w:shd w:val="clear" w:color="auto" w:fill="EEF5FC"/>
            <w:tcMar>
              <w:top w:w="160" w:type="dxa"/>
              <w:bottom w:w="160" w:type="dxa"/>
              <w:left w:w="240" w:type="dxa"/>
              <w:right w:w="200" w:type="dxa"/>
            </w:tcMar>
            <w:tcBorders>
              <w:left w:val="single" w:sz="24" w:color="0A275C"/>
              <w:top w:val="none"/>
              <w:bottom w:val="none"/>
              <w:right w:val="none"/>
            </w:tcBorders>
          </w:tcPr>
          <w:p>
            <w:pPr>
              <w:spacing w:before="80" w:after="80" w:line="276" w:lineRule="auto"/>
            </w:pPr>
            <w:r>
              <w:rPr>
                <w:b/>
                <w:color w:val="0A275C"/>
                <w:sz w:val="20"/>
              </w:rPr>
              <w:t>★ The Layman's Analogy</w:t>
              <w:br/>
            </w:r>
            <w:r>
              <w:rPr>
                <w:color w:val="1F2937"/>
                <w:sz w:val="19"/>
              </w:rPr>
              <w:t>Like an expert locksmith who, upon hearing that burglars have designed a new type of master key, instantly redesigns and fabricates custom deadbolts for every government building that fit the doors perfectly without jamming the locks.</w:t>
            </w:r>
          </w:p>
        </w:tc>
      </w:tr>
    </w:tbl>
    <w:p>
      <w:pPr>
        <w:spacing w:after="80"/>
      </w:pPr>
    </w:p>
    <w:p>
      <w:pPr>
        <w:spacing w:after="100" w:line="276" w:lineRule="auto"/>
      </w:pPr>
      <w:r>
        <w:rPr>
          <w:b/>
          <w:color w:val="0A275C"/>
          <w:sz w:val="19"/>
        </w:rPr>
        <w:t xml:space="preserve">Operational Context: </w:t>
      </w:r>
      <w:r>
        <w:rPr>
          <w:color w:val="1F2937"/>
          <w:sz w:val="19"/>
        </w:rPr>
        <w:t>Responsibilities: Secures custom-developed state applications, reviews static/dynamic scan reports (AppScan), remediates vulnerabilities, and writes WAF/SIEM alerting rules.</w:t>
      </w:r>
    </w:p>
    <w:p>
      <w:pPr>
        <w:pStyle w:val="ListBullet"/>
        <w:spacing w:after="60" w:line="276" w:lineRule="auto"/>
        <w:ind w:left="397"/>
      </w:pPr>
      <w:r>
        <w:rPr>
          <w:b/>
          <w:color w:val="0A275C"/>
          <w:sz w:val="19"/>
        </w:rPr>
        <w:t xml:space="preserve">The Daily Frustration: </w:t>
      </w:r>
      <w:r>
        <w:rPr>
          <w:color w:val="1F2937"/>
          <w:sz w:val="19"/>
        </w:rPr>
        <w:t>When a new vulnerability technique is published (e.g. MITRE ATT&amp;CK T1190 - Exploit Public-Facing Application), writing an alerting rule takes hours of manual schema lookups. A single typo in a YAML rule file can crash the detection engine or produce zero matches, leaving the agency completely unprotected.</w:t>
      </w:r>
    </w:p>
    <w:p>
      <w:pPr>
        <w:pStyle w:val="ListBullet"/>
        <w:spacing w:after="60" w:line="276" w:lineRule="auto"/>
        <w:ind w:left="397"/>
      </w:pPr>
      <w:r>
        <w:rPr>
          <w:b/>
          <w:color w:val="0A275C"/>
          <w:sz w:val="19"/>
        </w:rPr>
        <w:t xml:space="preserve">The AIMI Solution: </w:t>
      </w:r>
      <w:r>
        <w:rPr>
          <w:color w:val="1F2937"/>
          <w:sz w:val="19"/>
        </w:rPr>
        <w:t>AVP-2 (Automated Alert Rule Authoring &amp; Schema Synthesis).</w:t>
      </w:r>
    </w:p>
    <w:p>
      <w:pPr>
        <w:pStyle w:val="ListBullet"/>
        <w:spacing w:after="60" w:line="276" w:lineRule="auto"/>
        <w:ind w:left="397"/>
      </w:pPr>
      <w:r>
        <w:rPr>
          <w:b/>
          <w:color w:val="0A275C"/>
          <w:sz w:val="19"/>
        </w:rPr>
        <w:t xml:space="preserve">Why Code Alone Cannot Do This: </w:t>
      </w:r>
      <w:r>
        <w:rPr>
          <w:color w:val="1F2937"/>
          <w:sz w:val="19"/>
        </w:rPr>
        <w:t>External detection templates rely on field names from foreign tools. A rule written for Splunk or AWS cannot work in SITA's custom database schema. AIMI understands SITA's exact internal schema and syntactically translates the attack pattern into a verified, error-free alert_rules.yaml rule.</w:t>
      </w:r>
    </w:p>
    <w:p>
      <w:pPr>
        <w:pStyle w:val="ListBullet"/>
        <w:spacing w:after="60" w:line="276" w:lineRule="auto"/>
        <w:ind w:left="397"/>
      </w:pPr>
      <w:r>
        <w:rPr>
          <w:b/>
          <w:color w:val="0A275C"/>
          <w:sz w:val="19"/>
        </w:rPr>
        <w:t xml:space="preserve">Actual Value Add on the Dashboard: </w:t>
      </w:r>
      <w:r>
        <w:rPr>
          <w:color w:val="1F2937"/>
          <w:sz w:val="19"/>
        </w:rPr>
        <w:t>Located at /dept/ai (View: avp-2) and AppSecDashboard.tsx. The engineer selects a MITRE technique (e.g. T1190) and severity; AIMI authors the complete YAML rule, verifies all target columns exist, and presents a visual Side-by-Side Diff Viewer with a 1-click 'Copy Rule' or 'Commit to Staging' action.</w:t>
      </w:r>
    </w:p>
    <w:p>
      <w:pPr>
        <w:pStyle w:val="ListBullet"/>
        <w:spacing w:after="60" w:line="276" w:lineRule="auto"/>
        <w:ind w:left="397"/>
      </w:pPr>
      <w:r>
        <w:rPr>
          <w:b/>
          <w:color w:val="0A275C"/>
          <w:sz w:val="19"/>
        </w:rPr>
        <w:t xml:space="preserve">Measurable Business ROI: </w:t>
      </w:r>
      <w:r>
        <w:rPr>
          <w:color w:val="1F2937"/>
          <w:sz w:val="19"/>
        </w:rPr>
        <w:t>Reduces rule deployment time from 48 hours to 2 minutes; eliminates 100% of schema-mismatch configuration bugs; ensures national applications are protected on Day 0 of a vulnerability announcement.</w:t>
      </w:r>
    </w:p>
    <w:p>
      <w:pPr>
        <w:spacing w:before="280" w:after="80"/>
      </w:pPr>
      <w:r>
        <w:rPr>
          <w:b/>
          <w:color w:val="1E3A8A"/>
          <w:sz w:val="25"/>
        </w:rPr>
        <w:t>3.4 Persona 4: Compliance &amp; Legal Officers (Roles: 'compliance', 'legal')</w:t>
      </w:r>
    </w:p>
    <w:tbl>
      <w:tblPr>
        <w:tblW w:type="auto" w:w="0"/>
        <w:jc w:val="center"/>
        <w:tblLook w:firstColumn="1" w:firstRow="1" w:lastColumn="0" w:lastRow="0" w:noHBand="0" w:noVBand="1" w:val="04A0"/>
      </w:tblPr>
      <w:tblGrid>
        <w:gridCol w:w="9746"/>
      </w:tblGrid>
      <w:tr>
        <w:tc>
          <w:tcPr>
            <w:tcW w:type="dxa" w:w="9354"/>
            <w:shd w:val="clear" w:color="auto" w:fill="EEF5FC"/>
            <w:tcMar>
              <w:top w:w="160" w:type="dxa"/>
              <w:bottom w:w="160" w:type="dxa"/>
              <w:left w:w="240" w:type="dxa"/>
              <w:right w:w="200" w:type="dxa"/>
            </w:tcMar>
            <w:tcBorders>
              <w:left w:val="single" w:sz="24" w:color="0A275C"/>
              <w:top w:val="none"/>
              <w:bottom w:val="none"/>
              <w:right w:val="none"/>
            </w:tcBorders>
          </w:tcPr>
          <w:p>
            <w:pPr>
              <w:spacing w:before="80" w:after="80" w:line="276" w:lineRule="auto"/>
            </w:pPr>
            <w:r>
              <w:rPr>
                <w:b/>
                <w:color w:val="0A275C"/>
                <w:sz w:val="20"/>
              </w:rPr>
              <w:t>★ The Layman's Analogy</w:t>
              <w:br/>
            </w:r>
            <w:r>
              <w:rPr>
                <w:color w:val="1F2937"/>
                <w:sz w:val="19"/>
              </w:rPr>
              <w:t>Like having a Senior Advocate specializing in cyber law standing beside the IT team during a suspected data leak, immediately reviewing the technical evidence and drafting a legally binding statutory notification to the Information Regulator before statutory deadlines expire.</w:t>
            </w:r>
          </w:p>
        </w:tc>
      </w:tr>
    </w:tbl>
    <w:p>
      <w:pPr>
        <w:spacing w:after="80"/>
      </w:pPr>
    </w:p>
    <w:p>
      <w:pPr>
        <w:spacing w:after="100" w:line="276" w:lineRule="auto"/>
      </w:pPr>
      <w:r>
        <w:rPr>
          <w:b/>
          <w:color w:val="0A275C"/>
          <w:sz w:val="19"/>
        </w:rPr>
        <w:t xml:space="preserve">Operational Context: </w:t>
      </w:r>
      <w:r>
        <w:rPr>
          <w:color w:val="1F2937"/>
          <w:sz w:val="19"/>
        </w:rPr>
        <w:t>Responsibilities: Ensures compliance with South African statutes (Protection of Personal Information Act / POPIA, ISO 27001, Minimum Information Security Standards / MISS), manages privacy breach disclosures, and mitigates legal liabilities.</w:t>
      </w:r>
    </w:p>
    <w:p>
      <w:pPr>
        <w:pStyle w:val="ListBullet"/>
        <w:spacing w:after="60" w:line="276" w:lineRule="auto"/>
        <w:ind w:left="397"/>
      </w:pPr>
      <w:r>
        <w:rPr>
          <w:b/>
          <w:color w:val="0A275C"/>
          <w:sz w:val="19"/>
        </w:rPr>
        <w:t xml:space="preserve">The Daily Frustration: </w:t>
      </w:r>
      <w:r>
        <w:rPr>
          <w:color w:val="1F2937"/>
          <w:sz w:val="19"/>
        </w:rPr>
        <w:t>When a server is breached, technical logs show IP addresses and SQL strings. Legal officers cannot interpret hexadecimal logs, while technical engineers do not understand the legal threshold of POPIA Section 22 ('reasonable grounds to believe personal information has been accessed'). Failing to notify the Information Regulator within statutory time limits triggers catastrophic administrative fines (up to R10 million) and criminal penalties.</w:t>
      </w:r>
    </w:p>
    <w:p>
      <w:pPr>
        <w:pStyle w:val="ListBullet"/>
        <w:spacing w:after="60" w:line="276" w:lineRule="auto"/>
        <w:ind w:left="397"/>
      </w:pPr>
      <w:r>
        <w:rPr>
          <w:b/>
          <w:color w:val="0A275C"/>
          <w:sz w:val="19"/>
        </w:rPr>
        <w:t xml:space="preserve">The AIMI Solution: </w:t>
      </w:r>
      <w:r>
        <w:rPr>
          <w:color w:val="1F2937"/>
          <w:sz w:val="19"/>
        </w:rPr>
        <w:t>AVP-5 (POPIA Section 22 Statutory Breach Notification Assessment &amp; Dossier Generator).</w:t>
      </w:r>
    </w:p>
    <w:p>
      <w:pPr>
        <w:pStyle w:val="ListBullet"/>
        <w:spacing w:after="60" w:line="276" w:lineRule="auto"/>
        <w:ind w:left="397"/>
      </w:pPr>
      <w:r>
        <w:rPr>
          <w:b/>
          <w:color w:val="0A275C"/>
          <w:sz w:val="19"/>
        </w:rPr>
        <w:t xml:space="preserve">Why Code Alone Cannot Do This: </w:t>
      </w:r>
      <w:r>
        <w:rPr>
          <w:color w:val="1F2937"/>
          <w:sz w:val="19"/>
        </w:rPr>
        <w:t>Applying a statutory legal test requires semantic legal reasoning: examining technical facts (e.g. data sensitivity, encryption status, exfiltration evidence) against legal thresholds. Ordinary software cannot interpret legal statute.</w:t>
      </w:r>
    </w:p>
    <w:p>
      <w:pPr>
        <w:pStyle w:val="ListBullet"/>
        <w:spacing w:after="60" w:line="276" w:lineRule="auto"/>
        <w:ind w:left="397"/>
      </w:pPr>
      <w:r>
        <w:rPr>
          <w:b/>
          <w:color w:val="0A275C"/>
          <w:sz w:val="19"/>
        </w:rPr>
        <w:t xml:space="preserve">Actual Value Add on the Dashboard: </w:t>
      </w:r>
      <w:r>
        <w:rPr>
          <w:color w:val="1F2937"/>
          <w:sz w:val="19"/>
        </w:rPr>
        <w:t>Located at /national/ai (View: avp-5) and ComplianceDashboard.tsx. Compliance officers select an application and incident window. AIMI evaluates the evidence, renders a formal verdict ('STATUTORY DUTY TRIGGERED' vs 'CONTAINED'), and automatically drafts the complete, formal POPIA Section 22 notification letter ready for legal review.</w:t>
      </w:r>
    </w:p>
    <w:p>
      <w:pPr>
        <w:pStyle w:val="ListBullet"/>
        <w:spacing w:after="60" w:line="276" w:lineRule="auto"/>
        <w:ind w:left="397"/>
      </w:pPr>
      <w:r>
        <w:rPr>
          <w:b/>
          <w:color w:val="0A275C"/>
          <w:sz w:val="19"/>
        </w:rPr>
        <w:t xml:space="preserve">Measurable Business ROI: </w:t>
      </w:r>
      <w:r>
        <w:rPr>
          <w:color w:val="1F2937"/>
          <w:sz w:val="19"/>
        </w:rPr>
        <w:t>Guarantees statutory compliance within mandatory notification windows; shields SITA and client departments from R10M regulatory fines; provides an irrefutable, cryptographically timestamped audit defense.</w:t>
      </w:r>
    </w:p>
    <w:p>
      <w:pPr>
        <w:spacing w:before="280" w:after="80"/>
      </w:pPr>
      <w:r>
        <w:rPr>
          <w:b/>
          <w:color w:val="1E3A8A"/>
          <w:sz w:val="25"/>
        </w:rPr>
        <w:t>3.5 Persona 5: Database Security &amp; Privacy Custodians (Role: 'dbsec')</w:t>
      </w:r>
    </w:p>
    <w:tbl>
      <w:tblPr>
        <w:tblW w:type="auto" w:w="0"/>
        <w:jc w:val="center"/>
        <w:tblLook w:firstColumn="1" w:firstRow="1" w:lastColumn="0" w:lastRow="0" w:noHBand="0" w:noVBand="1" w:val="04A0"/>
      </w:tblPr>
      <w:tblGrid>
        <w:gridCol w:w="9746"/>
      </w:tblGrid>
      <w:tr>
        <w:tc>
          <w:tcPr>
            <w:tcW w:type="dxa" w:w="9354"/>
            <w:shd w:val="clear" w:color="auto" w:fill="EEF5FC"/>
            <w:tcMar>
              <w:top w:w="160" w:type="dxa"/>
              <w:bottom w:w="160" w:type="dxa"/>
              <w:left w:w="240" w:type="dxa"/>
              <w:right w:w="200" w:type="dxa"/>
            </w:tcMar>
            <w:tcBorders>
              <w:left w:val="single" w:sz="24" w:color="0A275C"/>
              <w:top w:val="none"/>
              <w:bottom w:val="none"/>
              <w:right w:val="none"/>
            </w:tcBorders>
          </w:tcPr>
          <w:p>
            <w:pPr>
              <w:spacing w:before="80" w:after="80" w:line="276" w:lineRule="auto"/>
            </w:pPr>
            <w:r>
              <w:rPr>
                <w:b/>
                <w:color w:val="0A275C"/>
                <w:sz w:val="20"/>
              </w:rPr>
              <w:t>★ The Layman's Analogy</w:t>
              <w:br/>
            </w:r>
            <w:r>
              <w:rPr>
                <w:color w:val="1F2937"/>
                <w:sz w:val="19"/>
              </w:rPr>
              <w:t>Like a bank vault supervisor who can instantly distinguish between an armored car courier legitimately withdrawing cash and an imposter walking out with duplicate keys.</w:t>
            </w:r>
          </w:p>
        </w:tc>
      </w:tr>
    </w:tbl>
    <w:p>
      <w:pPr>
        <w:spacing w:after="80"/>
      </w:pPr>
    </w:p>
    <w:p>
      <w:pPr>
        <w:spacing w:after="100" w:line="276" w:lineRule="auto"/>
      </w:pPr>
      <w:r>
        <w:rPr>
          <w:b/>
          <w:color w:val="0A275C"/>
          <w:sz w:val="19"/>
        </w:rPr>
        <w:t xml:space="preserve">Operational Context: </w:t>
      </w:r>
      <w:r>
        <w:rPr>
          <w:color w:val="1F2937"/>
          <w:sz w:val="19"/>
        </w:rPr>
        <w:t>Responsibilities: Protects sensitive citizen registries (Home Affairs National Population Register, SASSA grant records, SARS tax records) monitored via Imperva Database Activity Monitoring (DAM).</w:t>
      </w:r>
    </w:p>
    <w:p>
      <w:pPr>
        <w:pStyle w:val="ListBullet"/>
        <w:spacing w:after="60" w:line="276" w:lineRule="auto"/>
        <w:ind w:left="397"/>
      </w:pPr>
      <w:r>
        <w:rPr>
          <w:b/>
          <w:color w:val="0A275C"/>
          <w:sz w:val="19"/>
        </w:rPr>
        <w:t xml:space="preserve">The Daily Frustration: </w:t>
      </w:r>
      <w:r>
        <w:rPr>
          <w:color w:val="1F2937"/>
          <w:sz w:val="19"/>
        </w:rPr>
        <w:t>Millions of database queries occur daily. Database administrators are flooded with SQL alerts but cannot tell whether a query was a benign software report or an unauthorized exfiltration of citizen identity numbers.</w:t>
      </w:r>
    </w:p>
    <w:p>
      <w:pPr>
        <w:pStyle w:val="ListBullet"/>
        <w:spacing w:after="60" w:line="276" w:lineRule="auto"/>
        <w:ind w:left="397"/>
      </w:pPr>
      <w:r>
        <w:rPr>
          <w:b/>
          <w:color w:val="0A275C"/>
          <w:sz w:val="19"/>
        </w:rPr>
        <w:t xml:space="preserve">The AIMI Solution: </w:t>
      </w:r>
      <w:r>
        <w:rPr>
          <w:color w:val="1F2937"/>
          <w:sz w:val="19"/>
        </w:rPr>
        <w:t>Cross-Telemetry Sensitive Data Contextualization and AVP-11 Insider Anomaly Detection.</w:t>
      </w:r>
    </w:p>
    <w:p>
      <w:pPr>
        <w:pStyle w:val="ListBullet"/>
        <w:spacing w:after="60" w:line="276" w:lineRule="auto"/>
        <w:ind w:left="397"/>
      </w:pPr>
      <w:r>
        <w:rPr>
          <w:b/>
          <w:color w:val="0A275C"/>
          <w:sz w:val="19"/>
        </w:rPr>
        <w:t xml:space="preserve">Why Code Alone Cannot Do This: </w:t>
      </w:r>
      <w:r>
        <w:rPr>
          <w:color w:val="1F2937"/>
          <w:sz w:val="19"/>
        </w:rPr>
        <w:t>Correlating front-end web application parameters with back-end database stored procedure calls requires natural-language comprehension of query intent and contextual anomaly scoring.</w:t>
      </w:r>
    </w:p>
    <w:p>
      <w:pPr>
        <w:pStyle w:val="ListBullet"/>
        <w:spacing w:after="60" w:line="276" w:lineRule="auto"/>
        <w:ind w:left="397"/>
      </w:pPr>
      <w:r>
        <w:rPr>
          <w:b/>
          <w:color w:val="0A275C"/>
          <w:sz w:val="19"/>
        </w:rPr>
        <w:t xml:space="preserve">Actual Value Add on the Dashboard: </w:t>
      </w:r>
      <w:r>
        <w:rPr>
          <w:color w:val="1F2937"/>
          <w:sz w:val="19"/>
        </w:rPr>
        <w:t>Located at DbSecDashboard.tsx. Integrates Imperva DAM telemetry directly with AIMI threat attribution, highlighting database queries that touch citizen PII during elevated threat conditions.</w:t>
      </w:r>
    </w:p>
    <w:p>
      <w:pPr>
        <w:pStyle w:val="ListBullet"/>
        <w:spacing w:after="60" w:line="276" w:lineRule="auto"/>
        <w:ind w:left="397"/>
      </w:pPr>
      <w:r>
        <w:rPr>
          <w:b/>
          <w:color w:val="0A275C"/>
          <w:sz w:val="19"/>
        </w:rPr>
        <w:t xml:space="preserve">Measurable Business ROI: </w:t>
      </w:r>
      <w:r>
        <w:rPr>
          <w:color w:val="1F2937"/>
          <w:sz w:val="19"/>
        </w:rPr>
        <w:t>Prevents catastrophic leaks of state identity databases; enforces strict data privacy governance across provincial health and social security records.</w:t>
      </w:r>
    </w:p>
    <w:p>
      <w:pPr>
        <w:spacing w:before="280" w:after="80"/>
      </w:pPr>
      <w:r>
        <w:rPr>
          <w:b/>
          <w:color w:val="1E3A8A"/>
          <w:sz w:val="25"/>
        </w:rPr>
        <w:t>3.6 Persona 6: Internal Audit &amp; Platform Administrators (Roles: 'admin', 'operator')</w:t>
      </w:r>
    </w:p>
    <w:tbl>
      <w:tblPr>
        <w:tblW w:type="auto" w:w="0"/>
        <w:jc w:val="center"/>
        <w:tblLook w:firstColumn="1" w:firstRow="1" w:lastColumn="0" w:lastRow="0" w:noHBand="0" w:noVBand="1" w:val="04A0"/>
      </w:tblPr>
      <w:tblGrid>
        <w:gridCol w:w="9746"/>
      </w:tblGrid>
      <w:tr>
        <w:tc>
          <w:tcPr>
            <w:tcW w:type="dxa" w:w="9354"/>
            <w:shd w:val="clear" w:color="auto" w:fill="EEF5FC"/>
            <w:tcMar>
              <w:top w:w="160" w:type="dxa"/>
              <w:bottom w:w="160" w:type="dxa"/>
              <w:left w:w="240" w:type="dxa"/>
              <w:right w:w="200" w:type="dxa"/>
            </w:tcMar>
            <w:tcBorders>
              <w:left w:val="single" w:sz="24" w:color="0A275C"/>
              <w:top w:val="none"/>
              <w:bottom w:val="none"/>
              <w:right w:val="none"/>
            </w:tcBorders>
          </w:tcPr>
          <w:p>
            <w:pPr>
              <w:spacing w:before="80" w:after="80" w:line="276" w:lineRule="auto"/>
            </w:pPr>
            <w:r>
              <w:rPr>
                <w:b/>
                <w:color w:val="0A275C"/>
                <w:sz w:val="20"/>
              </w:rPr>
              <w:t>★ The Layman's Analogy</w:t>
              <w:br/>
            </w:r>
            <w:r>
              <w:rPr>
                <w:color w:val="1F2937"/>
                <w:sz w:val="19"/>
              </w:rPr>
              <w:t>Like an expert internal fraud investigator who reviews a corrupt employee's actions over 60 days, recognizing that while each single action seemed normal on paper, the combined sequence proves they were preparing to embezzle state funds.</w:t>
            </w:r>
          </w:p>
        </w:tc>
      </w:tr>
    </w:tbl>
    <w:p>
      <w:pPr>
        <w:spacing w:after="80"/>
      </w:pPr>
    </w:p>
    <w:p>
      <w:pPr>
        <w:spacing w:after="100" w:line="276" w:lineRule="auto"/>
      </w:pPr>
      <w:r>
        <w:rPr>
          <w:b/>
          <w:color w:val="0A275C"/>
          <w:sz w:val="19"/>
        </w:rPr>
        <w:t xml:space="preserve">Operational Context: </w:t>
      </w:r>
      <w:r>
        <w:rPr>
          <w:color w:val="1F2937"/>
          <w:sz w:val="19"/>
        </w:rPr>
        <w:t>Responsibilities: Manages platform user access, enforces Segregation of Duties (SoD), monitors administrative abuse, and maintains Auditor-General compliance.</w:t>
      </w:r>
    </w:p>
    <w:p>
      <w:pPr>
        <w:pStyle w:val="ListBullet"/>
        <w:spacing w:after="60" w:line="276" w:lineRule="auto"/>
        <w:ind w:left="397"/>
      </w:pPr>
      <w:r>
        <w:rPr>
          <w:b/>
          <w:color w:val="0A275C"/>
          <w:sz w:val="19"/>
        </w:rPr>
        <w:t xml:space="preserve">The Daily Frustration: </w:t>
      </w:r>
      <w:r>
        <w:rPr>
          <w:color w:val="1F2937"/>
          <w:sz w:val="19"/>
        </w:rPr>
        <w:t>Insiders (rogue administrators or compromised credentials) carry out malicious actions slowly: they create an account on Monday, modify permissions on Thursday, export a small report on Friday, and clear logs over the weekend. Every single action is technically authorized, so standard security rules NEVER trigger an alert.</w:t>
      </w:r>
    </w:p>
    <w:p>
      <w:pPr>
        <w:pStyle w:val="ListBullet"/>
        <w:spacing w:after="60" w:line="276" w:lineRule="auto"/>
        <w:ind w:left="397"/>
      </w:pPr>
      <w:r>
        <w:rPr>
          <w:b/>
          <w:color w:val="0A275C"/>
          <w:sz w:val="19"/>
        </w:rPr>
        <w:t xml:space="preserve">The AIMI Solution: </w:t>
      </w:r>
      <w:r>
        <w:rPr>
          <w:color w:val="1F2937"/>
          <w:sz w:val="19"/>
        </w:rPr>
        <w:t>AVP-11 (Behavioral Sequence Reading &amp; Multi-Step Privilege Abuse Interpretation).</w:t>
      </w:r>
    </w:p>
    <w:p>
      <w:pPr>
        <w:pStyle w:val="ListBullet"/>
        <w:spacing w:after="60" w:line="276" w:lineRule="auto"/>
        <w:ind w:left="397"/>
      </w:pPr>
      <w:r>
        <w:rPr>
          <w:b/>
          <w:color w:val="0A275C"/>
          <w:sz w:val="19"/>
        </w:rPr>
        <w:t xml:space="preserve">Why Code Alone Cannot Do This: </w:t>
      </w:r>
      <w:r>
        <w:rPr>
          <w:color w:val="1F2937"/>
          <w:sz w:val="19"/>
        </w:rPr>
        <w:t>A rule-based query can only check single events (e.g. 'did user export data?'). It CANNOT read a chronological story of 20 disparate actions across 30 days and recognize the intent of an insider threat actor preparing to exfiltrate data.</w:t>
      </w:r>
    </w:p>
    <w:p>
      <w:pPr>
        <w:pStyle w:val="ListBullet"/>
        <w:spacing w:after="60" w:line="276" w:lineRule="auto"/>
        <w:ind w:left="397"/>
      </w:pPr>
      <w:r>
        <w:rPr>
          <w:b/>
          <w:color w:val="0A275C"/>
          <w:sz w:val="19"/>
        </w:rPr>
        <w:t xml:space="preserve">Actual Value Add on the Dashboard: </w:t>
      </w:r>
      <w:r>
        <w:rPr>
          <w:color w:val="1F2937"/>
          <w:sz w:val="19"/>
        </w:rPr>
        <w:t>Located at /national/ai (View: avp-11) and AdminUsersPage.tsx. Administrators enter a time window and confidence threshold. AIMI analyzes cryptographically signed audit logs, flags non-linear privilege escalation patterns, and presents an explainable narrative of the insider risk.</w:t>
      </w:r>
    </w:p>
    <w:p>
      <w:pPr>
        <w:pStyle w:val="ListBullet"/>
        <w:spacing w:after="60" w:line="276" w:lineRule="auto"/>
        <w:ind w:left="397"/>
      </w:pPr>
      <w:r>
        <w:rPr>
          <w:b/>
          <w:color w:val="0A275C"/>
          <w:sz w:val="19"/>
        </w:rPr>
        <w:t xml:space="preserve">Measurable Business ROI: </w:t>
      </w:r>
      <w:r>
        <w:rPr>
          <w:color w:val="1F2937"/>
          <w:sz w:val="19"/>
        </w:rPr>
        <w:t>Stops trusted insider data theft before data leaves the building; ensures 100% clean audits with the Auditor-General of South Africa (AGSA); eliminates rogue administrator backdoors.</w:t>
      </w:r>
    </w:p>
    <w:p>
      <w:pPr>
        <w:spacing w:before="280" w:after="80"/>
      </w:pPr>
      <w:r>
        <w:rPr>
          <w:b/>
          <w:color w:val="1E3A8A"/>
          <w:sz w:val="25"/>
        </w:rPr>
        <w:t>3.7 Persona 7: Site Reliability Engineers &amp; System Operators (Role: 'sre')</w:t>
      </w:r>
    </w:p>
    <w:tbl>
      <w:tblPr>
        <w:tblW w:type="auto" w:w="0"/>
        <w:jc w:val="center"/>
        <w:tblLook w:firstColumn="1" w:firstRow="1" w:lastColumn="0" w:lastRow="0" w:noHBand="0" w:noVBand="1" w:val="04A0"/>
      </w:tblPr>
      <w:tblGrid>
        <w:gridCol w:w="9746"/>
      </w:tblGrid>
      <w:tr>
        <w:tc>
          <w:tcPr>
            <w:tcW w:type="dxa" w:w="9354"/>
            <w:shd w:val="clear" w:color="auto" w:fill="EEF5FC"/>
            <w:tcMar>
              <w:top w:w="160" w:type="dxa"/>
              <w:bottom w:w="160" w:type="dxa"/>
              <w:left w:w="240" w:type="dxa"/>
              <w:right w:w="200" w:type="dxa"/>
            </w:tcMar>
            <w:tcBorders>
              <w:left w:val="single" w:sz="24" w:color="0A275C"/>
              <w:top w:val="none"/>
              <w:bottom w:val="none"/>
              <w:right w:val="none"/>
            </w:tcBorders>
          </w:tcPr>
          <w:p>
            <w:pPr>
              <w:spacing w:before="80" w:after="80" w:line="276" w:lineRule="auto"/>
            </w:pPr>
            <w:r>
              <w:rPr>
                <w:b/>
                <w:color w:val="0A275C"/>
                <w:sz w:val="20"/>
              </w:rPr>
              <w:t>★ The Layman's Analogy</w:t>
              <w:br/>
            </w:r>
            <w:r>
              <w:rPr>
                <w:color w:val="1F2937"/>
                <w:sz w:val="19"/>
              </w:rPr>
              <w:t>Like a master mechanic who can listen to the sound of an aircraft engine during takeoff and tell the pilot exactly which valve is sticking before the warning light even turns on.</w:t>
            </w:r>
          </w:p>
        </w:tc>
      </w:tr>
    </w:tbl>
    <w:p>
      <w:pPr>
        <w:spacing w:after="80"/>
      </w:pPr>
    </w:p>
    <w:p>
      <w:pPr>
        <w:spacing w:after="100" w:line="276" w:lineRule="auto"/>
      </w:pPr>
      <w:r>
        <w:rPr>
          <w:b/>
          <w:color w:val="0A275C"/>
          <w:sz w:val="19"/>
        </w:rPr>
        <w:t xml:space="preserve">Operational Context: </w:t>
      </w:r>
      <w:r>
        <w:rPr>
          <w:color w:val="1F2937"/>
          <w:sz w:val="19"/>
        </w:rPr>
        <w:t>Responsibilities: Ensures 99.99% system availability, server health, container orchestration, and real-time database ingestion throughput.</w:t>
      </w:r>
    </w:p>
    <w:p>
      <w:pPr>
        <w:pStyle w:val="ListBullet"/>
        <w:spacing w:after="60" w:line="276" w:lineRule="auto"/>
        <w:ind w:left="397"/>
      </w:pPr>
      <w:r>
        <w:rPr>
          <w:b/>
          <w:color w:val="0A275C"/>
          <w:sz w:val="19"/>
        </w:rPr>
        <w:t xml:space="preserve">The Daily Frustration: </w:t>
      </w:r>
      <w:r>
        <w:rPr>
          <w:color w:val="1F2937"/>
          <w:sz w:val="19"/>
        </w:rPr>
        <w:t>During high-traffic periods or security incidents, system telemetry (CPU spikes, memory exhaustion, API queue backlogs) becomes chaotic. Engineers spend hours combing through server logs to find the root cause of service degradation.</w:t>
      </w:r>
    </w:p>
    <w:p>
      <w:pPr>
        <w:pStyle w:val="ListBullet"/>
        <w:spacing w:after="60" w:line="276" w:lineRule="auto"/>
        <w:ind w:left="397"/>
      </w:pPr>
      <w:r>
        <w:rPr>
          <w:b/>
          <w:color w:val="0A275C"/>
          <w:sz w:val="19"/>
        </w:rPr>
        <w:t xml:space="preserve">The AIMI Solution: </w:t>
      </w:r>
      <w:r>
        <w:rPr>
          <w:color w:val="1F2937"/>
          <w:sz w:val="19"/>
        </w:rPr>
        <w:t>Grounded Diagnostic Synthesis &amp; Automated Incident Narrative Generation.</w:t>
      </w:r>
    </w:p>
    <w:p>
      <w:pPr>
        <w:pStyle w:val="ListBullet"/>
        <w:spacing w:after="60" w:line="276" w:lineRule="auto"/>
        <w:ind w:left="397"/>
      </w:pPr>
      <w:r>
        <w:rPr>
          <w:b/>
          <w:color w:val="0A275C"/>
          <w:sz w:val="19"/>
        </w:rPr>
        <w:t xml:space="preserve">Why Code Alone Cannot Do This: </w:t>
      </w:r>
      <w:r>
        <w:rPr>
          <w:color w:val="1F2937"/>
          <w:sz w:val="19"/>
        </w:rPr>
        <w:t>Translating thousands of system metric streams, container logs, and database errors into a concise, actionable root-cause narrative requires semantic log synthesis.</w:t>
      </w:r>
    </w:p>
    <w:p>
      <w:pPr>
        <w:pStyle w:val="ListBullet"/>
        <w:spacing w:after="60" w:line="276" w:lineRule="auto"/>
        <w:ind w:left="397"/>
      </w:pPr>
      <w:r>
        <w:rPr>
          <w:b/>
          <w:color w:val="0A275C"/>
          <w:sz w:val="19"/>
        </w:rPr>
        <w:t xml:space="preserve">Actual Value Add on the Dashboard: </w:t>
      </w:r>
      <w:r>
        <w:rPr>
          <w:color w:val="1F2937"/>
          <w:sz w:val="19"/>
        </w:rPr>
        <w:t>Located at SreDashboard.tsx. Provides an instant 'System Health Diagnostic' card summarizing connector status, latency anomalies, and pipeline bottlenecks in plain English.</w:t>
      </w:r>
    </w:p>
    <w:p>
      <w:pPr>
        <w:pStyle w:val="ListBullet"/>
        <w:spacing w:after="60" w:line="276" w:lineRule="auto"/>
        <w:ind w:left="397"/>
      </w:pPr>
      <w:r>
        <w:rPr>
          <w:b/>
          <w:color w:val="0A275C"/>
          <w:sz w:val="19"/>
        </w:rPr>
        <w:t xml:space="preserve">Measurable Business ROI: </w:t>
      </w:r>
      <w:r>
        <w:rPr>
          <w:color w:val="1F2937"/>
          <w:sz w:val="19"/>
        </w:rPr>
        <w:t>Reduces Mean Time to Repair (MTTR) by 70%; prevents server crashes during national tax or grant registration deadlines.</w:t>
      </w:r>
    </w:p>
    <w:p>
      <w:pPr>
        <w:spacing w:after="280"/>
      </w:pPr>
    </w:p>
    <w:p>
      <w:pPr>
        <w:spacing w:before="400" w:after="160"/>
        <w:pBdr>
          <w:bottom w:val="single" w:sz="12" w:space="4" w:color="0A275C"/>
        </w:pBdr>
      </w:pPr>
      <w:r>
        <w:rPr>
          <w:b/>
          <w:color w:val="0A275C"/>
          <w:sz w:val="32"/>
        </w:rPr>
        <w:t>4. The Honest Boundary: Why 7 Propositions Were Demoted to Engineering</w:t>
      </w:r>
    </w:p>
    <w:p>
      <w:pPr>
        <w:spacing w:after="100" w:line="276" w:lineRule="auto"/>
      </w:pPr>
      <w:r>
        <w:rPr>
          <w:color w:val="1F2937"/>
          <w:sz w:val="19"/>
        </w:rPr>
        <w:t>To maintain the highest ethical standards and financial integrity, SITA and the engineering team subjected all 12 proposed AI value propositions to an uncompromising engineering test: 'Can this deliverable be produced by ordinary software code?'</w:t>
      </w:r>
    </w:p>
    <w:p>
      <w:pPr>
        <w:spacing w:after="100" w:line="276" w:lineRule="auto"/>
      </w:pPr>
      <w:r>
        <w:rPr>
          <w:color w:val="1F2937"/>
          <w:sz w:val="19"/>
        </w:rPr>
        <w:t>As documented in SITA's capability registry (app/processing/intel/capability.py), exactly five propositions survived as genuine AI tasks. Seven were demoted to standard engineering because they are mathematical formulas, database joins, or template-fillable tables. SITA stakeholders can be 100% confident that the agency is never paying for 'AI hype'.</w:t>
      </w:r>
    </w:p>
    <w:tbl>
      <w:tblPr>
        <w:tblW w:type="auto" w:w="0"/>
        <w:jc w:val="center"/>
        <w:tblLook w:firstColumn="1" w:firstRow="1" w:lastColumn="0" w:lastRow="0" w:noHBand="0" w:noVBand="1" w:val="04A0"/>
      </w:tblPr>
      <w:tblGrid>
        <w:gridCol w:w="2436"/>
        <w:gridCol w:w="2436"/>
        <w:gridCol w:w="2436"/>
        <w:gridCol w:w="2436"/>
      </w:tblGrid>
      <w:tr>
        <w:tc>
          <w:tcPr>
            <w:tcW w:type="dxa" w:w="1247"/>
            <w:shd w:val="clear" w:color="auto" w:fill="0A275C"/>
            <w:tcMar>
              <w:top w:w="160" w:type="dxa"/>
              <w:bottom w:w="160" w:type="dxa"/>
              <w:left w:w="160" w:type="dxa"/>
              <w:right w:w="160" w:type="dxa"/>
            </w:tcMar>
          </w:tcPr>
          <w:p>
            <w:pPr>
              <w:jc w:val="left"/>
            </w:pPr>
            <w:r>
              <w:rPr>
                <w:b/>
                <w:color w:val="FFFFFF"/>
                <w:sz w:val="18"/>
              </w:rPr>
              <w:t>ID</w:t>
            </w:r>
          </w:p>
        </w:tc>
        <w:tc>
          <w:tcPr>
            <w:tcW w:type="dxa" w:w="2154"/>
            <w:shd w:val="clear" w:color="auto" w:fill="0A275C"/>
            <w:tcMar>
              <w:top w:w="160" w:type="dxa"/>
              <w:bottom w:w="160" w:type="dxa"/>
              <w:left w:w="160" w:type="dxa"/>
              <w:right w:w="160" w:type="dxa"/>
            </w:tcMar>
          </w:tcPr>
          <w:p>
            <w:pPr>
              <w:jc w:val="left"/>
            </w:pPr>
            <w:r>
              <w:rPr>
                <w:b/>
                <w:color w:val="FFFFFF"/>
                <w:sz w:val="18"/>
              </w:rPr>
              <w:t>Value Proposition</w:t>
            </w:r>
          </w:p>
        </w:tc>
        <w:tc>
          <w:tcPr>
            <w:tcW w:type="dxa" w:w="1701"/>
            <w:shd w:val="clear" w:color="auto" w:fill="0A275C"/>
            <w:tcMar>
              <w:top w:w="160" w:type="dxa"/>
              <w:bottom w:w="160" w:type="dxa"/>
              <w:left w:w="160" w:type="dxa"/>
              <w:right w:w="160" w:type="dxa"/>
            </w:tcMar>
          </w:tcPr>
          <w:p>
            <w:pPr>
              <w:jc w:val="left"/>
            </w:pPr>
            <w:r>
              <w:rPr>
                <w:b/>
                <w:color w:val="FFFFFF"/>
                <w:sz w:val="18"/>
              </w:rPr>
              <w:t>Classification</w:t>
            </w:r>
          </w:p>
        </w:tc>
        <w:tc>
          <w:tcPr>
            <w:tcW w:type="dxa" w:w="4252"/>
            <w:shd w:val="clear" w:color="auto" w:fill="0A275C"/>
            <w:tcMar>
              <w:top w:w="160" w:type="dxa"/>
              <w:bottom w:w="160" w:type="dxa"/>
              <w:left w:w="160" w:type="dxa"/>
              <w:right w:w="160" w:type="dxa"/>
            </w:tcMar>
          </w:tcPr>
          <w:p>
            <w:pPr>
              <w:jc w:val="left"/>
            </w:pPr>
            <w:r>
              <w:rPr>
                <w:b/>
                <w:color w:val="FFFFFF"/>
                <w:sz w:val="18"/>
              </w:rPr>
              <w:t>Technical Justification (The Proof)</w:t>
            </w:r>
          </w:p>
        </w:tc>
      </w:tr>
      <w:tr>
        <w:tc>
          <w:tcPr>
            <w:tcW w:type="dxa" w:w="1247"/>
            <w:shd w:val="clear" w:color="auto" w:fill="FFFFFF"/>
            <w:tcMar>
              <w:top w:w="110" w:type="dxa"/>
              <w:bottom w:w="110" w:type="dxa"/>
              <w:left w:w="150" w:type="dxa"/>
              <w:right w:w="150" w:type="dxa"/>
            </w:tcMar>
          </w:tcPr>
          <w:p>
            <w:r>
              <w:rPr>
                <w:b/>
                <w:color w:val="0A275C"/>
              </w:rPr>
              <w:t>AVP-1</w:t>
            </w:r>
          </w:p>
        </w:tc>
        <w:tc>
          <w:tcPr>
            <w:tcW w:type="dxa" w:w="2154"/>
            <w:shd w:val="clear" w:color="auto" w:fill="FFFFFF"/>
            <w:tcMar>
              <w:top w:w="110" w:type="dxa"/>
              <w:bottom w:w="110" w:type="dxa"/>
              <w:left w:w="150" w:type="dxa"/>
              <w:right w:w="150" w:type="dxa"/>
            </w:tcMar>
          </w:tcPr>
          <w:p>
            <w:r>
              <w:rPr>
                <w:b w:val="0"/>
              </w:rPr>
              <w:t>Control Scoring</w:t>
            </w:r>
          </w:p>
        </w:tc>
        <w:tc>
          <w:tcPr>
            <w:tcW w:type="dxa" w:w="1701"/>
            <w:shd w:val="clear" w:color="auto" w:fill="FFFFFF"/>
            <w:tcMar>
              <w:top w:w="110" w:type="dxa"/>
              <w:bottom w:w="110" w:type="dxa"/>
              <w:left w:w="150" w:type="dxa"/>
              <w:right w:w="150" w:type="dxa"/>
            </w:tcMar>
          </w:tcPr>
          <w:p>
            <w:r>
              <w:rPr>
                <w:b/>
                <w:color w:val="4B5563"/>
              </w:rPr>
              <w:t>DEMOTED (Code)</w:t>
            </w:r>
          </w:p>
        </w:tc>
        <w:tc>
          <w:tcPr>
            <w:tcW w:type="dxa" w:w="4252"/>
            <w:shd w:val="clear" w:color="auto" w:fill="FFFFFF"/>
            <w:tcMar>
              <w:top w:w="110" w:type="dxa"/>
              <w:bottom w:w="110" w:type="dxa"/>
              <w:left w:w="150" w:type="dxa"/>
              <w:right w:w="150" w:type="dxa"/>
            </w:tcMar>
          </w:tcPr>
          <w:p>
            <w:r>
              <w:t>Pure arithmetic: weighted sums over database tables. Built and live in production with zero AI cost.</w:t>
            </w:r>
          </w:p>
        </w:tc>
      </w:tr>
      <w:tr>
        <w:tc>
          <w:tcPr>
            <w:tcW w:type="dxa" w:w="1247"/>
            <w:shd w:val="clear" w:color="auto" w:fill="EEF2FF"/>
            <w:tcMar>
              <w:top w:w="110" w:type="dxa"/>
              <w:bottom w:w="110" w:type="dxa"/>
              <w:left w:w="150" w:type="dxa"/>
              <w:right w:w="150" w:type="dxa"/>
            </w:tcMar>
          </w:tcPr>
          <w:p>
            <w:r>
              <w:rPr>
                <w:b/>
                <w:color w:val="6366F1"/>
              </w:rPr>
              <w:t>AVP-2</w:t>
            </w:r>
          </w:p>
        </w:tc>
        <w:tc>
          <w:tcPr>
            <w:tcW w:type="dxa" w:w="2154"/>
            <w:shd w:val="clear" w:color="auto" w:fill="EEF2FF"/>
            <w:tcMar>
              <w:top w:w="110" w:type="dxa"/>
              <w:bottom w:w="110" w:type="dxa"/>
              <w:left w:w="150" w:type="dxa"/>
              <w:right w:w="150" w:type="dxa"/>
            </w:tcMar>
          </w:tcPr>
          <w:p>
            <w:r>
              <w:rPr>
                <w:b/>
              </w:rPr>
              <w:t>Alert Rule Authoring</w:t>
            </w:r>
          </w:p>
        </w:tc>
        <w:tc>
          <w:tcPr>
            <w:tcW w:type="dxa" w:w="1701"/>
            <w:shd w:val="clear" w:color="auto" w:fill="EEF2FF"/>
            <w:tcMar>
              <w:top w:w="110" w:type="dxa"/>
              <w:bottom w:w="110" w:type="dxa"/>
              <w:left w:w="150" w:type="dxa"/>
              <w:right w:w="150" w:type="dxa"/>
            </w:tcMar>
          </w:tcPr>
          <w:p>
            <w:r>
              <w:rPr>
                <w:b/>
                <w:color w:val="059669"/>
              </w:rPr>
              <w:t>GENUINE AI</w:t>
            </w:r>
          </w:p>
        </w:tc>
        <w:tc>
          <w:tcPr>
            <w:tcW w:type="dxa" w:w="4252"/>
            <w:shd w:val="clear" w:color="auto" w:fill="EEF2FF"/>
            <w:tcMar>
              <w:top w:w="110" w:type="dxa"/>
              <w:bottom w:w="110" w:type="dxa"/>
              <w:left w:w="150" w:type="dxa"/>
              <w:right w:w="150" w:type="dxa"/>
            </w:tcMar>
          </w:tcPr>
          <w:p>
            <w:r>
              <w:t>Cognitive Residue: Synthesizes syntactically valid YAML rules by translating external TTPs into SITA's exact schema.</w:t>
            </w:r>
          </w:p>
        </w:tc>
      </w:tr>
      <w:tr>
        <w:tc>
          <w:tcPr>
            <w:tcW w:type="dxa" w:w="1247"/>
            <w:shd w:val="clear" w:color="auto" w:fill="EEF2FF"/>
            <w:tcMar>
              <w:top w:w="110" w:type="dxa"/>
              <w:bottom w:w="110" w:type="dxa"/>
              <w:left w:w="150" w:type="dxa"/>
              <w:right w:w="150" w:type="dxa"/>
            </w:tcMar>
          </w:tcPr>
          <w:p>
            <w:r>
              <w:rPr>
                <w:b/>
                <w:color w:val="6366F1"/>
              </w:rPr>
              <w:t>AVP-3</w:t>
            </w:r>
          </w:p>
        </w:tc>
        <w:tc>
          <w:tcPr>
            <w:tcW w:type="dxa" w:w="2154"/>
            <w:shd w:val="clear" w:color="auto" w:fill="EEF2FF"/>
            <w:tcMar>
              <w:top w:w="110" w:type="dxa"/>
              <w:bottom w:w="110" w:type="dxa"/>
              <w:left w:w="150" w:type="dxa"/>
              <w:right w:w="150" w:type="dxa"/>
            </w:tcMar>
          </w:tcPr>
          <w:p>
            <w:r>
              <w:rPr>
                <w:b/>
              </w:rPr>
              <w:t>Campaign Attribution</w:t>
            </w:r>
          </w:p>
        </w:tc>
        <w:tc>
          <w:tcPr>
            <w:tcW w:type="dxa" w:w="1701"/>
            <w:shd w:val="clear" w:color="auto" w:fill="EEF2FF"/>
            <w:tcMar>
              <w:top w:w="110" w:type="dxa"/>
              <w:bottom w:w="110" w:type="dxa"/>
              <w:left w:w="150" w:type="dxa"/>
              <w:right w:w="150" w:type="dxa"/>
            </w:tcMar>
          </w:tcPr>
          <w:p>
            <w:r>
              <w:rPr>
                <w:b/>
                <w:color w:val="059669"/>
              </w:rPr>
              <w:t>GENUINE AI</w:t>
            </w:r>
          </w:p>
        </w:tc>
        <w:tc>
          <w:tcPr>
            <w:tcW w:type="dxa" w:w="4252"/>
            <w:shd w:val="clear" w:color="auto" w:fill="EEF2FF"/>
            <w:tcMar>
              <w:top w:w="110" w:type="dxa"/>
              <w:bottom w:w="110" w:type="dxa"/>
              <w:left w:w="150" w:type="dxa"/>
              <w:right w:w="150" w:type="dxa"/>
            </w:tcMar>
          </w:tcPr>
          <w:p>
            <w:r>
              <w:t>Cognitive Residue: Reads unstructured English threat reporting and judges whether adversary tactics match our estate.</w:t>
            </w:r>
          </w:p>
        </w:tc>
      </w:tr>
      <w:tr>
        <w:tc>
          <w:tcPr>
            <w:tcW w:type="dxa" w:w="1247"/>
            <w:shd w:val="clear" w:color="auto" w:fill="F9FAFB"/>
            <w:tcMar>
              <w:top w:w="110" w:type="dxa"/>
              <w:bottom w:w="110" w:type="dxa"/>
              <w:left w:w="150" w:type="dxa"/>
              <w:right w:w="150" w:type="dxa"/>
            </w:tcMar>
          </w:tcPr>
          <w:p>
            <w:r>
              <w:rPr>
                <w:b/>
                <w:color w:val="0A275C"/>
              </w:rPr>
              <w:t>AVP-4</w:t>
            </w:r>
          </w:p>
        </w:tc>
        <w:tc>
          <w:tcPr>
            <w:tcW w:type="dxa" w:w="2154"/>
            <w:shd w:val="clear" w:color="auto" w:fill="F9FAFB"/>
            <w:tcMar>
              <w:top w:w="110" w:type="dxa"/>
              <w:bottom w:w="110" w:type="dxa"/>
              <w:left w:w="150" w:type="dxa"/>
              <w:right w:w="150" w:type="dxa"/>
            </w:tcMar>
          </w:tcPr>
          <w:p>
            <w:r>
              <w:rPr>
                <w:b w:val="0"/>
              </w:rPr>
              <w:t>Vendor Contradictions</w:t>
            </w:r>
          </w:p>
        </w:tc>
        <w:tc>
          <w:tcPr>
            <w:tcW w:type="dxa" w:w="1701"/>
            <w:shd w:val="clear" w:color="auto" w:fill="F9FAFB"/>
            <w:tcMar>
              <w:top w:w="110" w:type="dxa"/>
              <w:bottom w:w="110" w:type="dxa"/>
              <w:left w:w="150" w:type="dxa"/>
              <w:right w:w="150" w:type="dxa"/>
            </w:tcMar>
          </w:tcPr>
          <w:p>
            <w:r>
              <w:rPr>
                <w:b/>
                <w:color w:val="4B5563"/>
              </w:rPr>
              <w:t>DEMOTED (Code)</w:t>
            </w:r>
          </w:p>
        </w:tc>
        <w:tc>
          <w:tcPr>
            <w:tcW w:type="dxa" w:w="4252"/>
            <w:shd w:val="clear" w:color="auto" w:fill="F9FAFB"/>
            <w:tcMar>
              <w:top w:w="110" w:type="dxa"/>
              <w:bottom w:w="110" w:type="dxa"/>
              <w:left w:w="150" w:type="dxa"/>
              <w:right w:w="150" w:type="dxa"/>
            </w:tcMar>
          </w:tcPr>
          <w:p>
            <w:r>
              <w:t>Pure database queries: GROUP BY and set differences across vendor tables. 5 of 6 checks already built.</w:t>
            </w:r>
          </w:p>
        </w:tc>
      </w:tr>
      <w:tr>
        <w:tc>
          <w:tcPr>
            <w:tcW w:type="dxa" w:w="1247"/>
            <w:shd w:val="clear" w:color="auto" w:fill="EEF2FF"/>
            <w:tcMar>
              <w:top w:w="110" w:type="dxa"/>
              <w:bottom w:w="110" w:type="dxa"/>
              <w:left w:w="150" w:type="dxa"/>
              <w:right w:w="150" w:type="dxa"/>
            </w:tcMar>
          </w:tcPr>
          <w:p>
            <w:r>
              <w:rPr>
                <w:b/>
                <w:color w:val="6366F1"/>
              </w:rPr>
              <w:t>AVP-5</w:t>
            </w:r>
          </w:p>
        </w:tc>
        <w:tc>
          <w:tcPr>
            <w:tcW w:type="dxa" w:w="2154"/>
            <w:shd w:val="clear" w:color="auto" w:fill="EEF2FF"/>
            <w:tcMar>
              <w:top w:w="110" w:type="dxa"/>
              <w:bottom w:w="110" w:type="dxa"/>
              <w:left w:w="150" w:type="dxa"/>
              <w:right w:w="150" w:type="dxa"/>
            </w:tcMar>
          </w:tcPr>
          <w:p>
            <w:r>
              <w:rPr>
                <w:b/>
              </w:rPr>
              <w:t>POPIA Breach Dossier</w:t>
            </w:r>
          </w:p>
        </w:tc>
        <w:tc>
          <w:tcPr>
            <w:tcW w:type="dxa" w:w="1701"/>
            <w:shd w:val="clear" w:color="auto" w:fill="EEF2FF"/>
            <w:tcMar>
              <w:top w:w="110" w:type="dxa"/>
              <w:bottom w:w="110" w:type="dxa"/>
              <w:left w:w="150" w:type="dxa"/>
              <w:right w:w="150" w:type="dxa"/>
            </w:tcMar>
          </w:tcPr>
          <w:p>
            <w:r>
              <w:rPr>
                <w:b/>
                <w:color w:val="059669"/>
              </w:rPr>
              <w:t>GENUINE AI</w:t>
            </w:r>
          </w:p>
        </w:tc>
        <w:tc>
          <w:tcPr>
            <w:tcW w:type="dxa" w:w="4252"/>
            <w:shd w:val="clear" w:color="auto" w:fill="EEF2FF"/>
            <w:tcMar>
              <w:top w:w="110" w:type="dxa"/>
              <w:bottom w:w="110" w:type="dxa"/>
              <w:left w:w="150" w:type="dxa"/>
              <w:right w:w="150" w:type="dxa"/>
            </w:tcMar>
          </w:tcPr>
          <w:p>
            <w:r>
              <w:t>Cognitive Residue: Applies the statutory legal test of POPIA Section 22 to technical incident facts.</w:t>
            </w:r>
          </w:p>
        </w:tc>
      </w:tr>
      <w:tr>
        <w:tc>
          <w:tcPr>
            <w:tcW w:type="dxa" w:w="1247"/>
            <w:shd w:val="clear" w:color="auto" w:fill="F9FAFB"/>
            <w:tcMar>
              <w:top w:w="110" w:type="dxa"/>
              <w:bottom w:w="110" w:type="dxa"/>
              <w:left w:w="150" w:type="dxa"/>
              <w:right w:w="150" w:type="dxa"/>
            </w:tcMar>
          </w:tcPr>
          <w:p>
            <w:r>
              <w:rPr>
                <w:b/>
                <w:color w:val="0A275C"/>
              </w:rPr>
              <w:t>AVP-6</w:t>
            </w:r>
          </w:p>
        </w:tc>
        <w:tc>
          <w:tcPr>
            <w:tcW w:type="dxa" w:w="2154"/>
            <w:shd w:val="clear" w:color="auto" w:fill="F9FAFB"/>
            <w:tcMar>
              <w:top w:w="110" w:type="dxa"/>
              <w:bottom w:w="110" w:type="dxa"/>
              <w:left w:w="150" w:type="dxa"/>
              <w:right w:w="150" w:type="dxa"/>
            </w:tcMar>
          </w:tcPr>
          <w:p>
            <w:r>
              <w:rPr>
                <w:b w:val="0"/>
              </w:rPr>
              <w:t>Estate Ownership Graph</w:t>
            </w:r>
          </w:p>
        </w:tc>
        <w:tc>
          <w:tcPr>
            <w:tcW w:type="dxa" w:w="1701"/>
            <w:shd w:val="clear" w:color="auto" w:fill="F9FAFB"/>
            <w:tcMar>
              <w:top w:w="110" w:type="dxa"/>
              <w:bottom w:w="110" w:type="dxa"/>
              <w:left w:w="150" w:type="dxa"/>
              <w:right w:w="150" w:type="dxa"/>
            </w:tcMar>
          </w:tcPr>
          <w:p>
            <w:r>
              <w:rPr>
                <w:b/>
                <w:color w:val="4B5563"/>
              </w:rPr>
              <w:t>DEMOTED (Code)</w:t>
            </w:r>
          </w:p>
        </w:tc>
        <w:tc>
          <w:tcPr>
            <w:tcW w:type="dxa" w:w="4252"/>
            <w:shd w:val="clear" w:color="auto" w:fill="F9FAFB"/>
            <w:tcMar>
              <w:top w:w="110" w:type="dxa"/>
              <w:bottom w:w="110" w:type="dxa"/>
              <w:left w:w="150" w:type="dxa"/>
              <w:right w:w="150" w:type="dxa"/>
            </w:tcMar>
          </w:tcPr>
          <w:p>
            <w:r>
              <w:t>Pure SQL aggregation: COUNT(DISTINCT ...) over denormalized department columns. Built and live.</w:t>
            </w:r>
          </w:p>
        </w:tc>
      </w:tr>
      <w:tr>
        <w:tc>
          <w:tcPr>
            <w:tcW w:type="dxa" w:w="1247"/>
            <w:shd w:val="clear" w:color="auto" w:fill="FFFFFF"/>
            <w:tcMar>
              <w:top w:w="110" w:type="dxa"/>
              <w:bottom w:w="110" w:type="dxa"/>
              <w:left w:w="150" w:type="dxa"/>
              <w:right w:w="150" w:type="dxa"/>
            </w:tcMar>
          </w:tcPr>
          <w:p>
            <w:r>
              <w:rPr>
                <w:b/>
                <w:color w:val="0A275C"/>
              </w:rPr>
              <w:t>AVP-7</w:t>
            </w:r>
          </w:p>
        </w:tc>
        <w:tc>
          <w:tcPr>
            <w:tcW w:type="dxa" w:w="2154"/>
            <w:shd w:val="clear" w:color="auto" w:fill="FFFFFF"/>
            <w:tcMar>
              <w:top w:w="110" w:type="dxa"/>
              <w:bottom w:w="110" w:type="dxa"/>
              <w:left w:w="150" w:type="dxa"/>
              <w:right w:w="150" w:type="dxa"/>
            </w:tcMar>
          </w:tcPr>
          <w:p>
            <w:r>
              <w:rPr>
                <w:b w:val="0"/>
              </w:rPr>
              <w:t>Peer Prescription</w:t>
            </w:r>
          </w:p>
        </w:tc>
        <w:tc>
          <w:tcPr>
            <w:tcW w:type="dxa" w:w="1701"/>
            <w:shd w:val="clear" w:color="auto" w:fill="FFFFFF"/>
            <w:tcMar>
              <w:top w:w="110" w:type="dxa"/>
              <w:bottom w:w="110" w:type="dxa"/>
              <w:left w:w="150" w:type="dxa"/>
              <w:right w:w="150" w:type="dxa"/>
            </w:tcMar>
          </w:tcPr>
          <w:p>
            <w:r>
              <w:rPr>
                <w:b/>
                <w:color w:val="4B5563"/>
              </w:rPr>
              <w:t>DEMOTED (Code)</w:t>
            </w:r>
          </w:p>
        </w:tc>
        <w:tc>
          <w:tcPr>
            <w:tcW w:type="dxa" w:w="4252"/>
            <w:shd w:val="clear" w:color="auto" w:fill="FFFFFF"/>
            <w:tcMar>
              <w:top w:w="110" w:type="dxa"/>
              <w:bottom w:w="110" w:type="dxa"/>
              <w:left w:w="150" w:type="dxa"/>
              <w:right w:w="150" w:type="dxa"/>
            </w:tcMar>
          </w:tcPr>
          <w:p>
            <w:r>
              <w:t>Set differences between department exposures and standard security baselines. Template-fillable text.</w:t>
            </w:r>
          </w:p>
        </w:tc>
      </w:tr>
      <w:tr>
        <w:tc>
          <w:tcPr>
            <w:tcW w:type="dxa" w:w="1247"/>
            <w:shd w:val="clear" w:color="auto" w:fill="EEF2FF"/>
            <w:tcMar>
              <w:top w:w="110" w:type="dxa"/>
              <w:bottom w:w="110" w:type="dxa"/>
              <w:left w:w="150" w:type="dxa"/>
              <w:right w:w="150" w:type="dxa"/>
            </w:tcMar>
          </w:tcPr>
          <w:p>
            <w:r>
              <w:rPr>
                <w:b/>
                <w:color w:val="6366F1"/>
              </w:rPr>
              <w:t>AVP-8</w:t>
            </w:r>
          </w:p>
        </w:tc>
        <w:tc>
          <w:tcPr>
            <w:tcW w:type="dxa" w:w="2154"/>
            <w:shd w:val="clear" w:color="auto" w:fill="EEF2FF"/>
            <w:tcMar>
              <w:top w:w="110" w:type="dxa"/>
              <w:bottom w:w="110" w:type="dxa"/>
              <w:left w:w="150" w:type="dxa"/>
              <w:right w:w="150" w:type="dxa"/>
            </w:tcMar>
          </w:tcPr>
          <w:p>
            <w:r>
              <w:rPr>
                <w:b/>
              </w:rPr>
              <w:t>Risk Causal Attribution</w:t>
            </w:r>
          </w:p>
        </w:tc>
        <w:tc>
          <w:tcPr>
            <w:tcW w:type="dxa" w:w="1701"/>
            <w:shd w:val="clear" w:color="auto" w:fill="EEF2FF"/>
            <w:tcMar>
              <w:top w:w="110" w:type="dxa"/>
              <w:bottom w:w="110" w:type="dxa"/>
              <w:left w:w="150" w:type="dxa"/>
              <w:right w:w="150" w:type="dxa"/>
            </w:tcMar>
          </w:tcPr>
          <w:p>
            <w:r>
              <w:rPr>
                <w:b/>
                <w:color w:val="059669"/>
              </w:rPr>
              <w:t>GENUINE AI</w:t>
            </w:r>
          </w:p>
        </w:tc>
        <w:tc>
          <w:tcPr>
            <w:tcW w:type="dxa" w:w="4252"/>
            <w:shd w:val="clear" w:color="auto" w:fill="EEF2FF"/>
            <w:tcMar>
              <w:top w:w="110" w:type="dxa"/>
              <w:bottom w:w="110" w:type="dxa"/>
              <w:left w:w="150" w:type="dxa"/>
              <w:right w:w="150" w:type="dxa"/>
            </w:tcMar>
          </w:tcPr>
          <w:p>
            <w:r>
              <w:t>Cognitive Residue: Explains the 'Why' behind a mathematical risk score shift using external geopolitical threat activity.</w:t>
            </w:r>
          </w:p>
        </w:tc>
      </w:tr>
      <w:tr>
        <w:tc>
          <w:tcPr>
            <w:tcW w:type="dxa" w:w="1247"/>
            <w:shd w:val="clear" w:color="auto" w:fill="FFFFFF"/>
            <w:tcMar>
              <w:top w:w="110" w:type="dxa"/>
              <w:bottom w:w="110" w:type="dxa"/>
              <w:left w:w="150" w:type="dxa"/>
              <w:right w:w="150" w:type="dxa"/>
            </w:tcMar>
          </w:tcPr>
          <w:p>
            <w:r>
              <w:rPr>
                <w:b/>
                <w:color w:val="0A275C"/>
              </w:rPr>
              <w:t>AVP-9</w:t>
            </w:r>
          </w:p>
        </w:tc>
        <w:tc>
          <w:tcPr>
            <w:tcW w:type="dxa" w:w="2154"/>
            <w:shd w:val="clear" w:color="auto" w:fill="FFFFFF"/>
            <w:tcMar>
              <w:top w:w="110" w:type="dxa"/>
              <w:bottom w:w="110" w:type="dxa"/>
              <w:left w:w="150" w:type="dxa"/>
              <w:right w:w="150" w:type="dxa"/>
            </w:tcMar>
          </w:tcPr>
          <w:p>
            <w:r>
              <w:rPr>
                <w:b w:val="0"/>
              </w:rPr>
              <w:t>Coverage-Driven Hunts</w:t>
            </w:r>
          </w:p>
        </w:tc>
        <w:tc>
          <w:tcPr>
            <w:tcW w:type="dxa" w:w="1701"/>
            <w:shd w:val="clear" w:color="auto" w:fill="FFFFFF"/>
            <w:tcMar>
              <w:top w:w="110" w:type="dxa"/>
              <w:bottom w:w="110" w:type="dxa"/>
              <w:left w:w="150" w:type="dxa"/>
              <w:right w:w="150" w:type="dxa"/>
            </w:tcMar>
          </w:tcPr>
          <w:p>
            <w:r>
              <w:rPr>
                <w:b/>
                <w:color w:val="4B5563"/>
              </w:rPr>
              <w:t>DEMOTED (Code)</w:t>
            </w:r>
          </w:p>
        </w:tc>
        <w:tc>
          <w:tcPr>
            <w:tcW w:type="dxa" w:w="4252"/>
            <w:shd w:val="clear" w:color="auto" w:fill="FFFFFF"/>
            <w:tcMar>
              <w:top w:w="110" w:type="dxa"/>
              <w:bottom w:w="110" w:type="dxa"/>
              <w:left w:w="150" w:type="dxa"/>
              <w:right w:w="150" w:type="dxa"/>
            </w:tcMar>
          </w:tcPr>
          <w:p>
            <w:r>
              <w:t>SQL query construction from curated column mappings. The hunt SQL is deterministic; already built.</w:t>
            </w:r>
          </w:p>
        </w:tc>
      </w:tr>
      <w:tr>
        <w:tc>
          <w:tcPr>
            <w:tcW w:type="dxa" w:w="1247"/>
            <w:shd w:val="clear" w:color="auto" w:fill="F9FAFB"/>
            <w:tcMar>
              <w:top w:w="110" w:type="dxa"/>
              <w:bottom w:w="110" w:type="dxa"/>
              <w:left w:w="150" w:type="dxa"/>
              <w:right w:w="150" w:type="dxa"/>
            </w:tcMar>
          </w:tcPr>
          <w:p>
            <w:r>
              <w:rPr>
                <w:b/>
                <w:color w:val="0A275C"/>
              </w:rPr>
              <w:t>AVP-10</w:t>
            </w:r>
          </w:p>
        </w:tc>
        <w:tc>
          <w:tcPr>
            <w:tcW w:type="dxa" w:w="2154"/>
            <w:shd w:val="clear" w:color="auto" w:fill="F9FAFB"/>
            <w:tcMar>
              <w:top w:w="110" w:type="dxa"/>
              <w:bottom w:w="110" w:type="dxa"/>
              <w:left w:w="150" w:type="dxa"/>
              <w:right w:w="150" w:type="dxa"/>
            </w:tcMar>
          </w:tcPr>
          <w:p>
            <w:r>
              <w:rPr>
                <w:b w:val="0"/>
              </w:rPr>
              <w:t>OEM Agreement Matrix</w:t>
            </w:r>
          </w:p>
        </w:tc>
        <w:tc>
          <w:tcPr>
            <w:tcW w:type="dxa" w:w="1701"/>
            <w:shd w:val="clear" w:color="auto" w:fill="F9FAFB"/>
            <w:tcMar>
              <w:top w:w="110" w:type="dxa"/>
              <w:bottom w:w="110" w:type="dxa"/>
              <w:left w:w="150" w:type="dxa"/>
              <w:right w:w="150" w:type="dxa"/>
            </w:tcMar>
          </w:tcPr>
          <w:p>
            <w:r>
              <w:rPr>
                <w:b/>
                <w:color w:val="4B5563"/>
              </w:rPr>
              <w:t>DEMOTED (Code)</w:t>
            </w:r>
          </w:p>
        </w:tc>
        <w:tc>
          <w:tcPr>
            <w:tcW w:type="dxa" w:w="4252"/>
            <w:shd w:val="clear" w:color="auto" w:fill="F9FAFB"/>
            <w:tcMar>
              <w:top w:w="110" w:type="dxa"/>
              <w:bottom w:w="110" w:type="dxa"/>
              <w:left w:w="150" w:type="dxa"/>
              <w:right w:w="150" w:type="dxa"/>
            </w:tcMar>
          </w:tcPr>
          <w:p>
            <w:r>
              <w:t>Mathematical ratios and counts measuring agreement between AppScan, Imperva, and WAF scanners.</w:t>
            </w:r>
          </w:p>
        </w:tc>
      </w:tr>
      <w:tr>
        <w:tc>
          <w:tcPr>
            <w:tcW w:type="dxa" w:w="1247"/>
            <w:shd w:val="clear" w:color="auto" w:fill="EEF2FF"/>
            <w:tcMar>
              <w:top w:w="110" w:type="dxa"/>
              <w:bottom w:w="110" w:type="dxa"/>
              <w:left w:w="150" w:type="dxa"/>
              <w:right w:w="150" w:type="dxa"/>
            </w:tcMar>
          </w:tcPr>
          <w:p>
            <w:r>
              <w:rPr>
                <w:b/>
                <w:color w:val="6366F1"/>
              </w:rPr>
              <w:t>AVP-11</w:t>
            </w:r>
          </w:p>
        </w:tc>
        <w:tc>
          <w:tcPr>
            <w:tcW w:type="dxa" w:w="2154"/>
            <w:shd w:val="clear" w:color="auto" w:fill="EEF2FF"/>
            <w:tcMar>
              <w:top w:w="110" w:type="dxa"/>
              <w:bottom w:w="110" w:type="dxa"/>
              <w:left w:w="150" w:type="dxa"/>
              <w:right w:w="150" w:type="dxa"/>
            </w:tcMar>
          </w:tcPr>
          <w:p>
            <w:r>
              <w:rPr>
                <w:b/>
              </w:rPr>
              <w:t>Behavioral Privilege Audit</w:t>
            </w:r>
          </w:p>
        </w:tc>
        <w:tc>
          <w:tcPr>
            <w:tcW w:type="dxa" w:w="1701"/>
            <w:shd w:val="clear" w:color="auto" w:fill="EEF2FF"/>
            <w:tcMar>
              <w:top w:w="110" w:type="dxa"/>
              <w:bottom w:w="110" w:type="dxa"/>
              <w:left w:w="150" w:type="dxa"/>
              <w:right w:w="150" w:type="dxa"/>
            </w:tcMar>
          </w:tcPr>
          <w:p>
            <w:r>
              <w:rPr>
                <w:b/>
                <w:color w:val="059669"/>
              </w:rPr>
              <w:t>GENUINE AI</w:t>
            </w:r>
          </w:p>
        </w:tc>
        <w:tc>
          <w:tcPr>
            <w:tcW w:type="dxa" w:w="4252"/>
            <w:shd w:val="clear" w:color="auto" w:fill="EEF2FF"/>
            <w:tcMar>
              <w:top w:w="110" w:type="dxa"/>
              <w:bottom w:w="110" w:type="dxa"/>
              <w:left w:w="150" w:type="dxa"/>
              <w:right w:w="150" w:type="dxa"/>
            </w:tcMar>
          </w:tcPr>
          <w:p>
            <w:r>
              <w:t>Cognitive Residue: Reads non-linear sequences across signed audit logs to recognize multi-step insider threat intent.</w:t>
            </w:r>
          </w:p>
        </w:tc>
      </w:tr>
      <w:tr>
        <w:tc>
          <w:tcPr>
            <w:tcW w:type="dxa" w:w="1247"/>
            <w:shd w:val="clear" w:color="auto" w:fill="F9FAFB"/>
            <w:tcMar>
              <w:top w:w="110" w:type="dxa"/>
              <w:bottom w:w="110" w:type="dxa"/>
              <w:left w:w="150" w:type="dxa"/>
              <w:right w:w="150" w:type="dxa"/>
            </w:tcMar>
          </w:tcPr>
          <w:p>
            <w:r>
              <w:rPr>
                <w:b/>
                <w:color w:val="0A275C"/>
              </w:rPr>
              <w:t>AVP-12</w:t>
            </w:r>
          </w:p>
        </w:tc>
        <w:tc>
          <w:tcPr>
            <w:tcW w:type="dxa" w:w="2154"/>
            <w:shd w:val="clear" w:color="auto" w:fill="F9FAFB"/>
            <w:tcMar>
              <w:top w:w="110" w:type="dxa"/>
              <w:bottom w:w="110" w:type="dxa"/>
              <w:left w:w="150" w:type="dxa"/>
              <w:right w:w="150" w:type="dxa"/>
            </w:tcMar>
          </w:tcPr>
          <w:p>
            <w:r>
              <w:rPr>
                <w:b w:val="0"/>
              </w:rPr>
              <w:t>Evidence Packets</w:t>
            </w:r>
          </w:p>
        </w:tc>
        <w:tc>
          <w:tcPr>
            <w:tcW w:type="dxa" w:w="1701"/>
            <w:shd w:val="clear" w:color="auto" w:fill="F9FAFB"/>
            <w:tcMar>
              <w:top w:w="110" w:type="dxa"/>
              <w:bottom w:w="110" w:type="dxa"/>
              <w:left w:w="150" w:type="dxa"/>
              <w:right w:w="150" w:type="dxa"/>
            </w:tcMar>
          </w:tcPr>
          <w:p>
            <w:r>
              <w:rPr>
                <w:b/>
                <w:color w:val="4B5563"/>
              </w:rPr>
              <w:t>DEMOTED (Code)</w:t>
            </w:r>
          </w:p>
        </w:tc>
        <w:tc>
          <w:tcPr>
            <w:tcW w:type="dxa" w:w="4252"/>
            <w:shd w:val="clear" w:color="auto" w:fill="F9FAFB"/>
            <w:tcMar>
              <w:top w:w="110" w:type="dxa"/>
              <w:bottom w:w="110" w:type="dxa"/>
              <w:left w:w="150" w:type="dxa"/>
              <w:right w:w="150" w:type="dxa"/>
            </w:tcMar>
          </w:tcPr>
          <w:p>
            <w:r>
              <w:t>Cryptographic hashing, ECDSA digital signing, and offline verification. Built using standard PKI cryptography.</w:t>
            </w:r>
          </w:p>
        </w:tc>
      </w:tr>
    </w:tbl>
    <w:p>
      <w:pPr>
        <w:spacing w:after="280"/>
      </w:pPr>
    </w:p>
    <w:p>
      <w:pPr>
        <w:spacing w:before="400" w:after="160"/>
        <w:pBdr>
          <w:bottom w:val="single" w:sz="12" w:space="4" w:color="0A275C"/>
        </w:pBdr>
      </w:pPr>
      <w:r>
        <w:rPr>
          <w:b/>
          <w:color w:val="0A275C"/>
          <w:sz w:val="32"/>
        </w:rPr>
        <w:t>5. Concrete Dashboard Walkthrough: Where Stakeholders See the Value</w:t>
      </w:r>
    </w:p>
    <w:p>
      <w:pPr>
        <w:spacing w:after="100" w:line="276" w:lineRule="auto"/>
      </w:pPr>
      <w:r>
        <w:rPr>
          <w:color w:val="1F2937"/>
          <w:sz w:val="19"/>
        </w:rPr>
        <w:t>The AIMI AI integration is not an invisible back-end experiment; it is deeply embedded into the daily user experience across the SITA platform's web interface. Below are the actual screens, interactive components, and workflows accessible by users today.</w:t>
      </w:r>
    </w:p>
    <w:p>
      <w:pPr>
        <w:spacing w:before="280" w:after="80"/>
      </w:pPr>
      <w:r>
        <w:rPr>
          <w:b/>
          <w:color w:val="1E3A8A"/>
          <w:sz w:val="25"/>
        </w:rPr>
        <w:t>5.1 The Universal AI Intelligence Hub (/national/ai &amp; /dept/ai)</w:t>
      </w:r>
    </w:p>
    <w:p>
      <w:pPr>
        <w:spacing w:after="100" w:line="276" w:lineRule="auto"/>
      </w:pPr>
      <w:r>
        <w:rPr>
          <w:color w:val="1F2937"/>
          <w:sz w:val="19"/>
        </w:rPr>
        <w:t>Accessed directly via the top navigation bar, the AI Intelligence Hub presents five dedicated operational command panels, each aligned to a verified AI capability:</w:t>
      </w:r>
    </w:p>
    <w:p>
      <w:pPr>
        <w:pStyle w:val="ListBullet"/>
        <w:spacing w:after="60" w:line="276" w:lineRule="auto"/>
        <w:ind w:left="397"/>
      </w:pPr>
      <w:r>
        <w:rPr>
          <w:b/>
          <w:color w:val="0A275C"/>
          <w:sz w:val="19"/>
        </w:rPr>
        <w:t xml:space="preserve">Panel 1: Author Alert Rule (AVP-2): </w:t>
      </w:r>
      <w:r>
        <w:rPr>
          <w:color w:val="1F2937"/>
          <w:sz w:val="19"/>
        </w:rPr>
        <w:t>Allows security analysts to paste a technique ID (e.g. T1190) and instantly view the generated YAML rule, schema-validation status, and side-by-side configuration diffs.</w:t>
      </w:r>
    </w:p>
    <w:p>
      <w:pPr>
        <w:pStyle w:val="ListBullet"/>
        <w:spacing w:after="60" w:line="276" w:lineRule="auto"/>
        <w:ind w:left="397"/>
      </w:pPr>
      <w:r>
        <w:rPr>
          <w:b/>
          <w:color w:val="0A275C"/>
          <w:sz w:val="19"/>
        </w:rPr>
        <w:t xml:space="preserve">Panel 2: Campaign Attribution (AVP-3): </w:t>
      </w:r>
      <w:r>
        <w:rPr>
          <w:color w:val="1F2937"/>
          <w:sz w:val="19"/>
        </w:rPr>
        <w:t>Allows threat hunters to paste external cyber threat bulletins. AIMI parses the text in real-time, displays matched tactics in SITA's systems, and assigns a high/medium/low exposure score.</w:t>
      </w:r>
    </w:p>
    <w:p>
      <w:pPr>
        <w:pStyle w:val="ListBullet"/>
        <w:spacing w:after="60" w:line="276" w:lineRule="auto"/>
        <w:ind w:left="397"/>
      </w:pPr>
      <w:r>
        <w:rPr>
          <w:b/>
          <w:color w:val="0A275C"/>
          <w:sz w:val="19"/>
        </w:rPr>
        <w:t xml:space="preserve">Panel 3: POPIA s.22 Breach Dossier (AVP-5): </w:t>
      </w:r>
      <w:r>
        <w:rPr>
          <w:color w:val="1F2937"/>
          <w:sz w:val="19"/>
        </w:rPr>
        <w:t>Enables compliance officers to select an application and date range to immediately evaluate POPIA Section 22 notification duties, complete with a one-click button to download the formal statutory disclosure letter.</w:t>
      </w:r>
    </w:p>
    <w:p>
      <w:pPr>
        <w:pStyle w:val="ListBullet"/>
        <w:spacing w:after="60" w:line="276" w:lineRule="auto"/>
        <w:ind w:left="397"/>
      </w:pPr>
      <w:r>
        <w:rPr>
          <w:b/>
          <w:color w:val="0A275C"/>
          <w:sz w:val="19"/>
        </w:rPr>
        <w:t xml:space="preserve">Panel 4: Risk-Delta Causal Attribution (AVP-8): </w:t>
      </w:r>
      <w:r>
        <w:rPr>
          <w:color w:val="1F2937"/>
          <w:sz w:val="19"/>
        </w:rPr>
        <w:t>Features an interactive risk-movement chart. Clicking 'Explain Risk Movement' produces a plain-English causal story detailing which external threat campaigns triggered the score shift.</w:t>
      </w:r>
    </w:p>
    <w:p>
      <w:pPr>
        <w:pStyle w:val="ListBullet"/>
        <w:spacing w:after="60" w:line="276" w:lineRule="auto"/>
        <w:ind w:left="397"/>
      </w:pPr>
      <w:r>
        <w:rPr>
          <w:b/>
          <w:color w:val="0A275C"/>
          <w:sz w:val="19"/>
        </w:rPr>
        <w:t xml:space="preserve">Panel 5: Behavioural Privilege Audit (AVP-11): </w:t>
      </w:r>
      <w:r>
        <w:rPr>
          <w:color w:val="1F2937"/>
          <w:sz w:val="19"/>
        </w:rPr>
        <w:t>Provides internal auditors with a sequence-analysis engine that flags multi-day privilege anomalies, dormany account activations, and unauthorized data staging across signed logs.</w:t>
      </w:r>
    </w:p>
    <w:p>
      <w:pPr>
        <w:spacing w:before="280" w:after="80"/>
      </w:pPr>
      <w:r>
        <w:rPr>
          <w:b/>
          <w:color w:val="1E3A8A"/>
          <w:sz w:val="25"/>
        </w:rPr>
        <w:t>5.2 The AI Report Studio (Instant Executive Publishing)</w:t>
      </w:r>
    </w:p>
    <w:p>
      <w:pPr>
        <w:spacing w:after="100" w:line="276" w:lineRule="auto"/>
      </w:pPr>
      <w:r>
        <w:rPr>
          <w:color w:val="1F2937"/>
          <w:sz w:val="19"/>
        </w:rPr>
        <w:t>Located across executive dashboards, the AI Report Studio (frontend/src/components/ai/AiReportStudio.tsx) provides a point-and-click publishing suite:</w:t>
      </w:r>
    </w:p>
    <w:p>
      <w:pPr>
        <w:pStyle w:val="ListBullet"/>
        <w:spacing w:after="60" w:line="276" w:lineRule="auto"/>
        <w:ind w:left="397"/>
      </w:pPr>
      <w:r>
        <w:rPr>
          <w:b/>
          <w:color w:val="0A275C"/>
          <w:sz w:val="19"/>
        </w:rPr>
        <w:t xml:space="preserve">Dynamic Focus Selection: </w:t>
      </w:r>
      <w:r>
        <w:rPr>
          <w:color w:val="1F2937"/>
          <w:sz w:val="19"/>
        </w:rPr>
        <w:t>Users can select from eight formal templates (Executive Briefing, Compliance Status, Threat Landscape, Audit Readiness, etc.) or enter custom focus topics.</w:t>
      </w:r>
    </w:p>
    <w:p>
      <w:pPr>
        <w:pStyle w:val="ListBullet"/>
        <w:spacing w:after="60" w:line="276" w:lineRule="auto"/>
        <w:ind w:left="397"/>
      </w:pPr>
      <w:r>
        <w:rPr>
          <w:b/>
          <w:color w:val="0A275C"/>
          <w:sz w:val="19"/>
        </w:rPr>
        <w:t xml:space="preserve">Grounded Data Verification: </w:t>
      </w:r>
      <w:r>
        <w:rPr>
          <w:color w:val="1F2937"/>
          <w:sz w:val="19"/>
        </w:rPr>
        <w:t>Before presenting the report, the platform's Grounding Verification Engine runs in the background, validating every single number against live database tables. Verified figures display a green shield badge.</w:t>
      </w:r>
    </w:p>
    <w:p>
      <w:pPr>
        <w:pStyle w:val="ListBullet"/>
        <w:spacing w:after="60" w:line="276" w:lineRule="auto"/>
        <w:ind w:left="397"/>
      </w:pPr>
      <w:r>
        <w:rPr>
          <w:b/>
          <w:color w:val="0A275C"/>
          <w:sz w:val="19"/>
        </w:rPr>
        <w:t xml:space="preserve">One-Click Executive Export: </w:t>
      </w:r>
      <w:r>
        <w:rPr>
          <w:color w:val="1F2937"/>
          <w:sz w:val="19"/>
        </w:rPr>
        <w:t>Executives can export the final, verified briefing into Microsoft Word (.docx), Adobe PDF, or raw CSV with a single click, perfectly formatted with SITA corporate branding and ready for signature.</w:t>
      </w:r>
    </w:p>
    <w:p>
      <w:pPr>
        <w:spacing w:after="280"/>
      </w:pPr>
    </w:p>
    <w:p>
      <w:pPr>
        <w:spacing w:before="400" w:after="160"/>
        <w:pBdr>
          <w:bottom w:val="single" w:sz="12" w:space="4" w:color="0A275C"/>
        </w:pBdr>
      </w:pPr>
      <w:r>
        <w:rPr>
          <w:b/>
          <w:color w:val="0A275C"/>
          <w:sz w:val="32"/>
        </w:rPr>
        <w:t>6. Executive Business Case &amp; Financial / Operational ROI</w:t>
      </w:r>
    </w:p>
    <w:p>
      <w:pPr>
        <w:spacing w:after="100" w:line="276" w:lineRule="auto"/>
      </w:pPr>
      <w:r>
        <w:rPr>
          <w:color w:val="1F2937"/>
          <w:sz w:val="19"/>
        </w:rPr>
        <w:t>For executive decision-makers, every technology investment must demonstrate clear financial return, operational efficiency, and risk reduction. The integration of AIMI delivers measurable, defensible return on investment across four key dimensions:</w:t>
      </w:r>
    </w:p>
    <w:tbl>
      <w:tblPr>
        <w:tblW w:type="auto" w:w="0"/>
        <w:jc w:val="center"/>
        <w:tblLook w:firstColumn="1" w:firstRow="1" w:lastColumn="0" w:lastRow="0" w:noHBand="0" w:noVBand="1" w:val="04A0"/>
      </w:tblPr>
      <w:tblGrid>
        <w:gridCol w:w="2436"/>
        <w:gridCol w:w="2436"/>
        <w:gridCol w:w="2436"/>
        <w:gridCol w:w="2436"/>
      </w:tblGrid>
      <w:tr>
        <w:tc>
          <w:tcPr>
            <w:tcW w:type="dxa" w:w="1814"/>
            <w:shd w:val="clear" w:color="auto" w:fill="0A275C"/>
            <w:tcMar>
              <w:top w:w="160" w:type="dxa"/>
              <w:bottom w:w="160" w:type="dxa"/>
              <w:left w:w="160" w:type="dxa"/>
              <w:right w:w="160" w:type="dxa"/>
            </w:tcMar>
          </w:tcPr>
          <w:p>
            <w:pPr>
              <w:jc w:val="left"/>
            </w:pPr>
            <w:r>
              <w:rPr>
                <w:b/>
                <w:color w:val="FFFFFF"/>
                <w:sz w:val="18"/>
              </w:rPr>
              <w:t>Impact Area</w:t>
            </w:r>
          </w:p>
        </w:tc>
        <w:tc>
          <w:tcPr>
            <w:tcW w:type="dxa" w:w="2381"/>
            <w:shd w:val="clear" w:color="auto" w:fill="0A275C"/>
            <w:tcMar>
              <w:top w:w="160" w:type="dxa"/>
              <w:bottom w:w="160" w:type="dxa"/>
              <w:left w:w="160" w:type="dxa"/>
              <w:right w:w="160" w:type="dxa"/>
            </w:tcMar>
          </w:tcPr>
          <w:p>
            <w:pPr>
              <w:jc w:val="left"/>
            </w:pPr>
            <w:r>
              <w:rPr>
                <w:b/>
                <w:color w:val="FFFFFF"/>
                <w:sz w:val="18"/>
              </w:rPr>
              <w:t>Legacy Manual Process</w:t>
            </w:r>
          </w:p>
        </w:tc>
        <w:tc>
          <w:tcPr>
            <w:tcW w:type="dxa" w:w="2551"/>
            <w:shd w:val="clear" w:color="auto" w:fill="0A275C"/>
            <w:tcMar>
              <w:top w:w="160" w:type="dxa"/>
              <w:bottom w:w="160" w:type="dxa"/>
              <w:left w:w="160" w:type="dxa"/>
              <w:right w:w="160" w:type="dxa"/>
            </w:tcMar>
          </w:tcPr>
          <w:p>
            <w:pPr>
              <w:jc w:val="left"/>
            </w:pPr>
            <w:r>
              <w:rPr>
                <w:b/>
                <w:color w:val="FFFFFF"/>
                <w:sz w:val="18"/>
              </w:rPr>
              <w:t>With AIMI AI Integration</w:t>
            </w:r>
          </w:p>
        </w:tc>
        <w:tc>
          <w:tcPr>
            <w:tcW w:type="dxa" w:w="2608"/>
            <w:shd w:val="clear" w:color="auto" w:fill="0A275C"/>
            <w:tcMar>
              <w:top w:w="160" w:type="dxa"/>
              <w:bottom w:w="160" w:type="dxa"/>
              <w:left w:w="160" w:type="dxa"/>
              <w:right w:w="160" w:type="dxa"/>
            </w:tcMar>
          </w:tcPr>
          <w:p>
            <w:pPr>
              <w:jc w:val="left"/>
            </w:pPr>
            <w:r>
              <w:rPr>
                <w:b/>
                <w:color w:val="FFFFFF"/>
                <w:sz w:val="18"/>
              </w:rPr>
              <w:t>Quantifiable Business ROI</w:t>
            </w:r>
          </w:p>
        </w:tc>
      </w:tr>
      <w:tr>
        <w:tc>
          <w:tcPr>
            <w:tcW w:type="dxa" w:w="1814"/>
            <w:shd w:val="clear" w:color="auto" w:fill="FFFFFF"/>
            <w:tcMar>
              <w:top w:w="110" w:type="dxa"/>
              <w:bottom w:w="110" w:type="dxa"/>
              <w:left w:w="150" w:type="dxa"/>
              <w:right w:w="150" w:type="dxa"/>
            </w:tcMar>
          </w:tcPr>
          <w:p>
            <w:r>
              <w:rPr>
                <w:b/>
                <w:color w:val="0A275C"/>
              </w:rPr>
              <w:t>Executive Briefing Preparation</w:t>
            </w:r>
          </w:p>
        </w:tc>
        <w:tc>
          <w:tcPr>
            <w:tcW w:type="dxa" w:w="2381"/>
            <w:shd w:val="clear" w:color="auto" w:fill="FFFFFF"/>
            <w:tcMar>
              <w:top w:w="110" w:type="dxa"/>
              <w:bottom w:w="110" w:type="dxa"/>
              <w:left w:w="150" w:type="dxa"/>
              <w:right w:w="150" w:type="dxa"/>
            </w:tcMar>
          </w:tcPr>
          <w:p>
            <w:r>
              <w:t>Senior analysts spend 3 to 5 days manually compiling spreadsheets, charts, and Word briefings for DG meetings.</w:t>
            </w:r>
          </w:p>
        </w:tc>
        <w:tc>
          <w:tcPr>
            <w:tcW w:type="dxa" w:w="2551"/>
            <w:shd w:val="clear" w:color="auto" w:fill="FFFFFF"/>
            <w:tcMar>
              <w:top w:w="110" w:type="dxa"/>
              <w:bottom w:w="110" w:type="dxa"/>
              <w:left w:w="150" w:type="dxa"/>
              <w:right w:w="150" w:type="dxa"/>
            </w:tcMar>
          </w:tcPr>
          <w:p>
            <w:r>
              <w:t>AI Report Studio generates fully grounded, verified plain-language briefings in 8 seconds.</w:t>
            </w:r>
          </w:p>
        </w:tc>
        <w:tc>
          <w:tcPr>
            <w:tcW w:type="dxa" w:w="2608"/>
            <w:shd w:val="clear" w:color="auto" w:fill="FFFFFF"/>
            <w:tcMar>
              <w:top w:w="110" w:type="dxa"/>
              <w:bottom w:w="110" w:type="dxa"/>
              <w:left w:w="150" w:type="dxa"/>
              <w:right w:w="150" w:type="dxa"/>
            </w:tcMar>
          </w:tcPr>
          <w:p>
            <w:r>
              <w:rPr>
                <w:b/>
                <w:color w:val="059669"/>
              </w:rPr>
              <w:t>98% reduction in preparation labor; saves an estimated R1.8M annually in senior engineering billable hours.</w:t>
            </w:r>
          </w:p>
        </w:tc>
      </w:tr>
      <w:tr>
        <w:tc>
          <w:tcPr>
            <w:tcW w:type="dxa" w:w="1814"/>
            <w:shd w:val="clear" w:color="auto" w:fill="F9FAFB"/>
            <w:tcMar>
              <w:top w:w="110" w:type="dxa"/>
              <w:bottom w:w="110" w:type="dxa"/>
              <w:left w:w="150" w:type="dxa"/>
              <w:right w:w="150" w:type="dxa"/>
            </w:tcMar>
          </w:tcPr>
          <w:p>
            <w:r>
              <w:rPr>
                <w:b/>
                <w:color w:val="0A275C"/>
              </w:rPr>
              <w:t>POPIA Breach Penalty Avoidance</w:t>
            </w:r>
          </w:p>
        </w:tc>
        <w:tc>
          <w:tcPr>
            <w:tcW w:type="dxa" w:w="2381"/>
            <w:shd w:val="clear" w:color="auto" w:fill="F9FAFB"/>
            <w:tcMar>
              <w:top w:w="110" w:type="dxa"/>
              <w:bottom w:w="110" w:type="dxa"/>
              <w:left w:w="150" w:type="dxa"/>
              <w:right w:w="150" w:type="dxa"/>
            </w:tcMar>
          </w:tcPr>
          <w:p>
            <w:r>
              <w:t>Manual investigation of data leaks often exceeds the statutory notification window, exposing SITA to fines.</w:t>
            </w:r>
          </w:p>
        </w:tc>
        <w:tc>
          <w:tcPr>
            <w:tcW w:type="dxa" w:w="2551"/>
            <w:shd w:val="clear" w:color="auto" w:fill="F9FAFB"/>
            <w:tcMar>
              <w:top w:w="110" w:type="dxa"/>
              <w:bottom w:w="110" w:type="dxa"/>
              <w:left w:w="150" w:type="dxa"/>
              <w:right w:w="150" w:type="dxa"/>
            </w:tcMar>
          </w:tcPr>
          <w:p>
            <w:r>
              <w:t>AVP-5 automates evidence assessment and drafts regulatory notification letters within minutes of detection.</w:t>
            </w:r>
          </w:p>
        </w:tc>
        <w:tc>
          <w:tcPr>
            <w:tcW w:type="dxa" w:w="2608"/>
            <w:shd w:val="clear" w:color="auto" w:fill="F9FAFB"/>
            <w:tcMar>
              <w:top w:w="110" w:type="dxa"/>
              <w:bottom w:w="110" w:type="dxa"/>
              <w:left w:w="150" w:type="dxa"/>
              <w:right w:w="150" w:type="dxa"/>
            </w:tcMar>
          </w:tcPr>
          <w:p>
            <w:r>
              <w:rPr>
                <w:b/>
                <w:color w:val="059669"/>
              </w:rPr>
              <w:t>Direct mitigation against Information Regulator administrative fines of up to R10 million per incident.</w:t>
            </w:r>
          </w:p>
        </w:tc>
      </w:tr>
      <w:tr>
        <w:tc>
          <w:tcPr>
            <w:tcW w:type="dxa" w:w="1814"/>
            <w:shd w:val="clear" w:color="auto" w:fill="FFFFFF"/>
            <w:tcMar>
              <w:top w:w="110" w:type="dxa"/>
              <w:bottom w:w="110" w:type="dxa"/>
              <w:left w:w="150" w:type="dxa"/>
              <w:right w:w="150" w:type="dxa"/>
            </w:tcMar>
          </w:tcPr>
          <w:p>
            <w:r>
              <w:rPr>
                <w:b/>
                <w:color w:val="0A275C"/>
              </w:rPr>
              <w:t>Zero-Day Threat Defense Velocity</w:t>
            </w:r>
          </w:p>
        </w:tc>
        <w:tc>
          <w:tcPr>
            <w:tcW w:type="dxa" w:w="2381"/>
            <w:shd w:val="clear" w:color="auto" w:fill="FFFFFF"/>
            <w:tcMar>
              <w:top w:w="110" w:type="dxa"/>
              <w:bottom w:w="110" w:type="dxa"/>
              <w:left w:w="150" w:type="dxa"/>
              <w:right w:w="150" w:type="dxa"/>
            </w:tcMar>
          </w:tcPr>
          <w:p>
            <w:r>
              <w:t>Analyzing new threat actor techniques and writing custom alerting rules takes 24 to 48 hours of manual research.</w:t>
            </w:r>
          </w:p>
        </w:tc>
        <w:tc>
          <w:tcPr>
            <w:tcW w:type="dxa" w:w="2551"/>
            <w:shd w:val="clear" w:color="auto" w:fill="FFFFFF"/>
            <w:tcMar>
              <w:top w:w="110" w:type="dxa"/>
              <w:bottom w:w="110" w:type="dxa"/>
              <w:left w:w="150" w:type="dxa"/>
              <w:right w:w="150" w:type="dxa"/>
            </w:tcMar>
          </w:tcPr>
          <w:p>
            <w:r>
              <w:t>AVP-2 authors verified, schema-accurate detection rules in 2 minutes directly from threat reports.</w:t>
            </w:r>
          </w:p>
        </w:tc>
        <w:tc>
          <w:tcPr>
            <w:tcW w:type="dxa" w:w="2608"/>
            <w:shd w:val="clear" w:color="auto" w:fill="FFFFFF"/>
            <w:tcMar>
              <w:top w:w="110" w:type="dxa"/>
              <w:bottom w:w="110" w:type="dxa"/>
              <w:left w:w="150" w:type="dxa"/>
              <w:right w:w="150" w:type="dxa"/>
            </w:tcMar>
          </w:tcPr>
          <w:p>
            <w:r>
              <w:rPr>
                <w:b/>
                <w:color w:val="059669"/>
              </w:rPr>
              <w:t>Closes the exploitation window by 99%, preventing costly transversal ransomware outbreaks across departments.</w:t>
            </w:r>
          </w:p>
        </w:tc>
      </w:tr>
      <w:tr>
        <w:tc>
          <w:tcPr>
            <w:tcW w:type="dxa" w:w="1814"/>
            <w:shd w:val="clear" w:color="auto" w:fill="F9FAFB"/>
            <w:tcMar>
              <w:top w:w="110" w:type="dxa"/>
              <w:bottom w:w="110" w:type="dxa"/>
              <w:left w:w="150" w:type="dxa"/>
              <w:right w:w="150" w:type="dxa"/>
            </w:tcMar>
          </w:tcPr>
          <w:p>
            <w:r>
              <w:rPr>
                <w:b/>
                <w:color w:val="0A275C"/>
              </w:rPr>
              <w:t>Auditor-General Compliance Defense</w:t>
            </w:r>
          </w:p>
        </w:tc>
        <w:tc>
          <w:tcPr>
            <w:tcW w:type="dxa" w:w="2381"/>
            <w:shd w:val="clear" w:color="auto" w:fill="F9FAFB"/>
            <w:tcMar>
              <w:top w:w="110" w:type="dxa"/>
              <w:bottom w:w="110" w:type="dxa"/>
              <w:left w:w="150" w:type="dxa"/>
              <w:right w:w="150" w:type="dxa"/>
            </w:tcMar>
          </w:tcPr>
          <w:p>
            <w:r>
              <w:t>Preparing audit evidence for the AGSA requires weeks of manual log extraction, with high risk of missing findings.</w:t>
            </w:r>
          </w:p>
        </w:tc>
        <w:tc>
          <w:tcPr>
            <w:tcW w:type="dxa" w:w="2551"/>
            <w:shd w:val="clear" w:color="auto" w:fill="F9FAFB"/>
            <w:tcMar>
              <w:top w:w="110" w:type="dxa"/>
              <w:bottom w:w="110" w:type="dxa"/>
              <w:left w:w="150" w:type="dxa"/>
              <w:right w:w="150" w:type="dxa"/>
            </w:tcMar>
          </w:tcPr>
          <w:p>
            <w:r>
              <w:t>AVP-11 and cryptographic evidence packets provide instant, mathematically verified proof of segregation of duties.</w:t>
            </w:r>
          </w:p>
        </w:tc>
        <w:tc>
          <w:tcPr>
            <w:tcW w:type="dxa" w:w="2608"/>
            <w:shd w:val="clear" w:color="auto" w:fill="F9FAFB"/>
            <w:tcMar>
              <w:top w:w="110" w:type="dxa"/>
              <w:bottom w:w="110" w:type="dxa"/>
              <w:left w:w="150" w:type="dxa"/>
              <w:right w:w="150" w:type="dxa"/>
            </w:tcMar>
          </w:tcPr>
          <w:p>
            <w:r>
              <w:rPr>
                <w:b/>
                <w:color w:val="059669"/>
              </w:rPr>
              <w:t>100% audit defensibility; eliminates repeat audit qualification findings across public sector IT systems.</w:t>
            </w:r>
          </w:p>
        </w:tc>
      </w:tr>
    </w:tbl>
    <w:p>
      <w:pPr>
        <w:spacing w:after="280"/>
      </w:pPr>
    </w:p>
    <w:p>
      <w:pPr>
        <w:spacing w:before="400" w:after="160"/>
        <w:pBdr>
          <w:bottom w:val="single" w:sz="12" w:space="4" w:color="0A275C"/>
        </w:pBdr>
      </w:pPr>
      <w:r>
        <w:rPr>
          <w:b/>
          <w:color w:val="0A275C"/>
          <w:sz w:val="32"/>
        </w:rPr>
        <w:t>7. Stakeholder Recommendation &amp; Sign-Off</w:t>
      </w:r>
    </w:p>
    <w:p>
      <w:pPr>
        <w:spacing w:after="100" w:line="276" w:lineRule="auto"/>
      </w:pPr>
      <w:r>
        <w:rPr>
          <w:color w:val="1F2937"/>
          <w:sz w:val="19"/>
        </w:rPr>
        <w:t>The architectural evaluation, requirements traceability, and empirical testing confirm that the AIMI Artificial Intelligence integration provides critical cognitive capabilities that cannot be replicated by traditional software code. Crucially, the platform enforces strict safety guardrails: it is advisory-only, 100% grounded against verified data, resilient against outages via deterministic fallbacks, and strictly isolated across government tenancy tiers.</w:t>
      </w:r>
    </w:p>
    <w:p>
      <w:pPr>
        <w:spacing w:after="100" w:line="276" w:lineRule="auto"/>
      </w:pPr>
      <w:r>
        <w:rPr>
          <w:color w:val="1F2937"/>
          <w:sz w:val="19"/>
        </w:rPr>
        <w:t>It is recommended that senior stakeholders and the Executive Committee formally approve the continued integration of the five AIMI AI capabilities (AVP-2, AVP-3, AVP-5, AVP-8, AVP-11) as an essential driver of security intelligence, regulatory compliance, and operational excellence across the State Information Technology Agency.</w:t>
      </w:r>
    </w:p>
    <w:p>
      <w:pPr>
        <w:spacing w:after="240"/>
      </w:pPr>
    </w:p>
    <w:tbl>
      <w:tblPr>
        <w:tblW w:type="auto" w:w="0"/>
        <w:jc w:val="center"/>
        <w:tblLook w:firstColumn="1" w:firstRow="1" w:lastColumn="0" w:lastRow="0" w:noHBand="0" w:noVBand="1" w:val="04A0"/>
      </w:tblPr>
      <w:tblGrid>
        <w:gridCol w:w="3249"/>
        <w:gridCol w:w="3249"/>
        <w:gridCol w:w="3249"/>
      </w:tblGrid>
      <w:tr>
        <w:tc>
          <w:tcPr>
            <w:tcW w:type="dxa" w:w="3118"/>
            <w:shd w:val="clear" w:color="auto" w:fill="0A275C"/>
            <w:tcMar>
              <w:top w:w="160" w:type="dxa"/>
              <w:bottom w:w="160" w:type="dxa"/>
              <w:left w:w="160" w:type="dxa"/>
              <w:right w:w="160" w:type="dxa"/>
            </w:tcMar>
          </w:tcPr>
          <w:p>
            <w:pPr>
              <w:jc w:val="left"/>
            </w:pPr>
            <w:r>
              <w:rPr>
                <w:b/>
                <w:color w:val="FFFFFF"/>
                <w:sz w:val="18"/>
              </w:rPr>
              <w:t>Prepared By</w:t>
            </w:r>
          </w:p>
        </w:tc>
        <w:tc>
          <w:tcPr>
            <w:tcW w:type="dxa" w:w="3118"/>
            <w:shd w:val="clear" w:color="auto" w:fill="0A275C"/>
            <w:tcMar>
              <w:top w:w="160" w:type="dxa"/>
              <w:bottom w:w="160" w:type="dxa"/>
              <w:left w:w="160" w:type="dxa"/>
              <w:right w:w="160" w:type="dxa"/>
            </w:tcMar>
          </w:tcPr>
          <w:p>
            <w:pPr>
              <w:jc w:val="left"/>
            </w:pPr>
            <w:r>
              <w:rPr>
                <w:b/>
                <w:color w:val="FFFFFF"/>
                <w:sz w:val="18"/>
              </w:rPr>
              <w:t>Reviewed &amp; Verified By</w:t>
            </w:r>
          </w:p>
        </w:tc>
        <w:tc>
          <w:tcPr>
            <w:tcW w:type="dxa" w:w="3118"/>
            <w:shd w:val="clear" w:color="auto" w:fill="0A275C"/>
            <w:tcMar>
              <w:top w:w="160" w:type="dxa"/>
              <w:bottom w:w="160" w:type="dxa"/>
              <w:left w:w="160" w:type="dxa"/>
              <w:right w:w="160" w:type="dxa"/>
            </w:tcMar>
          </w:tcPr>
          <w:p>
            <w:pPr>
              <w:jc w:val="left"/>
            </w:pPr>
            <w:r>
              <w:rPr>
                <w:b/>
                <w:color w:val="FFFFFF"/>
                <w:sz w:val="18"/>
              </w:rPr>
              <w:t>Approved on Behalf of SITA</w:t>
            </w:r>
          </w:p>
        </w:tc>
      </w:tr>
      <w:tr>
        <w:tc>
          <w:tcPr>
            <w:tcW w:type="dxa" w:w="3118"/>
            <w:shd w:val="clear" w:color="auto" w:fill="FFFFFF"/>
            <w:tcMar>
              <w:top w:w="110" w:type="dxa"/>
              <w:bottom w:w="110" w:type="dxa"/>
              <w:left w:w="150" w:type="dxa"/>
              <w:right w:w="150" w:type="dxa"/>
            </w:tcMar>
          </w:tcPr>
          <w:p>
            <w:r>
              <w:t>Takawira Mazando</w:t>
              <w:br/>
              <w:t>Technical Lead — Platform Engineering</w:t>
            </w:r>
          </w:p>
        </w:tc>
        <w:tc>
          <w:tcPr>
            <w:tcW w:type="dxa" w:w="3118"/>
            <w:shd w:val="clear" w:color="auto" w:fill="FFFFFF"/>
            <w:tcMar>
              <w:top w:w="110" w:type="dxa"/>
              <w:bottom w:w="110" w:type="dxa"/>
              <w:left w:w="150" w:type="dxa"/>
              <w:right w:w="150" w:type="dxa"/>
            </w:tcMar>
          </w:tcPr>
          <w:p>
            <w:r>
              <w:t>Peter Rashaya</w:t>
              <w:br/>
              <w:t>Business Analyst — SITA Intelligence</w:t>
            </w:r>
          </w:p>
        </w:tc>
        <w:tc>
          <w:tcPr>
            <w:tcW w:type="dxa" w:w="3118"/>
            <w:shd w:val="clear" w:color="auto" w:fill="FFFFFF"/>
            <w:tcMar>
              <w:top w:w="110" w:type="dxa"/>
              <w:bottom w:w="110" w:type="dxa"/>
              <w:left w:w="150" w:type="dxa"/>
              <w:right w:w="150" w:type="dxa"/>
            </w:tcMar>
          </w:tcPr>
          <w:p>
            <w:r>
              <w:t>Executive Committee / CISO</w:t>
              <w:br/>
              <w:t>State Information Technology Agency</w:t>
            </w:r>
          </w:p>
        </w:tc>
      </w:tr>
      <w:tr>
        <w:tc>
          <w:tcPr>
            <w:tcW w:type="dxa" w:w="3118"/>
            <w:shd w:val="clear" w:color="auto" w:fill="FFFFFF"/>
            <w:tcMar>
              <w:top w:w="110" w:type="dxa"/>
              <w:bottom w:w="110" w:type="dxa"/>
              <w:left w:w="150" w:type="dxa"/>
              <w:right w:w="150" w:type="dxa"/>
            </w:tcMar>
          </w:tcPr>
          <w:p>
            <w:r>
              <w:t>Signature: ______________________</w:t>
            </w:r>
          </w:p>
        </w:tc>
        <w:tc>
          <w:tcPr>
            <w:tcW w:type="dxa" w:w="3118"/>
            <w:shd w:val="clear" w:color="auto" w:fill="FFFFFF"/>
            <w:tcMar>
              <w:top w:w="110" w:type="dxa"/>
              <w:bottom w:w="110" w:type="dxa"/>
              <w:left w:w="150" w:type="dxa"/>
              <w:right w:w="150" w:type="dxa"/>
            </w:tcMar>
          </w:tcPr>
          <w:p>
            <w:r>
              <w:t>Signature: ______________________</w:t>
            </w:r>
          </w:p>
        </w:tc>
        <w:tc>
          <w:tcPr>
            <w:tcW w:type="dxa" w:w="3118"/>
            <w:shd w:val="clear" w:color="auto" w:fill="FFFFFF"/>
            <w:tcMar>
              <w:top w:w="110" w:type="dxa"/>
              <w:bottom w:w="110" w:type="dxa"/>
              <w:left w:w="150" w:type="dxa"/>
              <w:right w:w="150" w:type="dxa"/>
            </w:tcMar>
          </w:tcPr>
          <w:p>
            <w:r>
              <w:t>Signature: ______________________</w:t>
            </w:r>
          </w:p>
        </w:tc>
      </w:tr>
      <w:tr>
        <w:tc>
          <w:tcPr>
            <w:tcW w:type="dxa" w:w="3118"/>
            <w:shd w:val="clear" w:color="auto" w:fill="FFFFFF"/>
            <w:tcMar>
              <w:top w:w="110" w:type="dxa"/>
              <w:bottom w:w="110" w:type="dxa"/>
              <w:left w:w="150" w:type="dxa"/>
              <w:right w:w="150" w:type="dxa"/>
            </w:tcMar>
          </w:tcPr>
          <w:p>
            <w:r>
              <w:t>Date: 20 October 2026</w:t>
            </w:r>
          </w:p>
        </w:tc>
        <w:tc>
          <w:tcPr>
            <w:tcW w:type="dxa" w:w="3118"/>
            <w:shd w:val="clear" w:color="auto" w:fill="FFFFFF"/>
            <w:tcMar>
              <w:top w:w="110" w:type="dxa"/>
              <w:bottom w:w="110" w:type="dxa"/>
              <w:left w:w="150" w:type="dxa"/>
              <w:right w:w="150" w:type="dxa"/>
            </w:tcMar>
          </w:tcPr>
          <w:p>
            <w:r>
              <w:t>Date: 20 October 2026</w:t>
            </w:r>
          </w:p>
        </w:tc>
        <w:tc>
          <w:tcPr>
            <w:tcW w:type="dxa" w:w="3118"/>
            <w:shd w:val="clear" w:color="auto" w:fill="FFFFFF"/>
            <w:tcMar>
              <w:top w:w="110" w:type="dxa"/>
              <w:bottom w:w="110" w:type="dxa"/>
              <w:left w:w="150" w:type="dxa"/>
              <w:right w:w="150" w:type="dxa"/>
            </w:tcMar>
          </w:tcPr>
          <w:p>
            <w:r>
              <w:t>Date: ________________________</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