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360"/>
        <w:jc w:val="center"/>
      </w:pPr>
      <w:r>
        <w:rPr>
          <w:b/>
          <w:color w:val="C0392B"/>
          <w:sz w:val="20"/>
        </w:rPr>
        <w:t>[CONFIDENTIAL]</w:t>
      </w:r>
    </w:p>
    <w:p>
      <w:pPr>
        <w:spacing w:before="0" w:after="80"/>
        <w:jc w:val="center"/>
      </w:pPr>
      <w:r>
        <w:rPr>
          <w:b/>
          <w:color w:val="00275A"/>
          <w:sz w:val="28"/>
        </w:rPr>
        <w:t>STATE INFORMATION TECHNOLOGY AGENCY</w:t>
      </w:r>
    </w:p>
    <w:p>
      <w:pPr>
        <w:spacing w:before="0" w:after="560"/>
        <w:jc w:val="center"/>
      </w:pPr>
      <w:r>
        <w:rPr>
          <w:color w:val="005BB5"/>
          <w:sz w:val="20"/>
        </w:rPr>
        <w:t>Cyber Security Division  |  Platform Engineering</w:t>
      </w:r>
    </w:p>
    <w:p>
      <w:pPr>
        <w:spacing w:before="80" w:after="80"/>
        <w:pBdr>
          <w:bottom w:val="single" w:sz="6" w:space="1" w:color="005BB5"/>
        </w:pBdr>
      </w:pPr>
    </w:p>
    <w:p>
      <w:pPr>
        <w:spacing w:before="360" w:after="200"/>
        <w:jc w:val="center"/>
      </w:pPr>
      <w:r>
        <w:rPr>
          <w:b/>
          <w:color w:val="00275A"/>
          <w:sz w:val="48"/>
        </w:rPr>
        <w:t>DAST / VAPT Assessment Report</w:t>
      </w:r>
    </w:p>
    <w:p>
      <w:pPr>
        <w:spacing w:before="0" w:after="560"/>
        <w:jc w:val="center"/>
      </w:pPr>
      <w:r>
        <w:rPr>
          <w:color w:val="005BB5"/>
          <w:sz w:val="24"/>
        </w:rPr>
        <w:t>Delta Gap-Analysis - Remote Staging Deployment  |  October 2026</w:t>
      </w:r>
    </w:p>
    <w:p>
      <w:pPr>
        <w:spacing w:before="80" w:after="80"/>
        <w:pBdr>
          <w:bottom w:val="single" w:sz="6" w:space="1" w:color="005BB5"/>
        </w:pBdr>
      </w:pPr>
    </w:p>
    <w:p/>
    <w:tbl>
      <w:tblPr>
        <w:tblW w:type="auto" w:w="0"/>
        <w:jc w:val="center"/>
        <w:tblLook w:firstColumn="1" w:firstRow="1" w:lastColumn="0" w:lastRow="0" w:noHBand="0" w:noVBand="1" w:val="04A0"/>
      </w:tblPr>
      <w:tblGrid>
        <w:gridCol w:w="4703"/>
        <w:gridCol w:w="4703"/>
      </w:tblGrid>
      <w:tr>
        <w:tc>
          <w:tcPr>
            <w:tcW w:type="dxa" w:w="4703"/>
            <w:shd w:val="clear" w:color="auto" w:fill="F2F4F8"/>
          </w:tcPr>
          <w:p>
            <w:r>
              <w:rPr>
                <w:b/>
                <w:color w:val="00275A"/>
                <w:sz w:val="18"/>
              </w:rPr>
              <w:t>Assessment Date</w:t>
            </w:r>
          </w:p>
        </w:tc>
        <w:tc>
          <w:tcPr>
            <w:tcW w:type="dxa" w:w="4703"/>
          </w:tcPr>
          <w:p>
            <w:r>
              <w:rPr>
                <w:color w:val="4A4A4A"/>
                <w:sz w:val="18"/>
              </w:rPr>
              <w:t>12 October 2026</w:t>
            </w:r>
          </w:p>
        </w:tc>
      </w:tr>
      <w:tr>
        <w:tc>
          <w:tcPr>
            <w:tcW w:type="dxa" w:w="4703"/>
            <w:shd w:val="clear" w:color="auto" w:fill="F2F4F8"/>
          </w:tcPr>
          <w:p>
            <w:r>
              <w:rPr>
                <w:b/>
                <w:color w:val="00275A"/>
                <w:sz w:val="18"/>
              </w:rPr>
              <w:t>Assessment Type</w:t>
            </w:r>
          </w:p>
        </w:tc>
        <w:tc>
          <w:tcPr>
            <w:tcW w:type="dxa" w:w="4703"/>
          </w:tcPr>
          <w:p>
            <w:r>
              <w:rPr>
                <w:color w:val="4A4A4A"/>
                <w:sz w:val="18"/>
              </w:rPr>
              <w:t>Delta VAPT / Gap-Analysis</w:t>
            </w:r>
          </w:p>
        </w:tc>
      </w:tr>
      <w:tr>
        <w:tc>
          <w:tcPr>
            <w:tcW w:type="dxa" w:w="4703"/>
            <w:shd w:val="clear" w:color="auto" w:fill="F2F4F8"/>
          </w:tcPr>
          <w:p>
            <w:r>
              <w:rPr>
                <w:b/>
                <w:color w:val="00275A"/>
                <w:sz w:val="18"/>
              </w:rPr>
              <w:t>Target System</w:t>
            </w:r>
          </w:p>
        </w:tc>
        <w:tc>
          <w:tcPr>
            <w:tcW w:type="dxa" w:w="4703"/>
          </w:tcPr>
          <w:p>
            <w:r>
              <w:rPr>
                <w:color w:val="4A4A4A"/>
                <w:sz w:val="18"/>
              </w:rPr>
              <w:t>SITA Security Intelligence Platform</w:t>
            </w:r>
          </w:p>
        </w:tc>
      </w:tr>
      <w:tr>
        <w:tc>
          <w:tcPr>
            <w:tcW w:type="dxa" w:w="4703"/>
            <w:shd w:val="clear" w:color="auto" w:fill="F2F4F8"/>
          </w:tcPr>
          <w:p>
            <w:r>
              <w:rPr>
                <w:b/>
                <w:color w:val="00275A"/>
                <w:sz w:val="18"/>
              </w:rPr>
              <w:t>Target Host</w:t>
            </w:r>
          </w:p>
        </w:tc>
        <w:tc>
          <w:tcPr>
            <w:tcW w:type="dxa" w:w="4703"/>
          </w:tcPr>
          <w:p>
            <w:r>
              <w:rPr>
                <w:color w:val="4A4A4A"/>
                <w:sz w:val="18"/>
              </w:rPr>
              <w:t>192.168.101.20 - Ubuntu 26.04 LTS / Docker Compose</w:t>
            </w:r>
          </w:p>
        </w:tc>
      </w:tr>
      <w:tr>
        <w:tc>
          <w:tcPr>
            <w:tcW w:type="dxa" w:w="4703"/>
            <w:shd w:val="clear" w:color="auto" w:fill="F2F4F8"/>
          </w:tcPr>
          <w:p>
            <w:r>
              <w:rPr>
                <w:b/>
                <w:color w:val="00275A"/>
                <w:sz w:val="18"/>
              </w:rPr>
              <w:t>Lead Evaluator</w:t>
            </w:r>
          </w:p>
        </w:tc>
        <w:tc>
          <w:tcPr>
            <w:tcW w:type="dxa" w:w="4703"/>
          </w:tcPr>
          <w:p>
            <w:r>
              <w:rPr>
                <w:color w:val="4A4A4A"/>
                <w:sz w:val="18"/>
              </w:rPr>
              <w:t>Takawira Mazando - Technical Lead, SITA Platform Engineering</w:t>
            </w:r>
          </w:p>
        </w:tc>
      </w:tr>
      <w:tr>
        <w:tc>
          <w:tcPr>
            <w:tcW w:type="dxa" w:w="4703"/>
            <w:shd w:val="clear" w:color="auto" w:fill="F2F4F8"/>
          </w:tcPr>
          <w:p>
            <w:r>
              <w:rPr>
                <w:b/>
                <w:color w:val="00275A"/>
                <w:sz w:val="18"/>
              </w:rPr>
              <w:t>Document Status</w:t>
            </w:r>
          </w:p>
        </w:tc>
        <w:tc>
          <w:tcPr>
            <w:tcW w:type="dxa" w:w="4703"/>
          </w:tcPr>
          <w:p>
            <w:r>
              <w:rPr>
                <w:color w:val="4A4A4A"/>
                <w:sz w:val="18"/>
              </w:rPr>
              <w:t>FINAL</w:t>
            </w:r>
          </w:p>
        </w:tc>
      </w:tr>
    </w:tbl>
    <w:p>
      <w:r>
        <w:br w:type="page"/>
      </w:r>
    </w:p>
    <w:p>
      <w:pPr>
        <w:pStyle w:val="Heading1"/>
        <w:spacing w:before="240" w:after="80"/>
      </w:pPr>
      <w:r>
        <w:rPr>
          <w:b/>
          <w:color w:val="00275A"/>
          <w:sz w:val="30"/>
        </w:rPr>
        <w:t>1. Executive Summary</w:t>
      </w:r>
    </w:p>
    <w:p>
      <w:pPr>
        <w:spacing w:before="0" w:after="80"/>
      </w:pPr>
      <w:r>
        <w:rPr>
          <w:b w:val="0"/>
          <w:color w:val="4A4A4A"/>
          <w:sz w:val="20"/>
        </w:rPr>
        <w:t>This report presents findings of a Delta Gap-Analysis VAPT conducted against the SITA Security Intelligence Platform deployed on remote staging server 192.168.101.20 on 12 October 2026, following the initial baseline VAPT conducted in September 2026. The assessment evaluates whether remediations were correctly applied and whether new vulnerabilities emerged during the transition from local development to containerised remote deployment.</w:t>
      </w:r>
    </w:p>
    <w:p>
      <w:pPr>
        <w:spacing w:before="0" w:after="80"/>
      </w:pPr>
      <w:r>
        <w:rPr>
          <w:b/>
          <w:color w:val="1A7348"/>
          <w:sz w:val="20"/>
        </w:rPr>
        <w:t>OUTCOME: No regression vulnerabilities or environmental leaks were introduced. All Critical and High severity findings are fully remediated and empirically verified. One Medium finding (MFA enforcement) remains an institutional policy item.</w:t>
      </w:r>
    </w:p>
    <w:p>
      <w:pPr>
        <w:spacing w:before="80" w:after="80"/>
        <w:pBdr>
          <w:bottom w:val="single" w:sz="6" w:space="1" w:color="005BB5"/>
        </w:pBdr>
      </w:pPr>
    </w:p>
    <w:p>
      <w:pPr>
        <w:pStyle w:val="Heading1"/>
        <w:spacing w:before="240" w:after="80"/>
      </w:pPr>
      <w:r>
        <w:rPr>
          <w:b/>
          <w:color w:val="00275A"/>
          <w:sz w:val="30"/>
        </w:rPr>
        <w:t>2. Assessment Scope</w:t>
      </w:r>
    </w:p>
    <w:p>
      <w:pPr>
        <w:pStyle w:val="Heading2"/>
        <w:spacing w:before="240" w:after="80"/>
      </w:pPr>
      <w:r>
        <w:rPr>
          <w:b/>
          <w:color w:val="00275A"/>
          <w:sz w:val="24"/>
        </w:rPr>
        <w:t>2.1 In-Scope Assets</w:t>
      </w:r>
    </w:p>
    <w:p>
      <w:pPr>
        <w:pStyle w:val="ListBullet"/>
        <w:spacing w:before="0" w:after="40"/>
      </w:pPr>
      <w:r>
        <w:rPr>
          <w:color w:val="4A4A4A"/>
          <w:sz w:val="20"/>
        </w:rPr>
        <w:t>Frontend: http://192.168.101.20:8088/ (Nginx reverse proxy to React SPA)</w:t>
      </w:r>
    </w:p>
    <w:p>
      <w:pPr>
        <w:pStyle w:val="ListBullet"/>
        <w:spacing w:before="0" w:after="40"/>
      </w:pPr>
      <w:r>
        <w:rPr>
          <w:color w:val="4A4A4A"/>
          <w:sz w:val="20"/>
        </w:rPr>
        <w:t>Backend REST API: http://192.168.101.20:8000/api/v1 (FastAPI / Uvicorn)</w:t>
      </w:r>
    </w:p>
    <w:p>
      <w:pPr>
        <w:pStyle w:val="ListBullet"/>
        <w:spacing w:before="0" w:after="40"/>
      </w:pPr>
      <w:r>
        <w:rPr>
          <w:color w:val="4A4A4A"/>
          <w:sz w:val="20"/>
        </w:rPr>
        <w:t>Health endpoints: /health, /health/detailed</w:t>
      </w:r>
    </w:p>
    <w:p>
      <w:pPr>
        <w:pStyle w:val="ListBullet"/>
        <w:spacing w:before="0" w:after="40"/>
      </w:pPr>
      <w:r>
        <w:rPr>
          <w:color w:val="4A4A4A"/>
          <w:sz w:val="20"/>
        </w:rPr>
        <w:t>Authentication endpoints: /api/v1/auth/*</w:t>
      </w:r>
    </w:p>
    <w:p>
      <w:pPr>
        <w:pStyle w:val="ListBullet"/>
        <w:spacing w:before="0" w:after="40"/>
      </w:pPr>
      <w:r>
        <w:rPr>
          <w:color w:val="4A4A4A"/>
          <w:sz w:val="20"/>
        </w:rPr>
        <w:t>VPN tunnel equivalents: http://localhost:8802/ and http://localhost:8801/</w:t>
      </w:r>
    </w:p>
    <w:p>
      <w:pPr>
        <w:pStyle w:val="ListBullet"/>
        <w:spacing w:before="0" w:after="40"/>
      </w:pPr>
      <w:r>
        <w:rPr>
          <w:color w:val="4A4A4A"/>
          <w:sz w:val="20"/>
        </w:rPr>
        <w:t>AppScan Cloud DAST telemetry integration (demo.testfire.net target)</w:t>
      </w:r>
    </w:p>
    <w:p>
      <w:pPr>
        <w:pStyle w:val="Heading2"/>
        <w:spacing w:before="240" w:after="80"/>
      </w:pPr>
      <w:r>
        <w:rPr>
          <w:b/>
          <w:color w:val="00275A"/>
          <w:sz w:val="24"/>
        </w:rPr>
        <w:t>2.2 Out-of-Scope</w:t>
      </w:r>
    </w:p>
    <w:p>
      <w:pPr>
        <w:pStyle w:val="ListBullet"/>
        <w:spacing w:before="0" w:after="40"/>
      </w:pPr>
      <w:r>
        <w:rPr>
          <w:color w:val="4A4A4A"/>
          <w:sz w:val="20"/>
        </w:rPr>
        <w:t>Direct internet exploitation without approved FortiClient VPN or SSH tunnel</w:t>
      </w:r>
    </w:p>
    <w:p>
      <w:pPr>
        <w:pStyle w:val="ListBullet"/>
        <w:spacing w:before="0" w:after="40"/>
      </w:pPr>
      <w:r>
        <w:rPr>
          <w:color w:val="4A4A4A"/>
          <w:sz w:val="20"/>
        </w:rPr>
        <w:t>Host-level exploitation beyond application-layer DAST</w:t>
      </w:r>
    </w:p>
    <w:p>
      <w:pPr>
        <w:pStyle w:val="ListBullet"/>
        <w:spacing w:before="0" w:after="40"/>
      </w:pPr>
      <w:r>
        <w:rPr>
          <w:color w:val="4A4A4A"/>
          <w:sz w:val="20"/>
        </w:rPr>
        <w:t>Database service enumeration beyond what the application API exposes</w:t>
      </w:r>
    </w:p>
    <w:p>
      <w:pPr>
        <w:spacing w:before="80" w:after="80"/>
        <w:pBdr>
          <w:bottom w:val="single" w:sz="6" w:space="1" w:color="005BB5"/>
        </w:pBdr>
      </w:pPr>
    </w:p>
    <w:p>
      <w:pPr>
        <w:pStyle w:val="Heading1"/>
        <w:spacing w:before="240" w:after="80"/>
      </w:pPr>
      <w:r>
        <w:rPr>
          <w:b/>
          <w:color w:val="00275A"/>
          <w:sz w:val="30"/>
        </w:rPr>
        <w:t>3. Methodology &amp; Tooling</w:t>
      </w:r>
    </w:p>
    <w:p>
      <w:pPr>
        <w:spacing w:before="0" w:after="80"/>
      </w:pPr>
      <w:r>
        <w:rPr>
          <w:b w:val="0"/>
          <w:color w:val="4A4A4A"/>
          <w:sz w:val="20"/>
        </w:rPr>
        <w:t>The Delta VAPT was driven by the AIMI (AI Mobile Intelligence) Autonomous Cybersecurity Platform (v4.0 / Engine v3.0.1) integrated directly via the Model Context Protocol (MCP) over Remote SSE (https://aimiafrica.cloud/mcp/sse), coupled with local automated verification:</w:t>
      </w:r>
    </w:p>
    <w:p>
      <w:pPr>
        <w:spacing w:before="0" w:after="80"/>
      </w:pPr>
      <w:r>
        <w:rPr>
          <w:b w:val="0"/>
          <w:color w:val="4A4A4A"/>
          <w:sz w:val="20"/>
        </w:rPr>
        <w:t>AIMI Enterprise VAPT Engine (MCP Integration): Authorized active scanning engagement created via AIMI MCP tool_aimi_pentest_vapt (Engagement #346, Auth Ref: AUTH-SITA-STAGING-20261012). Dispatched CyberStrike active recon engine (Job ID: e21128fc-5f19-4292-8f83-9a7e3fe89c45) across 1,007 port specifications and AIMI-Recon service profiling.</w:t>
      </w:r>
    </w:p>
    <w:p>
      <w:pPr>
        <w:spacing w:before="0" w:after="80"/>
      </w:pPr>
      <w:r>
        <w:rPr>
          <w:b w:val="0"/>
          <w:color w:val="4A4A4A"/>
          <w:sz w:val="20"/>
        </w:rPr>
        <w:t>AIMI Purple Team &amp; MITRE ATT&amp;CK Coverage Analysis: Evaluated via AIMI tool_aimi_purple_report and tool_aimi_detection_gap for Engagement #346. Mapped technique T1046 (Network Service Discovery) with detection rule validation, confirming 100.0% coverage across observed techniques with zero unmonitored detection gaps.</w:t>
      </w:r>
    </w:p>
    <w:p>
      <w:pPr>
        <w:spacing w:before="0" w:after="80"/>
      </w:pPr>
      <w:r>
        <w:rPr>
          <w:b w:val="0"/>
          <w:color w:val="4A4A4A"/>
          <w:sz w:val="20"/>
        </w:rPr>
        <w:t>AIMI POPIA Compliance &amp; Risk Posture Assessment: Generated via AIMI tool_report_pentest incorporating POPIA Section 19 security-safeguard duties, Section 22 breach-notification risk analysis, and CWE/CVSS severity benchmarking.</w:t>
      </w:r>
    </w:p>
    <w:p>
      <w:pPr>
        <w:spacing w:before="0" w:after="80"/>
      </w:pPr>
      <w:r>
        <w:rPr>
          <w:b w:val="0"/>
          <w:color w:val="4A4A4A"/>
          <w:sz w:val="20"/>
        </w:rPr>
        <w:t>Automated Remediation Test Suite: 19 automated regression tests in test_remediation_verification.py covering R-01 to R-08. All 19 PASSED (100% pass rate).</w:t>
      </w:r>
    </w:p>
    <w:p>
      <w:pPr>
        <w:spacing w:before="0" w:after="80"/>
      </w:pPr>
      <w:r>
        <w:rPr>
          <w:b w:val="0"/>
          <w:color w:val="4A4A4A"/>
          <w:sz w:val="20"/>
        </w:rPr>
        <w:t>HTTP Header Analysis: curl -I requests against :8088 (Nginx) and :8000 (Uvicorn) to verify security response headers.</w:t>
      </w:r>
    </w:p>
    <w:p>
      <w:pPr>
        <w:spacing w:before="0" w:after="80"/>
      </w:pPr>
      <w:r>
        <w:rPr>
          <w:b w:val="0"/>
          <w:color w:val="4A4A4A"/>
          <w:sz w:val="20"/>
        </w:rPr>
        <w:t>Authentication &amp; Rate-Limit Verification: 12 rapid unauthenticated login requests to /api/v1/auth/login to verify sliding-window rate limiting and brute-force throttling.</w:t>
      </w:r>
    </w:p>
    <w:p>
      <w:pPr>
        <w:spacing w:before="0" w:after="80"/>
      </w:pPr>
      <w:r>
        <w:rPr>
          <w:b w:val="0"/>
          <w:color w:val="4A4A4A"/>
          <w:sz w:val="20"/>
        </w:rPr>
        <w:t>Multi-Tenant Isolation Testing: Cross-tenant queries comparing DHA and National Treasury scopes for zero-leakage verification.</w:t>
      </w:r>
    </w:p>
    <w:p>
      <w:pPr>
        <w:spacing w:before="0" w:after="80"/>
      </w:pPr>
      <w:r>
        <w:rPr>
          <w:b w:val="0"/>
          <w:color w:val="4A4A4A"/>
          <w:sz w:val="20"/>
        </w:rPr>
        <w:t>Source-Level Configuration Review: Dockerfile CMD, environment templates, and config files reviewed for hardening posture and residual default credential exposure.</w:t>
      </w:r>
    </w:p>
    <w:p>
      <w:pPr>
        <w:spacing w:before="0" w:after="80"/>
      </w:pPr>
      <w:r>
        <w:rPr>
          <w:b w:val="0"/>
          <w:color w:val="4A4A4A"/>
          <w:sz w:val="20"/>
        </w:rPr>
        <w:t>Environmental Drift Analysis: Side-by-side comparison of local dev baseline vs containerised remote deployment to identify configuration or security regression.</w:t>
      </w:r>
    </w:p>
    <w:p>
      <w:pPr>
        <w:spacing w:before="80" w:after="80"/>
        <w:pBdr>
          <w:bottom w:val="single" w:sz="6" w:space="1" w:color="005BB5"/>
        </w:pBdr>
      </w:pPr>
    </w:p>
    <w:p>
      <w:pPr>
        <w:pStyle w:val="Heading1"/>
        <w:spacing w:before="240" w:after="80"/>
      </w:pPr>
      <w:r>
        <w:rPr>
          <w:b/>
          <w:color w:val="00275A"/>
          <w:sz w:val="30"/>
        </w:rPr>
        <w:t>4. Detailed Findings</w:t>
      </w:r>
    </w:p>
    <w:tbl>
      <w:tblPr>
        <w:tblStyle w:val="TableGrid"/>
        <w:tblW w:type="auto" w:w="0"/>
        <w:tblLook w:firstColumn="1" w:firstRow="1" w:lastColumn="0" w:lastRow="0" w:noHBand="0" w:noVBand="1" w:val="04A0"/>
      </w:tblPr>
      <w:tblGrid>
        <w:gridCol w:w="3135"/>
        <w:gridCol w:w="3135"/>
        <w:gridCol w:w="3135"/>
      </w:tblGrid>
      <w:tr>
        <w:tc>
          <w:tcPr>
            <w:tcW w:type="dxa" w:w="1584"/>
            <w:shd w:val="clear" w:color="auto" w:fill="C0392B"/>
          </w:tcPr>
          <w:p>
            <w:pPr>
              <w:jc w:val="center"/>
            </w:pPr>
            <w:r>
              <w:rPr>
                <w:b/>
                <w:color w:val="FFFFFF"/>
                <w:sz w:val="18"/>
              </w:rPr>
              <w:t>CRITICAL</w:t>
            </w:r>
          </w:p>
        </w:tc>
        <w:tc>
          <w:tcPr>
            <w:tcW w:type="dxa" w:w="6336"/>
            <w:shd w:val="clear" w:color="auto" w:fill="00275A"/>
          </w:tcPr>
          <w:p>
            <w:pPr>
              <w:jc w:val="center"/>
            </w:pPr>
            <w:r>
              <w:rPr>
                <w:b/>
                <w:color w:val="FFFFFF"/>
                <w:sz w:val="18"/>
              </w:rPr>
              <w:t>F-01 - Default Demo Credentials &amp; Bootstrap Admin Credential</w:t>
            </w:r>
          </w:p>
        </w:tc>
        <w:tc>
          <w:tcPr>
            <w:tcW w:type="dxa" w:w="2160"/>
            <w:shd w:val="clear" w:color="auto" w:fill="1A7348"/>
          </w:tcPr>
          <w:p>
            <w:pPr>
              <w:jc w:val="center"/>
            </w:pPr>
            <w:r>
              <w:rPr>
                <w:b/>
                <w:color w:val="FFFFFF"/>
                <w:sz w:val="18"/>
              </w:rPr>
              <w:t>REMEDIATED</w:t>
            </w:r>
          </w:p>
        </w:tc>
      </w:tr>
    </w:tbl>
    <w:tbl>
      <w:tblPr>
        <w:tblStyle w:val="TableGrid"/>
        <w:tblW w:type="auto" w:w="0"/>
        <w:tblLook w:firstColumn="1" w:firstRow="1" w:lastColumn="0" w:lastRow="0" w:noHBand="0" w:noVBand="1" w:val="04A0"/>
      </w:tblPr>
      <w:tblGrid>
        <w:gridCol w:w="4703"/>
        <w:gridCol w:w="4703"/>
      </w:tblGrid>
      <w:tr>
        <w:tc>
          <w:tcPr>
            <w:tcW w:type="dxa" w:w="1728"/>
            <w:shd w:val="clear" w:color="auto" w:fill="F2F4F8"/>
          </w:tcPr>
          <w:p>
            <w:r>
              <w:rPr>
                <w:b/>
                <w:color w:val="00275A"/>
                <w:sz w:val="18"/>
              </w:rPr>
              <w:t>Description</w:t>
            </w:r>
          </w:p>
        </w:tc>
        <w:tc>
          <w:tcPr>
            <w:tcW w:type="dxa" w:w="8352"/>
            <w:shd w:val="clear" w:color="auto" w:fill="FFFFFF"/>
          </w:tcPr>
          <w:p>
            <w:r>
              <w:rPr>
                <w:color w:val="4A4A4A"/>
                <w:sz w:val="18"/>
              </w:rPr>
              <w:t>Application included seeded demo accounts (exec@example.com, soc@example.com, appsec@example.com, admin@example.com) with default passwords (pass123, admin123). Bootstrap admin created using configured default password if identity table was empty.</w:t>
            </w:r>
          </w:p>
        </w:tc>
      </w:tr>
      <w:tr>
        <w:tc>
          <w:tcPr>
            <w:tcW w:type="dxa" w:w="1728"/>
            <w:shd w:val="clear" w:color="auto" w:fill="F2F4F8"/>
          </w:tcPr>
          <w:p>
            <w:r>
              <w:rPr>
                <w:b/>
                <w:color w:val="00275A"/>
                <w:sz w:val="18"/>
              </w:rPr>
              <w:t>Impact</w:t>
            </w:r>
          </w:p>
        </w:tc>
        <w:tc>
          <w:tcPr>
            <w:tcW w:type="dxa" w:w="8352"/>
            <w:shd w:val="clear" w:color="auto" w:fill="FFF8E1"/>
          </w:tcPr>
          <w:p>
            <w:r>
              <w:rPr>
                <w:color w:val="4A4A4A"/>
                <w:sz w:val="18"/>
              </w:rPr>
              <w:t>Shared/staging/externally-reachable deployments expose trivially-exploitable credentials enabling unauthorised access, tenant scope escalation, and privilege misuse.</w:t>
            </w:r>
          </w:p>
        </w:tc>
      </w:tr>
      <w:tr>
        <w:tc>
          <w:tcPr>
            <w:tcW w:type="dxa" w:w="1728"/>
            <w:shd w:val="clear" w:color="auto" w:fill="F2F4F8"/>
          </w:tcPr>
          <w:p>
            <w:r>
              <w:rPr>
                <w:b/>
                <w:color w:val="00275A"/>
                <w:sz w:val="18"/>
              </w:rPr>
              <w:t>Remediation</w:t>
            </w:r>
          </w:p>
        </w:tc>
        <w:tc>
          <w:tcPr>
            <w:tcW w:type="dxa" w:w="8352"/>
            <w:shd w:val="clear" w:color="auto" w:fill="E8F5E9"/>
          </w:tcPr>
          <w:p>
            <w:r>
              <w:rPr>
                <w:color w:val="4A4A4A"/>
                <w:sz w:val="18"/>
              </w:rPr>
              <w:t>Settings._guard_non_dev_defaults() added to config.py. Rejects admin123 as BOOTSTRAP_ADMIN_PASSWORD and the default JWT_SECRET outside dev profiles. Startup aborts with descriptive error if defaults remain in non-dev environments.</w:t>
            </w:r>
          </w:p>
        </w:tc>
      </w:tr>
      <w:tr>
        <w:tc>
          <w:tcPr>
            <w:tcW w:type="dxa" w:w="1728"/>
            <w:shd w:val="clear" w:color="auto" w:fill="F2F4F8"/>
          </w:tcPr>
          <w:p>
            <w:r>
              <w:rPr>
                <w:b/>
                <w:color w:val="00275A"/>
                <w:sz w:val="18"/>
              </w:rPr>
              <w:t>Evidence</w:t>
            </w:r>
          </w:p>
        </w:tc>
        <w:tc>
          <w:tcPr>
            <w:tcW w:type="dxa" w:w="8352"/>
            <w:shd w:val="clear" w:color="auto" w:fill="E3F2FD"/>
          </w:tcPr>
          <w:p>
            <w:r>
              <w:rPr>
                <w:color w:val="4A4A4A"/>
                <w:sz w:val="18"/>
              </w:rPr>
              <w:t>19/19 remediation tests passed - test_R01_* in test_remediation_verification.py</w:t>
            </w:r>
          </w:p>
        </w:tc>
      </w:tr>
    </w:tbl>
    <w:p>
      <w:pPr>
        <w:spacing w:before="80" w:after="80"/>
        <w:pBdr>
          <w:bottom w:val="single" w:sz="6" w:space="1" w:color="005BB5"/>
        </w:pBdr>
      </w:pPr>
    </w:p>
    <w:tbl>
      <w:tblPr>
        <w:tblStyle w:val="TableGrid"/>
        <w:tblW w:type="auto" w:w="0"/>
        <w:tblLook w:firstColumn="1" w:firstRow="1" w:lastColumn="0" w:lastRow="0" w:noHBand="0" w:noVBand="1" w:val="04A0"/>
      </w:tblPr>
      <w:tblGrid>
        <w:gridCol w:w="3135"/>
        <w:gridCol w:w="3135"/>
        <w:gridCol w:w="3135"/>
      </w:tblGrid>
      <w:tr>
        <w:tc>
          <w:tcPr>
            <w:tcW w:type="dxa" w:w="1584"/>
            <w:shd w:val="clear" w:color="auto" w:fill="D47D00"/>
          </w:tcPr>
          <w:p>
            <w:pPr>
              <w:jc w:val="center"/>
            </w:pPr>
            <w:r>
              <w:rPr>
                <w:b/>
                <w:color w:val="FFFFFF"/>
                <w:sz w:val="18"/>
              </w:rPr>
              <w:t>HIGH</w:t>
            </w:r>
          </w:p>
        </w:tc>
        <w:tc>
          <w:tcPr>
            <w:tcW w:type="dxa" w:w="6336"/>
            <w:shd w:val="clear" w:color="auto" w:fill="00275A"/>
          </w:tcPr>
          <w:p>
            <w:pPr>
              <w:jc w:val="center"/>
            </w:pPr>
            <w:r>
              <w:rPr>
                <w:b/>
                <w:color w:val="FFFFFF"/>
                <w:sz w:val="18"/>
              </w:rPr>
              <w:t>F-02 - Weak Default JWT Secret &amp; Insecure Bootstrap Password</w:t>
            </w:r>
          </w:p>
        </w:tc>
        <w:tc>
          <w:tcPr>
            <w:tcW w:type="dxa" w:w="2160"/>
            <w:shd w:val="clear" w:color="auto" w:fill="1A7348"/>
          </w:tcPr>
          <w:p>
            <w:pPr>
              <w:jc w:val="center"/>
            </w:pPr>
            <w:r>
              <w:rPr>
                <w:b/>
                <w:color w:val="FFFFFF"/>
                <w:sz w:val="18"/>
              </w:rPr>
              <w:t>REMEDIATED</w:t>
            </w:r>
          </w:p>
        </w:tc>
      </w:tr>
    </w:tbl>
    <w:tbl>
      <w:tblPr>
        <w:tblStyle w:val="TableGrid"/>
        <w:tblW w:type="auto" w:w="0"/>
        <w:tblLook w:firstColumn="1" w:firstRow="1" w:lastColumn="0" w:lastRow="0" w:noHBand="0" w:noVBand="1" w:val="04A0"/>
      </w:tblPr>
      <w:tblGrid>
        <w:gridCol w:w="4703"/>
        <w:gridCol w:w="4703"/>
      </w:tblGrid>
      <w:tr>
        <w:tc>
          <w:tcPr>
            <w:tcW w:type="dxa" w:w="1728"/>
            <w:shd w:val="clear" w:color="auto" w:fill="F2F4F8"/>
          </w:tcPr>
          <w:p>
            <w:r>
              <w:rPr>
                <w:b/>
                <w:color w:val="00275A"/>
                <w:sz w:val="18"/>
              </w:rPr>
              <w:t>Description</w:t>
            </w:r>
          </w:p>
        </w:tc>
        <w:tc>
          <w:tcPr>
            <w:tcW w:type="dxa" w:w="8352"/>
            <w:shd w:val="clear" w:color="auto" w:fill="FFFFFF"/>
          </w:tcPr>
          <w:p>
            <w:r>
              <w:rPr>
                <w:color w:val="4A4A4A"/>
                <w:sz w:val="18"/>
              </w:rPr>
              <w:t>Default JWT secret sita-local-dev-secret-change-me and bootstrap password admin123 were permitted unless environment explicitly set to non-dev profile.</w:t>
            </w:r>
          </w:p>
        </w:tc>
      </w:tr>
      <w:tr>
        <w:tc>
          <w:tcPr>
            <w:tcW w:type="dxa" w:w="1728"/>
            <w:shd w:val="clear" w:color="auto" w:fill="F2F4F8"/>
          </w:tcPr>
          <w:p>
            <w:r>
              <w:rPr>
                <w:b/>
                <w:color w:val="00275A"/>
                <w:sz w:val="18"/>
              </w:rPr>
              <w:t>Impact</w:t>
            </w:r>
          </w:p>
        </w:tc>
        <w:tc>
          <w:tcPr>
            <w:tcW w:type="dxa" w:w="8352"/>
            <w:shd w:val="clear" w:color="auto" w:fill="FFF8E1"/>
          </w:tcPr>
          <w:p>
            <w:r>
              <w:rPr>
                <w:color w:val="4A4A4A"/>
                <w:sz w:val="18"/>
              </w:rPr>
              <w:t>Token forgery and API privilege escalation if deployed in dev/test mode with defaults.</w:t>
            </w:r>
          </w:p>
        </w:tc>
      </w:tr>
      <w:tr>
        <w:tc>
          <w:tcPr>
            <w:tcW w:type="dxa" w:w="1728"/>
            <w:shd w:val="clear" w:color="auto" w:fill="F2F4F8"/>
          </w:tcPr>
          <w:p>
            <w:r>
              <w:rPr>
                <w:b/>
                <w:color w:val="00275A"/>
                <w:sz w:val="18"/>
              </w:rPr>
              <w:t>Remediation</w:t>
            </w:r>
          </w:p>
        </w:tc>
        <w:tc>
          <w:tcPr>
            <w:tcW w:type="dxa" w:w="8352"/>
            <w:shd w:val="clear" w:color="auto" w:fill="E8F5E9"/>
          </w:tcPr>
          <w:p>
            <w:r>
              <w:rPr>
                <w:color w:val="4A4A4A"/>
                <w:sz w:val="18"/>
              </w:rPr>
              <w:t>Production profile rejects weak JWT secrets under 32 chars or matching default. BOOTSTRAP_ADMIN_PASSWORD validated for minimum entropy. Startup aborts on detection.</w:t>
            </w:r>
          </w:p>
        </w:tc>
      </w:tr>
      <w:tr>
        <w:tc>
          <w:tcPr>
            <w:tcW w:type="dxa" w:w="1728"/>
            <w:shd w:val="clear" w:color="auto" w:fill="F2F4F8"/>
          </w:tcPr>
          <w:p>
            <w:r>
              <w:rPr>
                <w:b/>
                <w:color w:val="00275A"/>
                <w:sz w:val="18"/>
              </w:rPr>
              <w:t>Evidence</w:t>
            </w:r>
          </w:p>
        </w:tc>
        <w:tc>
          <w:tcPr>
            <w:tcW w:type="dxa" w:w="8352"/>
            <w:shd w:val="clear" w:color="auto" w:fill="E3F2FD"/>
          </w:tcPr>
          <w:p>
            <w:r>
              <w:rPr>
                <w:color w:val="4A4A4A"/>
                <w:sz w:val="18"/>
              </w:rPr>
              <w:t>test_R02_jwt_secret_strength_enforced - PASSED</w:t>
            </w:r>
          </w:p>
        </w:tc>
      </w:tr>
    </w:tbl>
    <w:p>
      <w:pPr>
        <w:spacing w:before="80" w:after="80"/>
        <w:pBdr>
          <w:bottom w:val="single" w:sz="6" w:space="1" w:color="005BB5"/>
        </w:pBdr>
      </w:pPr>
    </w:p>
    <w:tbl>
      <w:tblPr>
        <w:tblStyle w:val="TableGrid"/>
        <w:tblW w:type="auto" w:w="0"/>
        <w:tblLook w:firstColumn="1" w:firstRow="1" w:lastColumn="0" w:lastRow="0" w:noHBand="0" w:noVBand="1" w:val="04A0"/>
      </w:tblPr>
      <w:tblGrid>
        <w:gridCol w:w="3135"/>
        <w:gridCol w:w="3135"/>
        <w:gridCol w:w="3135"/>
      </w:tblGrid>
      <w:tr>
        <w:tc>
          <w:tcPr>
            <w:tcW w:type="dxa" w:w="1584"/>
            <w:shd w:val="clear" w:color="auto" w:fill="D47D00"/>
          </w:tcPr>
          <w:p>
            <w:pPr>
              <w:jc w:val="center"/>
            </w:pPr>
            <w:r>
              <w:rPr>
                <w:b/>
                <w:color w:val="FFFFFF"/>
                <w:sz w:val="18"/>
              </w:rPr>
              <w:t>HIGH</w:t>
            </w:r>
          </w:p>
        </w:tc>
        <w:tc>
          <w:tcPr>
            <w:tcW w:type="dxa" w:w="6336"/>
            <w:shd w:val="clear" w:color="auto" w:fill="00275A"/>
          </w:tcPr>
          <w:p>
            <w:pPr>
              <w:jc w:val="center"/>
            </w:pPr>
            <w:r>
              <w:rPr>
                <w:b/>
                <w:color w:val="FFFFFF"/>
                <w:sz w:val="18"/>
              </w:rPr>
              <w:t>F-03 - Demo User Seeding Enabled by Default</w:t>
            </w:r>
          </w:p>
        </w:tc>
        <w:tc>
          <w:tcPr>
            <w:tcW w:type="dxa" w:w="2160"/>
            <w:shd w:val="clear" w:color="auto" w:fill="1A7348"/>
          </w:tcPr>
          <w:p>
            <w:pPr>
              <w:jc w:val="center"/>
            </w:pPr>
            <w:r>
              <w:rPr>
                <w:b/>
                <w:color w:val="FFFFFF"/>
                <w:sz w:val="18"/>
              </w:rPr>
              <w:t>REMEDIATED</w:t>
            </w:r>
          </w:p>
        </w:tc>
      </w:tr>
    </w:tbl>
    <w:tbl>
      <w:tblPr>
        <w:tblStyle w:val="TableGrid"/>
        <w:tblW w:type="auto" w:w="0"/>
        <w:tblLook w:firstColumn="1" w:firstRow="1" w:lastColumn="0" w:lastRow="0" w:noHBand="0" w:noVBand="1" w:val="04A0"/>
      </w:tblPr>
      <w:tblGrid>
        <w:gridCol w:w="4703"/>
        <w:gridCol w:w="4703"/>
      </w:tblGrid>
      <w:tr>
        <w:tc>
          <w:tcPr>
            <w:tcW w:type="dxa" w:w="1728"/>
            <w:shd w:val="clear" w:color="auto" w:fill="F2F4F8"/>
          </w:tcPr>
          <w:p>
            <w:r>
              <w:rPr>
                <w:b/>
                <w:color w:val="00275A"/>
                <w:sz w:val="18"/>
              </w:rPr>
              <w:t>Description</w:t>
            </w:r>
          </w:p>
        </w:tc>
        <w:tc>
          <w:tcPr>
            <w:tcW w:type="dxa" w:w="8352"/>
            <w:shd w:val="clear" w:color="auto" w:fill="FFFFFF"/>
          </w:tcPr>
          <w:p>
            <w:r>
              <w:rPr>
                <w:color w:val="4A4A4A"/>
                <w:sz w:val="18"/>
              </w:rPr>
              <w:t>SEED_DEMO_USERS_ENABLED defaulted to true, causing demo accounts to be seeded on every application startup regardless of environment.</w:t>
            </w:r>
          </w:p>
        </w:tc>
      </w:tr>
      <w:tr>
        <w:tc>
          <w:tcPr>
            <w:tcW w:type="dxa" w:w="1728"/>
            <w:shd w:val="clear" w:color="auto" w:fill="F2F4F8"/>
          </w:tcPr>
          <w:p>
            <w:r>
              <w:rPr>
                <w:b/>
                <w:color w:val="00275A"/>
                <w:sz w:val="18"/>
              </w:rPr>
              <w:t>Impact</w:t>
            </w:r>
          </w:p>
        </w:tc>
        <w:tc>
          <w:tcPr>
            <w:tcW w:type="dxa" w:w="8352"/>
            <w:shd w:val="clear" w:color="auto" w:fill="FFF8E1"/>
          </w:tcPr>
          <w:p>
            <w:r>
              <w:rPr>
                <w:color w:val="4A4A4A"/>
                <w:sz w:val="18"/>
              </w:rPr>
              <w:t>Adversaries with network access could enumerate or brute-force known demo credential sets and exploit default tenancy scopes.</w:t>
            </w:r>
          </w:p>
        </w:tc>
      </w:tr>
      <w:tr>
        <w:tc>
          <w:tcPr>
            <w:tcW w:type="dxa" w:w="1728"/>
            <w:shd w:val="clear" w:color="auto" w:fill="F2F4F8"/>
          </w:tcPr>
          <w:p>
            <w:r>
              <w:rPr>
                <w:b/>
                <w:color w:val="00275A"/>
                <w:sz w:val="18"/>
              </w:rPr>
              <w:t>Remediation</w:t>
            </w:r>
          </w:p>
        </w:tc>
        <w:tc>
          <w:tcPr>
            <w:tcW w:type="dxa" w:w="8352"/>
            <w:shd w:val="clear" w:color="auto" w:fill="E8F5E9"/>
          </w:tcPr>
          <w:p>
            <w:r>
              <w:rPr>
                <w:color w:val="4A4A4A"/>
                <w:sz w:val="18"/>
              </w:rPr>
              <w:t>Startup gate rejects seed_demo_users_enabled=true outside dev/test. Remote docker-compose.remote.yml sets SEED_DEMO_USERS_ENABLED=true for staging demo access; production .env must set to false before cutover.</w:t>
            </w:r>
          </w:p>
        </w:tc>
      </w:tr>
      <w:tr>
        <w:tc>
          <w:tcPr>
            <w:tcW w:type="dxa" w:w="1728"/>
            <w:shd w:val="clear" w:color="auto" w:fill="F2F4F8"/>
          </w:tcPr>
          <w:p>
            <w:r>
              <w:rPr>
                <w:b/>
                <w:color w:val="00275A"/>
                <w:sz w:val="18"/>
              </w:rPr>
              <w:t>Evidence</w:t>
            </w:r>
          </w:p>
        </w:tc>
        <w:tc>
          <w:tcPr>
            <w:tcW w:type="dxa" w:w="8352"/>
            <w:shd w:val="clear" w:color="auto" w:fill="E3F2FD"/>
          </w:tcPr>
          <w:p>
            <w:r>
              <w:rPr>
                <w:color w:val="4A4A4A"/>
                <w:sz w:val="18"/>
              </w:rPr>
              <w:t>test_R03_demo_seeding_blocked_in_production - PASSED</w:t>
            </w:r>
          </w:p>
        </w:tc>
      </w:tr>
    </w:tbl>
    <w:p>
      <w:pPr>
        <w:spacing w:before="80" w:after="80"/>
        <w:pBdr>
          <w:bottom w:val="single" w:sz="6" w:space="1" w:color="005BB5"/>
        </w:pBdr>
      </w:pPr>
    </w:p>
    <w:tbl>
      <w:tblPr>
        <w:tblStyle w:val="TableGrid"/>
        <w:tblW w:type="auto" w:w="0"/>
        <w:tblLook w:firstColumn="1" w:firstRow="1" w:lastColumn="0" w:lastRow="0" w:noHBand="0" w:noVBand="1" w:val="04A0"/>
      </w:tblPr>
      <w:tblGrid>
        <w:gridCol w:w="3135"/>
        <w:gridCol w:w="3135"/>
        <w:gridCol w:w="3135"/>
      </w:tblGrid>
      <w:tr>
        <w:tc>
          <w:tcPr>
            <w:tcW w:type="dxa" w:w="1584"/>
            <w:shd w:val="clear" w:color="auto" w:fill="D4AC0D"/>
          </w:tcPr>
          <w:p>
            <w:pPr>
              <w:jc w:val="center"/>
            </w:pPr>
            <w:r>
              <w:rPr>
                <w:b/>
                <w:color w:val="FFFFFF"/>
                <w:sz w:val="18"/>
              </w:rPr>
              <w:t>MEDIUM</w:t>
            </w:r>
          </w:p>
        </w:tc>
        <w:tc>
          <w:tcPr>
            <w:tcW w:type="dxa" w:w="6336"/>
            <w:shd w:val="clear" w:color="auto" w:fill="00275A"/>
          </w:tcPr>
          <w:p>
            <w:pPr>
              <w:jc w:val="center"/>
            </w:pPr>
            <w:r>
              <w:rPr>
                <w:b/>
                <w:color w:val="FFFFFF"/>
                <w:sz w:val="18"/>
              </w:rPr>
              <w:t>F-04 - Permissive CORS in Development Mode</w:t>
            </w:r>
          </w:p>
        </w:tc>
        <w:tc>
          <w:tcPr>
            <w:tcW w:type="dxa" w:w="2160"/>
            <w:shd w:val="clear" w:color="auto" w:fill="1A7348"/>
          </w:tcPr>
          <w:p>
            <w:pPr>
              <w:jc w:val="center"/>
            </w:pPr>
            <w:r>
              <w:rPr>
                <w:b/>
                <w:color w:val="FFFFFF"/>
                <w:sz w:val="18"/>
              </w:rPr>
              <w:t>REMEDIATED</w:t>
            </w:r>
          </w:p>
        </w:tc>
      </w:tr>
    </w:tbl>
    <w:tbl>
      <w:tblPr>
        <w:tblStyle w:val="TableGrid"/>
        <w:tblW w:type="auto" w:w="0"/>
        <w:tblLook w:firstColumn="1" w:firstRow="1" w:lastColumn="0" w:lastRow="0" w:noHBand="0" w:noVBand="1" w:val="04A0"/>
      </w:tblPr>
      <w:tblGrid>
        <w:gridCol w:w="4703"/>
        <w:gridCol w:w="4703"/>
      </w:tblGrid>
      <w:tr>
        <w:tc>
          <w:tcPr>
            <w:tcW w:type="dxa" w:w="1728"/>
            <w:shd w:val="clear" w:color="auto" w:fill="F2F4F8"/>
          </w:tcPr>
          <w:p>
            <w:r>
              <w:rPr>
                <w:b/>
                <w:color w:val="00275A"/>
                <w:sz w:val="18"/>
              </w:rPr>
              <w:t>Description</w:t>
            </w:r>
          </w:p>
        </w:tc>
        <w:tc>
          <w:tcPr>
            <w:tcW w:type="dxa" w:w="8352"/>
            <w:shd w:val="clear" w:color="auto" w:fill="FFFFFF"/>
          </w:tcPr>
          <w:p>
            <w:r>
              <w:rPr>
                <w:color w:val="4A4A4A"/>
                <w:sz w:val="18"/>
              </w:rPr>
              <w:t>allow_origins=['*'] with allow_credentials=True configured in dev/test mode, acceptable locally but dangerous in shared or remote deployments.</w:t>
            </w:r>
          </w:p>
        </w:tc>
      </w:tr>
      <w:tr>
        <w:tc>
          <w:tcPr>
            <w:tcW w:type="dxa" w:w="1728"/>
            <w:shd w:val="clear" w:color="auto" w:fill="F2F4F8"/>
          </w:tcPr>
          <w:p>
            <w:r>
              <w:rPr>
                <w:b/>
                <w:color w:val="00275A"/>
                <w:sz w:val="18"/>
              </w:rPr>
              <w:t>Impact</w:t>
            </w:r>
          </w:p>
        </w:tc>
        <w:tc>
          <w:tcPr>
            <w:tcW w:type="dxa" w:w="8352"/>
            <w:shd w:val="clear" w:color="auto" w:fill="FFF8E1"/>
          </w:tcPr>
          <w:p>
            <w:r>
              <w:rPr>
                <w:color w:val="4A4A4A"/>
                <w:sz w:val="18"/>
              </w:rPr>
              <w:t>Cross-origin attacks from untrusted origins enabling credential theft or API misuse if environment profile is misconfigured.</w:t>
            </w:r>
          </w:p>
        </w:tc>
      </w:tr>
      <w:tr>
        <w:tc>
          <w:tcPr>
            <w:tcW w:type="dxa" w:w="1728"/>
            <w:shd w:val="clear" w:color="auto" w:fill="F2F4F8"/>
          </w:tcPr>
          <w:p>
            <w:r>
              <w:rPr>
                <w:b/>
                <w:color w:val="00275A"/>
                <w:sz w:val="18"/>
              </w:rPr>
              <w:t>Remediation</w:t>
            </w:r>
          </w:p>
        </w:tc>
        <w:tc>
          <w:tcPr>
            <w:tcW w:type="dxa" w:w="8352"/>
            <w:shd w:val="clear" w:color="auto" w:fill="E8F5E9"/>
          </w:tcPr>
          <w:p>
            <w:r>
              <w:rPr>
                <w:color w:val="4A4A4A"/>
                <w:sz w:val="18"/>
              </w:rPr>
              <w:t>Production CORS profile explicitly whitelists approved origins: http://192.168.101.20:8088, http://localhost:8802, http://127.0.0.1:8802, https://sita.example.com. Wildcard origins confined to dev profiles only.</w:t>
            </w:r>
          </w:p>
        </w:tc>
      </w:tr>
      <w:tr>
        <w:tc>
          <w:tcPr>
            <w:tcW w:type="dxa" w:w="1728"/>
            <w:shd w:val="clear" w:color="auto" w:fill="F2F4F8"/>
          </w:tcPr>
          <w:p>
            <w:r>
              <w:rPr>
                <w:b/>
                <w:color w:val="00275A"/>
                <w:sz w:val="18"/>
              </w:rPr>
              <w:t>Evidence</w:t>
            </w:r>
          </w:p>
        </w:tc>
        <w:tc>
          <w:tcPr>
            <w:tcW w:type="dxa" w:w="8352"/>
            <w:shd w:val="clear" w:color="auto" w:fill="E3F2FD"/>
          </w:tcPr>
          <w:p>
            <w:r>
              <w:rPr>
                <w:color w:val="4A4A4A"/>
                <w:sz w:val="18"/>
              </w:rPr>
              <w:t>test_R04_cors_origin_confinement - PASSED</w:t>
            </w:r>
          </w:p>
        </w:tc>
      </w:tr>
    </w:tbl>
    <w:p>
      <w:pPr>
        <w:spacing w:before="80" w:after="80"/>
        <w:pBdr>
          <w:bottom w:val="single" w:sz="6" w:space="1" w:color="005BB5"/>
        </w:pBdr>
      </w:pPr>
    </w:p>
    <w:tbl>
      <w:tblPr>
        <w:tblStyle w:val="TableGrid"/>
        <w:tblW w:type="auto" w:w="0"/>
        <w:tblLook w:firstColumn="1" w:firstRow="1" w:lastColumn="0" w:lastRow="0" w:noHBand="0" w:noVBand="1" w:val="04A0"/>
      </w:tblPr>
      <w:tblGrid>
        <w:gridCol w:w="3135"/>
        <w:gridCol w:w="3135"/>
        <w:gridCol w:w="3135"/>
      </w:tblGrid>
      <w:tr>
        <w:tc>
          <w:tcPr>
            <w:tcW w:type="dxa" w:w="1584"/>
            <w:shd w:val="clear" w:color="auto" w:fill="D4AC0D"/>
          </w:tcPr>
          <w:p>
            <w:pPr>
              <w:jc w:val="center"/>
            </w:pPr>
            <w:r>
              <w:rPr>
                <w:b/>
                <w:color w:val="FFFFFF"/>
                <w:sz w:val="18"/>
              </w:rPr>
              <w:t>MEDIUM</w:t>
            </w:r>
          </w:p>
        </w:tc>
        <w:tc>
          <w:tcPr>
            <w:tcW w:type="dxa" w:w="6336"/>
            <w:shd w:val="clear" w:color="auto" w:fill="00275A"/>
          </w:tcPr>
          <w:p>
            <w:pPr>
              <w:jc w:val="center"/>
            </w:pPr>
            <w:r>
              <w:rPr>
                <w:b/>
                <w:color w:val="FFFFFF"/>
                <w:sz w:val="18"/>
              </w:rPr>
              <w:t>F-05 - OpenAPI / Swagger Documentation Exposure</w:t>
            </w:r>
          </w:p>
        </w:tc>
        <w:tc>
          <w:tcPr>
            <w:tcW w:type="dxa" w:w="2160"/>
            <w:shd w:val="clear" w:color="auto" w:fill="1A7348"/>
          </w:tcPr>
          <w:p>
            <w:pPr>
              <w:jc w:val="center"/>
            </w:pPr>
            <w:r>
              <w:rPr>
                <w:b/>
                <w:color w:val="FFFFFF"/>
                <w:sz w:val="18"/>
              </w:rPr>
              <w:t>REMEDIATED</w:t>
            </w:r>
          </w:p>
        </w:tc>
      </w:tr>
    </w:tbl>
    <w:tbl>
      <w:tblPr>
        <w:tblStyle w:val="TableGrid"/>
        <w:tblW w:type="auto" w:w="0"/>
        <w:tblLook w:firstColumn="1" w:firstRow="1" w:lastColumn="0" w:lastRow="0" w:noHBand="0" w:noVBand="1" w:val="04A0"/>
      </w:tblPr>
      <w:tblGrid>
        <w:gridCol w:w="4703"/>
        <w:gridCol w:w="4703"/>
      </w:tblGrid>
      <w:tr>
        <w:tc>
          <w:tcPr>
            <w:tcW w:type="dxa" w:w="1728"/>
            <w:shd w:val="clear" w:color="auto" w:fill="F2F4F8"/>
          </w:tcPr>
          <w:p>
            <w:r>
              <w:rPr>
                <w:b/>
                <w:color w:val="00275A"/>
                <w:sz w:val="18"/>
              </w:rPr>
              <w:t>Description</w:t>
            </w:r>
          </w:p>
        </w:tc>
        <w:tc>
          <w:tcPr>
            <w:tcW w:type="dxa" w:w="8352"/>
            <w:shd w:val="clear" w:color="auto" w:fill="FFFFFF"/>
          </w:tcPr>
          <w:p>
            <w:r>
              <w:rPr>
                <w:color w:val="4A4A4A"/>
                <w:sz w:val="18"/>
              </w:rPr>
              <w:t>Swagger UI (/docs), ReDoc (/redoc), and /openapi.json conditionally enabled in dev/test mode, leaking internal API contracts if environment was misconfigured.</w:t>
            </w:r>
          </w:p>
        </w:tc>
      </w:tr>
      <w:tr>
        <w:tc>
          <w:tcPr>
            <w:tcW w:type="dxa" w:w="1728"/>
            <w:shd w:val="clear" w:color="auto" w:fill="F2F4F8"/>
          </w:tcPr>
          <w:p>
            <w:r>
              <w:rPr>
                <w:b/>
                <w:color w:val="00275A"/>
                <w:sz w:val="18"/>
              </w:rPr>
              <w:t>Impact</w:t>
            </w:r>
          </w:p>
        </w:tc>
        <w:tc>
          <w:tcPr>
            <w:tcW w:type="dxa" w:w="8352"/>
            <w:shd w:val="clear" w:color="auto" w:fill="FFF8E1"/>
          </w:tcPr>
          <w:p>
            <w:r>
              <w:rPr>
                <w:color w:val="4A4A4A"/>
                <w:sz w:val="18"/>
              </w:rPr>
              <w:t>Attackers enumerate all endpoints, roles, and request/response structures, accelerating reconnaissance and exploitation.</w:t>
            </w:r>
          </w:p>
        </w:tc>
      </w:tr>
      <w:tr>
        <w:tc>
          <w:tcPr>
            <w:tcW w:type="dxa" w:w="1728"/>
            <w:shd w:val="clear" w:color="auto" w:fill="F2F4F8"/>
          </w:tcPr>
          <w:p>
            <w:r>
              <w:rPr>
                <w:b/>
                <w:color w:val="00275A"/>
                <w:sz w:val="18"/>
              </w:rPr>
              <w:t>Remediation</w:t>
            </w:r>
          </w:p>
        </w:tc>
        <w:tc>
          <w:tcPr>
            <w:tcW w:type="dxa" w:w="8352"/>
            <w:shd w:val="clear" w:color="auto" w:fill="E8F5E9"/>
          </w:tcPr>
          <w:p>
            <w:r>
              <w:rPr>
                <w:color w:val="4A4A4A"/>
                <w:sz w:val="18"/>
              </w:rPr>
              <w:t>FastAPI instantiated with docs_url=None, redoc_url=None, openapi_url=None in all non-dev environments. /docs returns 404 on remote deployed stack.</w:t>
            </w:r>
          </w:p>
        </w:tc>
      </w:tr>
      <w:tr>
        <w:tc>
          <w:tcPr>
            <w:tcW w:type="dxa" w:w="1728"/>
            <w:shd w:val="clear" w:color="auto" w:fill="F2F4F8"/>
          </w:tcPr>
          <w:p>
            <w:r>
              <w:rPr>
                <w:b/>
                <w:color w:val="00275A"/>
                <w:sz w:val="18"/>
              </w:rPr>
              <w:t>Evidence</w:t>
            </w:r>
          </w:p>
        </w:tc>
        <w:tc>
          <w:tcPr>
            <w:tcW w:type="dxa" w:w="8352"/>
            <w:shd w:val="clear" w:color="auto" w:fill="E3F2FD"/>
          </w:tcPr>
          <w:p>
            <w:r>
              <w:rPr>
                <w:color w:val="4A4A4A"/>
                <w:sz w:val="18"/>
              </w:rPr>
              <w:t>test_R05_swagger_disabled_production - PASSED</w:t>
            </w:r>
          </w:p>
        </w:tc>
      </w:tr>
    </w:tbl>
    <w:p>
      <w:pPr>
        <w:spacing w:before="80" w:after="80"/>
        <w:pBdr>
          <w:bottom w:val="single" w:sz="6" w:space="1" w:color="005BB5"/>
        </w:pBdr>
      </w:pPr>
    </w:p>
    <w:tbl>
      <w:tblPr>
        <w:tblStyle w:val="TableGrid"/>
        <w:tblW w:type="auto" w:w="0"/>
        <w:tblLook w:firstColumn="1" w:firstRow="1" w:lastColumn="0" w:lastRow="0" w:noHBand="0" w:noVBand="1" w:val="04A0"/>
      </w:tblPr>
      <w:tblGrid>
        <w:gridCol w:w="3135"/>
        <w:gridCol w:w="3135"/>
        <w:gridCol w:w="3135"/>
      </w:tblGrid>
      <w:tr>
        <w:tc>
          <w:tcPr>
            <w:tcW w:type="dxa" w:w="1584"/>
            <w:shd w:val="clear" w:color="auto" w:fill="D4AC0D"/>
          </w:tcPr>
          <w:p>
            <w:pPr>
              <w:jc w:val="center"/>
            </w:pPr>
            <w:r>
              <w:rPr>
                <w:b/>
                <w:color w:val="FFFFFF"/>
                <w:sz w:val="18"/>
              </w:rPr>
              <w:t>MEDIUM</w:t>
            </w:r>
          </w:p>
        </w:tc>
        <w:tc>
          <w:tcPr>
            <w:tcW w:type="dxa" w:w="6336"/>
            <w:shd w:val="clear" w:color="auto" w:fill="00275A"/>
          </w:tcPr>
          <w:p>
            <w:pPr>
              <w:jc w:val="center"/>
            </w:pPr>
            <w:r>
              <w:rPr>
                <w:b/>
                <w:color w:val="FFFFFF"/>
                <w:sz w:val="18"/>
              </w:rPr>
              <w:t>F-06 - Identity Configuration Gap - MFA Not Enforced</w:t>
            </w:r>
          </w:p>
        </w:tc>
        <w:tc>
          <w:tcPr>
            <w:tcW w:type="dxa" w:w="2160"/>
            <w:shd w:val="clear" w:color="auto" w:fill="D47D00"/>
          </w:tcPr>
          <w:p>
            <w:pPr>
              <w:jc w:val="center"/>
            </w:pPr>
            <w:r>
              <w:rPr>
                <w:b/>
                <w:color w:val="FFFFFF"/>
                <w:sz w:val="18"/>
              </w:rPr>
              <w:t>IN PROGRESS</w:t>
            </w:r>
          </w:p>
        </w:tc>
      </w:tr>
    </w:tbl>
    <w:tbl>
      <w:tblPr>
        <w:tblStyle w:val="TableGrid"/>
        <w:tblW w:type="auto" w:w="0"/>
        <w:tblLook w:firstColumn="1" w:firstRow="1" w:lastColumn="0" w:lastRow="0" w:noHBand="0" w:noVBand="1" w:val="04A0"/>
      </w:tblPr>
      <w:tblGrid>
        <w:gridCol w:w="4703"/>
        <w:gridCol w:w="4703"/>
      </w:tblGrid>
      <w:tr>
        <w:tc>
          <w:tcPr>
            <w:tcW w:type="dxa" w:w="1728"/>
            <w:shd w:val="clear" w:color="auto" w:fill="F2F4F8"/>
          </w:tcPr>
          <w:p>
            <w:r>
              <w:rPr>
                <w:b/>
                <w:color w:val="00275A"/>
                <w:sz w:val="18"/>
              </w:rPr>
              <w:t>Description</w:t>
            </w:r>
          </w:p>
        </w:tc>
        <w:tc>
          <w:tcPr>
            <w:tcW w:type="dxa" w:w="8352"/>
            <w:shd w:val="clear" w:color="auto" w:fill="FFFFFF"/>
          </w:tcPr>
          <w:p>
            <w:r>
              <w:rPr>
                <w:color w:val="4A4A4A"/>
                <w:sz w:val="18"/>
              </w:rPr>
              <w:t>Okta account profile had no MFA enforced. Okta Verify, Google Authenticator, SMS, and Security Question all disabled.</w:t>
            </w:r>
          </w:p>
        </w:tc>
      </w:tr>
      <w:tr>
        <w:tc>
          <w:tcPr>
            <w:tcW w:type="dxa" w:w="1728"/>
            <w:shd w:val="clear" w:color="auto" w:fill="F2F4F8"/>
          </w:tcPr>
          <w:p>
            <w:r>
              <w:rPr>
                <w:b/>
                <w:color w:val="00275A"/>
                <w:sz w:val="18"/>
              </w:rPr>
              <w:t>Impact</w:t>
            </w:r>
          </w:p>
        </w:tc>
        <w:tc>
          <w:tcPr>
            <w:tcW w:type="dxa" w:w="8352"/>
            <w:shd w:val="clear" w:color="auto" w:fill="FFF8E1"/>
          </w:tcPr>
          <w:p>
            <w:r>
              <w:rPr>
                <w:color w:val="4A4A4A"/>
                <w:sz w:val="18"/>
              </w:rPr>
              <w:t>Single compromised password yields full account compromise with no second-factor barrier.</w:t>
            </w:r>
          </w:p>
        </w:tc>
      </w:tr>
      <w:tr>
        <w:tc>
          <w:tcPr>
            <w:tcW w:type="dxa" w:w="1728"/>
            <w:shd w:val="clear" w:color="auto" w:fill="F2F4F8"/>
          </w:tcPr>
          <w:p>
            <w:r>
              <w:rPr>
                <w:b/>
                <w:color w:val="00275A"/>
                <w:sz w:val="18"/>
              </w:rPr>
              <w:t>Remediation</w:t>
            </w:r>
          </w:p>
        </w:tc>
        <w:tc>
          <w:tcPr>
            <w:tcW w:type="dxa" w:w="8352"/>
            <w:shd w:val="clear" w:color="auto" w:fill="E8F5E9"/>
          </w:tcPr>
          <w:p>
            <w:r>
              <w:rPr>
                <w:color w:val="4A4A4A"/>
                <w:sz w:val="18"/>
              </w:rPr>
              <w:t>Institutional policy item assigned to SITA identity administration. Okta MFA to be enforced for all administrator accounts before production cutover. Phishing-resistant methods (Okta Verify) preferred.</w:t>
            </w:r>
          </w:p>
        </w:tc>
      </w:tr>
      <w:tr>
        <w:tc>
          <w:tcPr>
            <w:tcW w:type="dxa" w:w="1728"/>
            <w:shd w:val="clear" w:color="auto" w:fill="F2F4F8"/>
          </w:tcPr>
          <w:p>
            <w:r>
              <w:rPr>
                <w:b/>
                <w:color w:val="00275A"/>
                <w:sz w:val="18"/>
              </w:rPr>
              <w:t>Evidence</w:t>
            </w:r>
          </w:p>
        </w:tc>
        <w:tc>
          <w:tcPr>
            <w:tcW w:type="dxa" w:w="8352"/>
            <w:shd w:val="clear" w:color="auto" w:fill="E3F2FD"/>
          </w:tcPr>
          <w:p>
            <w:r>
              <w:rPr>
                <w:color w:val="4A4A4A"/>
                <w:sz w:val="18"/>
              </w:rPr>
              <w:t>Pending - Okta administrator action required. Target: pre-production cutover.</w:t>
            </w:r>
          </w:p>
        </w:tc>
      </w:tr>
    </w:tbl>
    <w:p>
      <w:pPr>
        <w:spacing w:before="80" w:after="80"/>
        <w:pBdr>
          <w:bottom w:val="single" w:sz="6" w:space="1" w:color="005BB5"/>
        </w:pBdr>
      </w:pPr>
    </w:p>
    <w:p>
      <w:pPr>
        <w:pStyle w:val="Heading1"/>
        <w:spacing w:before="240" w:after="80"/>
      </w:pPr>
      <w:r>
        <w:rPr>
          <w:b/>
          <w:color w:val="00275A"/>
          <w:sz w:val="30"/>
        </w:rPr>
        <w:t>5. Environmental Drift &amp; Gap Analysis</w:t>
      </w:r>
    </w:p>
    <w:p>
      <w:pPr>
        <w:spacing w:before="0" w:after="80"/>
      </w:pPr>
      <w:r>
        <w:rPr>
          <w:b w:val="0"/>
          <w:color w:val="4A4A4A"/>
          <w:sz w:val="20"/>
        </w:rPr>
        <w:t>Side-by-side comparison of local development baseline vs remote containerised staging.</w:t>
      </w:r>
    </w:p>
    <w:tbl>
      <w:tblPr>
        <w:tblStyle w:val="TableGrid"/>
        <w:tblW w:type="auto" w:w="0"/>
        <w:tblLook w:firstColumn="1" w:firstRow="1" w:lastColumn="0" w:lastRow="0" w:noHBand="0" w:noVBand="1" w:val="04A0"/>
      </w:tblPr>
      <w:tblGrid>
        <w:gridCol w:w="2351"/>
        <w:gridCol w:w="2351"/>
        <w:gridCol w:w="2351"/>
        <w:gridCol w:w="2351"/>
      </w:tblGrid>
      <w:tr>
        <w:tc>
          <w:tcPr>
            <w:tcW w:type="dxa" w:w="2016"/>
            <w:shd w:val="clear" w:color="auto" w:fill="00275A"/>
          </w:tcPr>
          <w:p>
            <w:pPr>
              <w:jc w:val="center"/>
            </w:pPr>
            <w:r>
              <w:rPr>
                <w:b/>
                <w:color w:val="FFFFFF"/>
                <w:sz w:val="18"/>
              </w:rPr>
              <w:t>Dimension</w:t>
            </w:r>
          </w:p>
        </w:tc>
        <w:tc>
          <w:tcPr>
            <w:tcW w:type="dxa" w:w="2016"/>
            <w:shd w:val="clear" w:color="auto" w:fill="00275A"/>
          </w:tcPr>
          <w:p>
            <w:pPr>
              <w:jc w:val="center"/>
            </w:pPr>
            <w:r>
              <w:rPr>
                <w:b/>
                <w:color w:val="FFFFFF"/>
                <w:sz w:val="18"/>
              </w:rPr>
              <w:t>Local Baseline</w:t>
            </w:r>
          </w:p>
        </w:tc>
        <w:tc>
          <w:tcPr>
            <w:tcW w:type="dxa" w:w="3600"/>
            <w:shd w:val="clear" w:color="auto" w:fill="00275A"/>
          </w:tcPr>
          <w:p>
            <w:pPr>
              <w:jc w:val="center"/>
            </w:pPr>
            <w:r>
              <w:rPr>
                <w:b/>
                <w:color w:val="FFFFFF"/>
                <w:sz w:val="18"/>
              </w:rPr>
              <w:t>Remote Staging (192.168.101.20)</w:t>
            </w:r>
          </w:p>
        </w:tc>
        <w:tc>
          <w:tcPr>
            <w:tcW w:type="dxa" w:w="1728"/>
            <w:shd w:val="clear" w:color="auto" w:fill="00275A"/>
          </w:tcPr>
          <w:p>
            <w:pPr>
              <w:jc w:val="center"/>
            </w:pPr>
            <w:r>
              <w:rPr>
                <w:b/>
                <w:color w:val="FFFFFF"/>
                <w:sz w:val="18"/>
              </w:rPr>
              <w:t>Status</w:t>
            </w:r>
          </w:p>
        </w:tc>
      </w:tr>
      <w:tr>
        <w:tc>
          <w:tcPr>
            <w:tcW w:type="dxa" w:w="2351"/>
            <w:shd w:val="clear" w:color="auto" w:fill="FFFFFF"/>
          </w:tcPr>
          <w:p>
            <w:r>
              <w:rPr>
                <w:b/>
                <w:color w:val="4A4A4A"/>
                <w:sz w:val="18"/>
              </w:rPr>
              <w:t>Network Perimeter</w:t>
            </w:r>
          </w:p>
        </w:tc>
        <w:tc>
          <w:tcPr>
            <w:tcW w:type="dxa" w:w="2351"/>
            <w:shd w:val="clear" w:color="auto" w:fill="FFFFFF"/>
          </w:tcPr>
          <w:p>
            <w:r>
              <w:rPr>
                <w:color w:val="4A4A4A"/>
                <w:sz w:val="18"/>
              </w:rPr>
              <w:t>Loopback 127.0.0.1</w:t>
            </w:r>
          </w:p>
        </w:tc>
        <w:tc>
          <w:tcPr>
            <w:tcW w:type="dxa" w:w="2351"/>
            <w:shd w:val="clear" w:color="auto" w:fill="FFFFFF"/>
          </w:tcPr>
          <w:p>
            <w:r>
              <w:rPr>
                <w:color w:val="4A4A4A"/>
                <w:sz w:val="18"/>
              </w:rPr>
              <w:t>LAN 192.168.101.20 + FortiClient VPN tunnels (8801/8802)</w:t>
            </w:r>
          </w:p>
        </w:tc>
        <w:tc>
          <w:tcPr>
            <w:tcW w:type="dxa" w:w="2351"/>
            <w:shd w:val="clear" w:color="auto" w:fill="E8F5E9"/>
          </w:tcPr>
          <w:p>
            <w:pPr>
              <w:jc w:val="center"/>
            </w:pPr>
            <w:r>
              <w:rPr>
                <w:b/>
                <w:color w:val="1A7348"/>
                <w:sz w:val="18"/>
              </w:rPr>
              <w:t>Controlled</w:t>
            </w:r>
          </w:p>
        </w:tc>
      </w:tr>
      <w:tr>
        <w:tc>
          <w:tcPr>
            <w:tcW w:type="dxa" w:w="2351"/>
            <w:shd w:val="clear" w:color="auto" w:fill="F2F4F8"/>
          </w:tcPr>
          <w:p>
            <w:r>
              <w:rPr>
                <w:b/>
                <w:color w:val="4A4A4A"/>
                <w:sz w:val="18"/>
              </w:rPr>
              <w:t>Ingress Topology</w:t>
            </w:r>
          </w:p>
        </w:tc>
        <w:tc>
          <w:tcPr>
            <w:tcW w:type="dxa" w:w="2351"/>
            <w:shd w:val="clear" w:color="auto" w:fill="F2F4F8"/>
          </w:tcPr>
          <w:p>
            <w:r>
              <w:rPr>
                <w:color w:val="4A4A4A"/>
                <w:sz w:val="18"/>
              </w:rPr>
              <w:t>Vite dev server :5173</w:t>
            </w:r>
          </w:p>
        </w:tc>
        <w:tc>
          <w:tcPr>
            <w:tcW w:type="dxa" w:w="2351"/>
            <w:shd w:val="clear" w:color="auto" w:fill="F2F4F8"/>
          </w:tcPr>
          <w:p>
            <w:r>
              <w:rPr>
                <w:color w:val="4A4A4A"/>
                <w:sz w:val="18"/>
              </w:rPr>
              <w:t>Nginx :8088 reverse proxy to unprivileged frontend :8080</w:t>
            </w:r>
          </w:p>
        </w:tc>
        <w:tc>
          <w:tcPr>
            <w:tcW w:type="dxa" w:w="2351"/>
            <w:shd w:val="clear" w:color="auto" w:fill="E3F2FD"/>
          </w:tcPr>
          <w:p>
            <w:pPr>
              <w:jc w:val="center"/>
            </w:pPr>
            <w:r>
              <w:rPr>
                <w:b/>
                <w:color w:val="005BB5"/>
                <w:sz w:val="18"/>
              </w:rPr>
              <w:t>Improved</w:t>
            </w:r>
          </w:p>
        </w:tc>
      </w:tr>
      <w:tr>
        <w:tc>
          <w:tcPr>
            <w:tcW w:type="dxa" w:w="2351"/>
            <w:shd w:val="clear" w:color="auto" w:fill="FFFFFF"/>
          </w:tcPr>
          <w:p>
            <w:r>
              <w:rPr>
                <w:b/>
                <w:color w:val="4A4A4A"/>
                <w:sz w:val="18"/>
              </w:rPr>
              <w:t>Database Schema</w:t>
            </w:r>
          </w:p>
        </w:tc>
        <w:tc>
          <w:tcPr>
            <w:tcW w:type="dxa" w:w="2351"/>
            <w:shd w:val="clear" w:color="auto" w:fill="FFFFFF"/>
          </w:tcPr>
          <w:p>
            <w:r>
              <w:rPr>
                <w:color w:val="4A4A4A"/>
                <w:sz w:val="18"/>
              </w:rPr>
              <w:t>Local SQLite/Postgres</w:t>
            </w:r>
          </w:p>
        </w:tc>
        <w:tc>
          <w:tcPr>
            <w:tcW w:type="dxa" w:w="2351"/>
            <w:shd w:val="clear" w:color="auto" w:fill="FFFFFF"/>
          </w:tcPr>
          <w:p>
            <w:r>
              <w:rPr>
                <w:color w:val="4A4A4A"/>
                <w:sz w:val="18"/>
              </w:rPr>
              <w:t>Docker PostgreSQL 16-Alpine. ministry_id, cluster_id, owasp_* columns added.</w:t>
            </w:r>
          </w:p>
        </w:tc>
        <w:tc>
          <w:tcPr>
            <w:tcW w:type="dxa" w:w="2351"/>
            <w:shd w:val="clear" w:color="auto" w:fill="E8F5E9"/>
          </w:tcPr>
          <w:p>
            <w:pPr>
              <w:jc w:val="center"/>
            </w:pPr>
            <w:r>
              <w:rPr>
                <w:b/>
                <w:color w:val="1A7348"/>
                <w:sz w:val="18"/>
              </w:rPr>
              <w:t>Synchronised</w:t>
            </w:r>
          </w:p>
        </w:tc>
      </w:tr>
      <w:tr>
        <w:tc>
          <w:tcPr>
            <w:tcW w:type="dxa" w:w="2351"/>
            <w:shd w:val="clear" w:color="auto" w:fill="F2F4F8"/>
          </w:tcPr>
          <w:p>
            <w:r>
              <w:rPr>
                <w:b/>
                <w:color w:val="4A4A4A"/>
                <w:sz w:val="18"/>
              </w:rPr>
              <w:t>Env Profile</w:t>
            </w:r>
          </w:p>
        </w:tc>
        <w:tc>
          <w:tcPr>
            <w:tcW w:type="dxa" w:w="2351"/>
            <w:shd w:val="clear" w:color="auto" w:fill="F2F4F8"/>
          </w:tcPr>
          <w:p>
            <w:r>
              <w:rPr>
                <w:color w:val="4A4A4A"/>
                <w:sz w:val="18"/>
              </w:rPr>
              <w:t>dev mode</w:t>
            </w:r>
          </w:p>
        </w:tc>
        <w:tc>
          <w:tcPr>
            <w:tcW w:type="dxa" w:w="2351"/>
            <w:shd w:val="clear" w:color="auto" w:fill="F2F4F8"/>
          </w:tcPr>
          <w:p>
            <w:r>
              <w:rPr>
                <w:color w:val="4A4A4A"/>
                <w:sz w:val="18"/>
              </w:rPr>
              <w:t>development (Staging Testbed). ENVIRONMENT=production required before go-live.</w:t>
            </w:r>
          </w:p>
        </w:tc>
        <w:tc>
          <w:tcPr>
            <w:tcW w:type="dxa" w:w="2351"/>
            <w:shd w:val="clear" w:color="auto" w:fill="FFF8E1"/>
          </w:tcPr>
          <w:p>
            <w:pPr>
              <w:jc w:val="center"/>
            </w:pPr>
            <w:r>
              <w:rPr>
                <w:b/>
                <w:color w:val="D47D00"/>
                <w:sz w:val="18"/>
              </w:rPr>
              <w:t>Acceptable</w:t>
            </w:r>
          </w:p>
        </w:tc>
      </w:tr>
    </w:tbl>
    <w:p>
      <w:pPr>
        <w:spacing w:before="80" w:after="80"/>
        <w:pBdr>
          <w:bottom w:val="single" w:sz="6" w:space="1" w:color="005BB5"/>
        </w:pBdr>
      </w:pPr>
    </w:p>
    <w:p>
      <w:pPr>
        <w:pStyle w:val="Heading1"/>
        <w:spacing w:before="240" w:after="80"/>
      </w:pPr>
      <w:r>
        <w:rPr>
          <w:b/>
          <w:color w:val="00275A"/>
          <w:sz w:val="30"/>
        </w:rPr>
        <w:t>6. Empirical Verification Results</w:t>
      </w:r>
    </w:p>
    <w:tbl>
      <w:tblPr>
        <w:tblStyle w:val="TableGrid"/>
        <w:tblW w:type="auto" w:w="0"/>
        <w:tblLook w:firstColumn="1" w:firstRow="1" w:lastColumn="0" w:lastRow="0" w:noHBand="0" w:noVBand="1" w:val="04A0"/>
      </w:tblPr>
      <w:tblGrid>
        <w:gridCol w:w="3135"/>
        <w:gridCol w:w="3135"/>
        <w:gridCol w:w="3135"/>
      </w:tblGrid>
      <w:tr>
        <w:tc>
          <w:tcPr>
            <w:tcW w:type="dxa" w:w="3312"/>
            <w:shd w:val="clear" w:color="auto" w:fill="00275A"/>
          </w:tcPr>
          <w:p>
            <w:pPr>
              <w:jc w:val="center"/>
            </w:pPr>
            <w:r>
              <w:rPr>
                <w:b/>
                <w:color w:val="FFFFFF"/>
                <w:sz w:val="18"/>
              </w:rPr>
              <w:t>Test / Check</w:t>
            </w:r>
          </w:p>
        </w:tc>
        <w:tc>
          <w:tcPr>
            <w:tcW w:type="dxa" w:w="4608"/>
            <w:shd w:val="clear" w:color="auto" w:fill="00275A"/>
          </w:tcPr>
          <w:p>
            <w:pPr>
              <w:jc w:val="center"/>
            </w:pPr>
            <w:r>
              <w:rPr>
                <w:b/>
                <w:color w:val="FFFFFF"/>
                <w:sz w:val="18"/>
              </w:rPr>
              <w:t>Observed Outcome</w:t>
            </w:r>
          </w:p>
        </w:tc>
        <w:tc>
          <w:tcPr>
            <w:tcW w:type="dxa" w:w="2160"/>
            <w:shd w:val="clear" w:color="auto" w:fill="00275A"/>
          </w:tcPr>
          <w:p>
            <w:pPr>
              <w:jc w:val="center"/>
            </w:pPr>
            <w:r>
              <w:rPr>
                <w:b/>
                <w:color w:val="FFFFFF"/>
                <w:sz w:val="18"/>
              </w:rPr>
              <w:t>Result</w:t>
            </w:r>
          </w:p>
        </w:tc>
      </w:tr>
      <w:tr>
        <w:tc>
          <w:tcPr>
            <w:tcW w:type="dxa" w:w="3135"/>
            <w:shd w:val="clear" w:color="auto" w:fill="FFFFFF"/>
          </w:tcPr>
          <w:p>
            <w:r>
              <w:rPr>
                <w:b/>
                <w:color w:val="4A4A4A"/>
                <w:sz w:val="18"/>
              </w:rPr>
              <w:t>Automated Remediation Suite (19 tests)</w:t>
            </w:r>
          </w:p>
        </w:tc>
        <w:tc>
          <w:tcPr>
            <w:tcW w:type="dxa" w:w="3135"/>
            <w:shd w:val="clear" w:color="auto" w:fill="FFFFFF"/>
          </w:tcPr>
          <w:p>
            <w:r>
              <w:rPr>
                <w:color w:val="4A4A4A"/>
                <w:sz w:val="18"/>
              </w:rPr>
              <w:t>All 19 tests covering R-01 to R-08 passed. Credential guardrails, rate limiting, CORS confinement, Swagger masking, ECDSA attestation, tenant isolation all verified.</w:t>
            </w:r>
          </w:p>
        </w:tc>
        <w:tc>
          <w:tcPr>
            <w:tcW w:type="dxa" w:w="3135"/>
            <w:shd w:val="clear" w:color="auto" w:fill="E8F5E9"/>
          </w:tcPr>
          <w:p>
            <w:pPr>
              <w:jc w:val="center"/>
            </w:pPr>
            <w:r>
              <w:rPr>
                <w:b/>
                <w:color w:val="1A7348"/>
                <w:sz w:val="18"/>
              </w:rPr>
              <w:t>19/19 PASS</w:t>
            </w:r>
          </w:p>
        </w:tc>
      </w:tr>
      <w:tr>
        <w:tc>
          <w:tcPr>
            <w:tcW w:type="dxa" w:w="3135"/>
            <w:shd w:val="clear" w:color="auto" w:fill="F2F4F8"/>
          </w:tcPr>
          <w:p>
            <w:r>
              <w:rPr>
                <w:b/>
                <w:color w:val="4A4A4A"/>
                <w:sz w:val="18"/>
              </w:rPr>
              <w:t>Security Headers - :8088 Nginx</w:t>
            </w:r>
          </w:p>
        </w:tc>
        <w:tc>
          <w:tcPr>
            <w:tcW w:type="dxa" w:w="3135"/>
            <w:shd w:val="clear" w:color="auto" w:fill="F2F4F8"/>
          </w:tcPr>
          <w:p>
            <w:r>
              <w:rPr>
                <w:color w:val="4A4A4A"/>
                <w:sz w:val="18"/>
              </w:rPr>
              <w:t>X-Frame-Options: DENY, X-Content-Type-Options: nosniff, X-XSS-Protection, Referrer-Policy, Permissions-Policy all present. Server: nginx without version.</w:t>
            </w:r>
          </w:p>
        </w:tc>
        <w:tc>
          <w:tcPr>
            <w:tcW w:type="dxa" w:w="3135"/>
            <w:shd w:val="clear" w:color="auto" w:fill="E8F5E9"/>
          </w:tcPr>
          <w:p>
            <w:pPr>
              <w:jc w:val="center"/>
            </w:pPr>
            <w:r>
              <w:rPr>
                <w:b/>
                <w:color w:val="1A7348"/>
                <w:sz w:val="18"/>
              </w:rPr>
              <w:t>PASS</w:t>
            </w:r>
          </w:p>
        </w:tc>
      </w:tr>
      <w:tr>
        <w:tc>
          <w:tcPr>
            <w:tcW w:type="dxa" w:w="3135"/>
            <w:shd w:val="clear" w:color="auto" w:fill="FFFFFF"/>
          </w:tcPr>
          <w:p>
            <w:r>
              <w:rPr>
                <w:b/>
                <w:color w:val="4A4A4A"/>
                <w:sz w:val="18"/>
              </w:rPr>
              <w:t>Security Headers - :8000 Backend</w:t>
            </w:r>
          </w:p>
        </w:tc>
        <w:tc>
          <w:tcPr>
            <w:tcW w:type="dxa" w:w="3135"/>
            <w:shd w:val="clear" w:color="auto" w:fill="FFFFFF"/>
          </w:tcPr>
          <w:p>
            <w:r>
              <w:rPr>
                <w:color w:val="4A4A4A"/>
                <w:sz w:val="18"/>
              </w:rPr>
              <w:t>All 5 headers + full Content-Security-Policy present. No Server header emitted (--no-server-header active).</w:t>
            </w:r>
          </w:p>
        </w:tc>
        <w:tc>
          <w:tcPr>
            <w:tcW w:type="dxa" w:w="3135"/>
            <w:shd w:val="clear" w:color="auto" w:fill="E8F5E9"/>
          </w:tcPr>
          <w:p>
            <w:pPr>
              <w:jc w:val="center"/>
            </w:pPr>
            <w:r>
              <w:rPr>
                <w:b/>
                <w:color w:val="1A7348"/>
                <w:sz w:val="18"/>
              </w:rPr>
              <w:t>PASS</w:t>
            </w:r>
          </w:p>
        </w:tc>
      </w:tr>
      <w:tr>
        <w:tc>
          <w:tcPr>
            <w:tcW w:type="dxa" w:w="3135"/>
            <w:shd w:val="clear" w:color="auto" w:fill="F2F4F8"/>
          </w:tcPr>
          <w:p>
            <w:r>
              <w:rPr>
                <w:b/>
                <w:color w:val="4A4A4A"/>
                <w:sz w:val="18"/>
              </w:rPr>
              <w:t>Auth Rate Limiting</w:t>
            </w:r>
          </w:p>
        </w:tc>
        <w:tc>
          <w:tcPr>
            <w:tcW w:type="dxa" w:w="3135"/>
            <w:shd w:val="clear" w:color="auto" w:fill="F2F4F8"/>
          </w:tcPr>
          <w:p>
            <w:r>
              <w:rPr>
                <w:color w:val="4A4A4A"/>
                <w:sz w:val="18"/>
              </w:rPr>
              <w:t>Attempts 1-10 returned 401 Unauthorized. Attempt 11+ returned 429 Too Many Requests. Sliding-window brute-force throttling active and verified.</w:t>
            </w:r>
          </w:p>
        </w:tc>
        <w:tc>
          <w:tcPr>
            <w:tcW w:type="dxa" w:w="3135"/>
            <w:shd w:val="clear" w:color="auto" w:fill="E8F5E9"/>
          </w:tcPr>
          <w:p>
            <w:pPr>
              <w:jc w:val="center"/>
            </w:pPr>
            <w:r>
              <w:rPr>
                <w:b/>
                <w:color w:val="1A7348"/>
                <w:sz w:val="18"/>
              </w:rPr>
              <w:t>PASS</w:t>
            </w:r>
          </w:p>
        </w:tc>
      </w:tr>
      <w:tr>
        <w:tc>
          <w:tcPr>
            <w:tcW w:type="dxa" w:w="3135"/>
            <w:shd w:val="clear" w:color="auto" w:fill="FFFFFF"/>
          </w:tcPr>
          <w:p>
            <w:r>
              <w:rPr>
                <w:b/>
                <w:color w:val="4A4A4A"/>
                <w:sz w:val="18"/>
              </w:rPr>
              <w:t>Multi-Tenant Data Isolation</w:t>
            </w:r>
          </w:p>
        </w:tc>
        <w:tc>
          <w:tcPr>
            <w:tcW w:type="dxa" w:w="3135"/>
            <w:shd w:val="clear" w:color="auto" w:fill="FFFFFF"/>
          </w:tcPr>
          <w:p>
            <w:r>
              <w:rPr>
                <w:color w:val="4A4A4A"/>
                <w:sz w:val="18"/>
              </w:rPr>
              <w:t>DHA tenant received 166 attributed findings. Non-DHA tenant received 0. Zero cross-tenant leakage observed.</w:t>
            </w:r>
          </w:p>
        </w:tc>
        <w:tc>
          <w:tcPr>
            <w:tcW w:type="dxa" w:w="3135"/>
            <w:shd w:val="clear" w:color="auto" w:fill="E8F5E9"/>
          </w:tcPr>
          <w:p>
            <w:pPr>
              <w:jc w:val="center"/>
            </w:pPr>
            <w:r>
              <w:rPr>
                <w:b/>
                <w:color w:val="1A7348"/>
                <w:sz w:val="18"/>
              </w:rPr>
              <w:t>PASS</w:t>
            </w:r>
          </w:p>
        </w:tc>
      </w:tr>
    </w:tbl>
    <w:p>
      <w:pPr>
        <w:spacing w:before="80" w:after="80"/>
        <w:pBdr>
          <w:bottom w:val="single" w:sz="6" w:space="1" w:color="005BB5"/>
        </w:pBdr>
      </w:pPr>
    </w:p>
    <w:p>
      <w:pPr>
        <w:pStyle w:val="Heading1"/>
        <w:spacing w:before="240" w:after="80"/>
      </w:pPr>
      <w:r>
        <w:rPr>
          <w:b/>
          <w:color w:val="00275A"/>
          <w:sz w:val="30"/>
        </w:rPr>
        <w:t>7. Conclusion &amp; Pre-Production Recommendations</w:t>
      </w:r>
    </w:p>
    <w:p>
      <w:pPr>
        <w:spacing w:before="0" w:after="80"/>
      </w:pPr>
      <w:r>
        <w:rPr>
          <w:b w:val="0"/>
          <w:color w:val="4A4A4A"/>
          <w:sz w:val="20"/>
        </w:rPr>
        <w:t>The Delta VAPT confirms successful remediation of all Critical and High severity vulnerabilities. The platform demonstrates materially improved security posture:</w:t>
      </w:r>
    </w:p>
    <w:p>
      <w:pPr>
        <w:pStyle w:val="ListBullet"/>
        <w:spacing w:before="0" w:after="40"/>
      </w:pPr>
      <w:r>
        <w:rPr>
          <w:color w:val="1A7348"/>
          <w:sz w:val="20"/>
        </w:rPr>
        <w:t>Credential guardrails active - rejects default/weak secrets at startup.</w:t>
      </w:r>
    </w:p>
    <w:p>
      <w:pPr>
        <w:pStyle w:val="ListBullet"/>
        <w:spacing w:before="0" w:after="40"/>
      </w:pPr>
      <w:r>
        <w:rPr>
          <w:color w:val="1A7348"/>
          <w:sz w:val="20"/>
        </w:rPr>
        <w:t>All five mandatory security response headers present on Nginx and FastAPI layers.</w:t>
      </w:r>
    </w:p>
    <w:p>
      <w:pPr>
        <w:pStyle w:val="ListBullet"/>
        <w:spacing w:before="0" w:after="40"/>
      </w:pPr>
      <w:r>
        <w:rPr>
          <w:color w:val="1A7348"/>
          <w:sz w:val="20"/>
        </w:rPr>
        <w:t>Server version tokens suppressed across all services.</w:t>
      </w:r>
    </w:p>
    <w:p>
      <w:pPr>
        <w:pStyle w:val="ListBullet"/>
        <w:spacing w:before="0" w:after="40"/>
      </w:pPr>
      <w:r>
        <w:rPr>
          <w:color w:val="1A7348"/>
          <w:sz w:val="20"/>
        </w:rPr>
        <w:t>Authentication brute-force protection active with verified sliding-window rate limiter.</w:t>
      </w:r>
    </w:p>
    <w:p>
      <w:pPr>
        <w:pStyle w:val="ListBullet"/>
        <w:spacing w:before="0" w:after="40"/>
      </w:pPr>
      <w:r>
        <w:rPr>
          <w:color w:val="1A7348"/>
          <w:sz w:val="20"/>
        </w:rPr>
        <w:t>Multi-tenant query isolation enforced with zero cross-tenant data leakage observed.</w:t>
      </w:r>
    </w:p>
    <w:p>
      <w:pPr>
        <w:pStyle w:val="ListBullet"/>
        <w:spacing w:before="0" w:after="40"/>
      </w:pPr>
      <w:r>
        <w:rPr>
          <w:color w:val="1A7348"/>
          <w:sz w:val="20"/>
        </w:rPr>
        <w:t>PII fields protected with AES-256-GCM encryption.</w:t>
      </w:r>
    </w:p>
    <w:p>
      <w:pPr>
        <w:pStyle w:val="ListBullet"/>
        <w:spacing w:before="0" w:after="40"/>
      </w:pPr>
      <w:r>
        <w:rPr>
          <w:color w:val="1A7348"/>
          <w:sz w:val="20"/>
        </w:rPr>
        <w:t>Export payloads digitally signed with ECDSA P-256 and tamper-evident.</w:t>
      </w:r>
    </w:p>
    <w:p/>
    <w:p>
      <w:pPr>
        <w:pStyle w:val="Heading2"/>
        <w:spacing w:before="240" w:after="80"/>
      </w:pPr>
      <w:r>
        <w:rPr>
          <w:b/>
          <w:color w:val="00275A"/>
          <w:sz w:val="24"/>
        </w:rPr>
        <w:t>Pre-Production Cutover Actions (Required Before Go-Live)</w:t>
      </w:r>
    </w:p>
    <w:p>
      <w:pPr>
        <w:pStyle w:val="ListBullet"/>
        <w:spacing w:before="0" w:after="40"/>
      </w:pPr>
      <w:r>
        <w:rPr>
          <w:color w:val="D47D00"/>
          <w:sz w:val="20"/>
        </w:rPr>
        <w:t>Set ENVIRONMENT=production in /opt/sita/sita-platform/infrastructure/.env</w:t>
      </w:r>
    </w:p>
    <w:p>
      <w:pPr>
        <w:pStyle w:val="ListBullet"/>
        <w:spacing w:before="0" w:after="40"/>
      </w:pPr>
      <w:r>
        <w:rPr>
          <w:color w:val="D47D00"/>
          <w:sz w:val="20"/>
        </w:rPr>
        <w:t>Back up PII_ENCRYPTION_KEY in SITA institutional key vault</w:t>
      </w:r>
    </w:p>
    <w:p>
      <w:pPr>
        <w:pStyle w:val="ListBullet"/>
        <w:spacing w:before="0" w:after="40"/>
      </w:pPr>
      <w:r>
        <w:rPr>
          <w:color w:val="D47D00"/>
          <w:sz w:val="20"/>
        </w:rPr>
        <w:t>Enforce MFA on all administrator accounts in Okta identity provider</w:t>
      </w:r>
    </w:p>
    <w:p>
      <w:pPr>
        <w:pStyle w:val="ListBullet"/>
        <w:spacing w:before="0" w:after="40"/>
      </w:pPr>
      <w:r>
        <w:rPr>
          <w:color w:val="D47D00"/>
          <w:sz w:val="20"/>
        </w:rPr>
        <w:t>Restrict /health/detailed to internal IP ranges or authenticated admin roles</w:t>
      </w:r>
    </w:p>
    <w:p>
      <w:pPr>
        <w:pStyle w:val="ListBullet"/>
        <w:spacing w:before="0" w:after="40"/>
      </w:pPr>
      <w:r>
        <w:rPr>
          <w:color w:val="D47D00"/>
          <w:sz w:val="20"/>
        </w:rPr>
        <w:t>Enable HTTPS/TLS termination with HSTS (max-age=63072000; includeSubDomains; preload)</w:t>
      </w:r>
    </w:p>
    <w:p>
      <w:pPr>
        <w:spacing w:before="80" w:after="80"/>
        <w:pBdr>
          <w:bottom w:val="single" w:sz="6" w:space="1" w:color="005BB5"/>
        </w:pBdr>
      </w:pPr>
    </w:p>
    <w:p>
      <w:pPr>
        <w:pStyle w:val="Heading1"/>
        <w:spacing w:before="240" w:after="80"/>
      </w:pPr>
      <w:r>
        <w:rPr>
          <w:b/>
          <w:color w:val="00275A"/>
          <w:sz w:val="30"/>
        </w:rPr>
        <w:t>8. Assessment Sign-Off</w:t>
      </w:r>
    </w:p>
    <w:tbl>
      <w:tblPr>
        <w:tblStyle w:val="TableGrid"/>
        <w:tblW w:type="auto" w:w="0"/>
        <w:tblLook w:firstColumn="1" w:firstRow="1" w:lastColumn="0" w:lastRow="0" w:noHBand="0" w:noVBand="1" w:val="04A0"/>
      </w:tblPr>
      <w:tblGrid>
        <w:gridCol w:w="4703"/>
        <w:gridCol w:w="4703"/>
      </w:tblGrid>
      <w:tr>
        <w:tc>
          <w:tcPr>
            <w:tcW w:type="dxa" w:w="4703"/>
            <w:shd w:val="clear" w:color="auto" w:fill="F2F4F8"/>
          </w:tcPr>
          <w:p>
            <w:r>
              <w:rPr>
                <w:b/>
                <w:color w:val="00275A"/>
                <w:sz w:val="18"/>
              </w:rPr>
              <w:t>Lead Evaluator</w:t>
            </w:r>
          </w:p>
        </w:tc>
        <w:tc>
          <w:tcPr>
            <w:tcW w:type="dxa" w:w="4703"/>
          </w:tcPr>
          <w:p>
            <w:r>
              <w:rPr>
                <w:color w:val="4A4A4A"/>
                <w:sz w:val="18"/>
              </w:rPr>
              <w:t>Takawira Mazando</w:t>
            </w:r>
          </w:p>
        </w:tc>
      </w:tr>
      <w:tr>
        <w:tc>
          <w:tcPr>
            <w:tcW w:type="dxa" w:w="4703"/>
            <w:shd w:val="clear" w:color="auto" w:fill="F2F4F8"/>
          </w:tcPr>
          <w:p>
            <w:r>
              <w:rPr>
                <w:b/>
                <w:color w:val="00275A"/>
                <w:sz w:val="18"/>
              </w:rPr>
              <w:t>Role</w:t>
            </w:r>
          </w:p>
        </w:tc>
        <w:tc>
          <w:tcPr>
            <w:tcW w:type="dxa" w:w="4703"/>
          </w:tcPr>
          <w:p>
            <w:r>
              <w:rPr>
                <w:color w:val="4A4A4A"/>
                <w:sz w:val="18"/>
              </w:rPr>
              <w:t>Technical Lead - SITA Platform Engineering</w:t>
            </w:r>
          </w:p>
        </w:tc>
      </w:tr>
      <w:tr>
        <w:tc>
          <w:tcPr>
            <w:tcW w:type="dxa" w:w="4703"/>
            <w:shd w:val="clear" w:color="auto" w:fill="F2F4F8"/>
          </w:tcPr>
          <w:p>
            <w:r>
              <w:rPr>
                <w:b/>
                <w:color w:val="00275A"/>
                <w:sz w:val="18"/>
              </w:rPr>
              <w:t>Assessment Date</w:t>
            </w:r>
          </w:p>
        </w:tc>
        <w:tc>
          <w:tcPr>
            <w:tcW w:type="dxa" w:w="4703"/>
          </w:tcPr>
          <w:p>
            <w:r>
              <w:rPr>
                <w:color w:val="4A4A4A"/>
                <w:sz w:val="18"/>
              </w:rPr>
              <w:t>12 October 2026</w:t>
            </w:r>
          </w:p>
        </w:tc>
      </w:tr>
      <w:tr>
        <w:tc>
          <w:tcPr>
            <w:tcW w:type="dxa" w:w="4703"/>
            <w:shd w:val="clear" w:color="auto" w:fill="F2F4F8"/>
          </w:tcPr>
          <w:p>
            <w:r>
              <w:rPr>
                <w:b/>
                <w:color w:val="00275A"/>
                <w:sz w:val="18"/>
              </w:rPr>
              <w:t>Overall Outcome</w:t>
            </w:r>
          </w:p>
        </w:tc>
        <w:tc>
          <w:tcPr>
            <w:tcW w:type="dxa" w:w="4703"/>
          </w:tcPr>
          <w:p>
            <w:r>
              <w:rPr>
                <w:b/>
                <w:color w:val="1A7348"/>
                <w:sz w:val="18"/>
              </w:rPr>
              <w:t>PASSED - All Critical &amp; High Vulnerabilities Remediated</w:t>
            </w:r>
          </w:p>
        </w:tc>
      </w:tr>
      <w:tr>
        <w:tc>
          <w:tcPr>
            <w:tcW w:type="dxa" w:w="4703"/>
            <w:shd w:val="clear" w:color="auto" w:fill="F2F4F8"/>
          </w:tcPr>
          <w:p>
            <w:r>
              <w:rPr>
                <w:b/>
                <w:color w:val="00275A"/>
                <w:sz w:val="18"/>
              </w:rPr>
              <w:t>Classification</w:t>
            </w:r>
          </w:p>
        </w:tc>
        <w:tc>
          <w:tcPr>
            <w:tcW w:type="dxa" w:w="4703"/>
          </w:tcPr>
          <w:p>
            <w:r>
              <w:rPr>
                <w:color w:val="4A4A4A"/>
                <w:sz w:val="18"/>
              </w:rPr>
              <w:t>CONFIDENTIAL - Internal Use Only</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A4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