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A44" w:color="1F2A44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before="20" w:after="40" w:line="252" w:lineRule="auto"/>
            </w:pPr>
            <w:r/>
            <w:r>
              <w:rPr>
                <w:rFonts w:ascii="Calibri" w:hAnsi="Calibri"/>
                <w:b/>
                <w:color w:val="FFFFFF"/>
                <w:sz w:val="30"/>
              </w:rPr>
              <w:t>BANTU INFOTECH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b/>
                <w:color w:val="C9A24B"/>
                <w:sz w:val="20"/>
              </w:rPr>
              <w:t>(B.iT)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>INV-2026-010  •  SITA Security Platform &amp; FMCG Ingestion Data Lake Backend Architecture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color w:val="D9D2BE"/>
                <w:sz w:val="18"/>
              </w:rPr>
              <w:t>Period: 23 September 2026 – 22 October 2026</w:t>
            </w:r>
          </w:p>
        </w:tc>
      </w:tr>
    </w:tbl>
    <w:p>
      <w:pPr>
        <w:spacing w:after="60"/>
      </w:pP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24B"/>
                <w:sz w:val="16"/>
                <w:szCs w:val="16"/>
              </w:rPr>
              <w:t xml:space="preserve">PREPARED BY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6203A"/>
                <w:sz w:val="19"/>
                <w:szCs w:val="19"/>
              </w:rPr>
              <w:t xml:space="preserve">Takawira Mazando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66666"/>
                <w:sz w:val="17"/>
                <w:szCs w:val="17"/>
              </w:rPr>
              <w:t xml:space="preserve">Senior Full Stack Software Developer</w:t>
            </w:r>
          </w:p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Bantu InfoTech (B.iT)</w:t>
            </w:r>
          </w:p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0672 319 200</w:t>
            </w:r>
          </w:p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takawira.mazando@entailabs.com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200"/>
              <w:bottom w:type="dxa" w:w="120"/>
              <w:right w:type="dxa" w:w="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24B"/>
                <w:sz w:val="16"/>
                <w:szCs w:val="16"/>
              </w:rPr>
              <w:t xml:space="preserve">CLIENT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6203A"/>
                <w:sz w:val="19"/>
                <w:szCs w:val="19"/>
              </w:rPr>
              <w:t xml:space="preserve">Hosi Technologies (Pty) Ltd</w:t>
            </w:r>
          </w:p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Attn: Koketso Molelemane</w:t>
            </w:r>
          </w:p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Koketso@hosi.co.za</w:t>
            </w:r>
          </w:p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Hosi Academy LMS Division</w:t>
            </w:r>
          </w:p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Block A, 2nd Floor, The Pivot, Fourways, Johannesburg</w:t>
            </w:r>
          </w:p>
        </w:tc>
      </w:tr>
    </w:tbl>
    <w:p>
      <w:pPr>
        <w:spacing w:after="200" w:before="120"/>
      </w:pPr>
      <w:r/>
      <w:r>
        <w:rPr>
          <w:rFonts w:ascii="Calibri" w:hAnsi="Calibri"/>
          <w:b/>
          <w:color w:val="16203A"/>
          <w:sz w:val="17"/>
        </w:rPr>
        <w:t xml:space="preserve">Project: </w:t>
      </w:r>
      <w:r>
        <w:rPr>
          <w:rFonts w:ascii="Calibri" w:hAnsi="Calibri"/>
          <w:color w:val="333333"/>
          <w:sz w:val="17"/>
        </w:rPr>
        <w:t>SITA Security Intelligence Platform (Addendum B, AppScan SAST/DAST Remediation, AIMI AI Layer) &amp; FMCG Enterprise Ingestion, Data Lake &amp; Predictive Analytics Backend Architecture</w:t>
      </w:r>
      <w:r>
        <w:rPr>
          <w:rFonts w:ascii="Calibri" w:hAnsi="Calibri"/>
          <w:b/>
          <w:color w:val="16203A"/>
          <w:sz w:val="17"/>
        </w:rPr>
        <w:br/>
        <w:t xml:space="preserve">   |   Contract: </w:t>
      </w:r>
      <w:r>
        <w:rPr>
          <w:rFonts w:ascii="Calibri" w:hAnsi="Calibri"/>
          <w:color w:val="333333"/>
          <w:sz w:val="17"/>
        </w:rPr>
        <w:t>Monthly Retainer under Independent Contractor Agreement (01 May 2026 – 30 April 2028 per ADD-2026-002)</w:t>
      </w:r>
      <w:r>
        <w:rPr>
          <w:rFonts w:ascii="Calibri" w:hAnsi="Calibri"/>
          <w:b/>
          <w:color w:val="16203A"/>
          <w:sz w:val="17"/>
        </w:rPr>
        <w:br/>
        <w:t xml:space="preserve">   |   Period: </w:t>
      </w:r>
      <w:r>
        <w:rPr>
          <w:rFonts w:ascii="Calibri" w:hAnsi="Calibri"/>
          <w:color w:val="333333"/>
          <w:sz w:val="17"/>
        </w:rPr>
        <w:t>23 September 2026 – 22 October 2026</w:t>
      </w:r>
      <w:r>
        <w:rPr>
          <w:rFonts w:ascii="Calibri" w:hAnsi="Calibri"/>
          <w:b/>
          <w:color w:val="16203A"/>
          <w:sz w:val="17"/>
        </w:rPr>
        <w:t xml:space="preserve">   |   Date: </w:t>
      </w:r>
      <w:r>
        <w:rPr>
          <w:rFonts w:ascii="Calibri" w:hAnsi="Calibri"/>
          <w:color w:val="333333"/>
          <w:sz w:val="17"/>
        </w:rPr>
        <w:t>22 October 2026</w:t>
      </w:r>
      <w:r>
        <w:rPr>
          <w:rFonts w:ascii="Calibri" w:hAnsi="Calibri"/>
          <w:b/>
          <w:color w:val="16203A"/>
          <w:sz w:val="17"/>
        </w:rPr>
        <w:t xml:space="preserve">   |   Invoice: </w:t>
      </w:r>
      <w:r>
        <w:rPr>
          <w:rFonts w:ascii="Calibri" w:hAnsi="Calibri"/>
          <w:color w:val="333333"/>
          <w:sz w:val="17"/>
        </w:rPr>
        <w:t>INV-2026-010</w:t>
      </w:r>
      <w:r>
        <w:rPr>
          <w:rFonts w:ascii="Calibri" w:hAnsi="Calibri"/>
          <w:b/>
          <w:color w:val="16203A"/>
          <w:sz w:val="17"/>
        </w:rPr>
        <w:br/>
        <w:t xml:space="preserve">   |   Contact: </w:t>
      </w:r>
      <w:r>
        <w:rPr>
          <w:rFonts w:ascii="Calibri" w:hAnsi="Calibri"/>
          <w:color w:val="333333"/>
          <w:sz w:val="17"/>
        </w:rPr>
        <w:t>admin@hosi.co.za</w:t>
      </w:r>
    </w:p>
    <w:p>
      <w:pPr>
        <w:spacing w:after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300"/>
        <w:gridCol w:w="1200"/>
      </w:tblGrid>
      <w:tr>
        <w:trPr>
          <w:tblHeader/>
        </w:trPr>
        <w:tc>
          <w:tcPr>
            <w:tcW w:type="dxa" w:w="8000"/>
            <w:gridSpan w:val="2"/>
            <w:tcBorders>
              <w:top w:val="single" w:color="1F2A44" w:sz="4"/>
              <w:left w:val="single" w:color="1F2A44" w:sz="4"/>
              <w:bottom w:val="single" w:color="1F2A44" w:sz="4"/>
              <w:right w:val="single" w:color="1F2A44" w:sz="4"/>
            </w:tcBorders>
            <w:shd w:fill="1F2A44" w:color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20" w:after="40" w:line="252" w:lineRule="auto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PART 1 – FLIGHT PLANNING &amp; ADDENDUM B COMPRESSION (23 SEP – 07 OCT)</w:t>
            </w:r>
          </w:p>
        </w:tc>
        <w:tc>
          <w:tcPr>
            <w:tcW w:type="dxa" w:w="1200"/>
            <w:tcBorders>
              <w:top w:val="single" w:color="1F2A44" w:sz="4"/>
              <w:left w:val="single" w:color="1F2A44" w:sz="4"/>
              <w:bottom w:val="single" w:color="1F2A44" w:sz="4"/>
              <w:right w:val="single" w:color="1F2A44" w:sz="4"/>
            </w:tcBorders>
            <w:shd w:fill="1F2A44" w:color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20" w:after="40" w:line="252" w:lineRule="auto"/>
              <w:jc w:val="righ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18 HRS</w:t>
            </w:r>
          </w:p>
        </w:tc>
      </w:tr>
      <w:t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203A"/>
                <w:sz w:val="17"/>
                <w:szCs w:val="17"/>
              </w:rPr>
              <w:t xml:space="preserve">#</w:t>
            </w:r>
          </w:p>
        </w:tc>
        <w:tc>
          <w:tcPr>
            <w:tcW w:type="dxa" w:w="7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203A"/>
                <w:sz w:val="17"/>
                <w:szCs w:val="17"/>
              </w:rPr>
              <w:t xml:space="preserve">DELIVERABLE / DESCRIPTION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6203A"/>
                <w:sz w:val="17"/>
                <w:szCs w:val="17"/>
              </w:rPr>
              <w:t xml:space="preserve">HRS</w:t>
            </w:r>
          </w:p>
        </w:tc>
      </w:tr>
      <w:t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pPr>
              <w:spacing w:before="20" w:after="40" w:line="252" w:lineRule="auto"/>
            </w:pPr>
            <w:r/>
            <w:r>
              <w:rPr>
                <w:rFonts w:ascii="Calibri" w:hAnsi="Calibri"/>
                <w:b/>
                <w:color w:val="1F2A44"/>
                <w:sz w:val="18"/>
              </w:rPr>
              <w:t>1.1</w:t>
            </w:r>
          </w:p>
        </w:tc>
        <w:tc>
          <w:tcPr>
            <w:tcW w:type="dxa" w:w="7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Calibri" w:hAnsi="Calibri"/>
                <w:b/>
                <w:color w:val="16203A"/>
                <w:sz w:val="19"/>
              </w:rPr>
              <w:t>Unified Flight Plan Addendum B &amp; Execution Decomposition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b/>
                <w:color w:val="C9A24B"/>
                <w:sz w:val="18"/>
              </w:rPr>
              <w:t xml:space="preserve">• </w:t>
            </w:r>
            <w:r>
              <w:rPr>
                <w:rFonts w:ascii="Calibri" w:hAnsi="Calibri"/>
                <w:color w:val="333333"/>
                <w:sz w:val="18"/>
              </w:rPr>
              <w:t>Re-engineered flight plan compression from 12-day to 9-day execution window (Plan v4)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b/>
                <w:color w:val="C9A24B"/>
                <w:sz w:val="18"/>
              </w:rPr>
              <w:t xml:space="preserve">• </w:t>
            </w:r>
            <w:r>
              <w:rPr>
                <w:rFonts w:ascii="Calibri" w:hAnsi="Calibri"/>
                <w:color w:val="333333"/>
                <w:sz w:val="18"/>
              </w:rPr>
              <w:t>Authored HOSI-UNIFIED_FLIGHT_PLAN_ADDENDUM_B_G2_9DAY_COMPRESSION.xlsx decomposing 39 discrete engineering tasks (T01–T39, 14.25 PD)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b/>
                <w:color w:val="C9A24B"/>
                <w:sz w:val="18"/>
              </w:rPr>
              <w:t xml:space="preserve">• </w:t>
            </w:r>
            <w:r>
              <w:rPr>
                <w:rFonts w:ascii="Calibri" w:hAnsi="Calibri"/>
                <w:color w:val="333333"/>
                <w:sz w:val="18"/>
              </w:rPr>
              <w:t>Established strict boundary verification: separated prompt authoring from verification, with verifier containment test assertions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b/>
                <w:color w:val="C9A24B"/>
                <w:sz w:val="18"/>
              </w:rPr>
              <w:t xml:space="preserve">• </w:t>
            </w:r>
            <w:r>
              <w:rPr>
                <w:rFonts w:ascii="Calibri" w:hAnsi="Calibri"/>
                <w:color w:val="333333"/>
                <w:sz w:val="18"/>
              </w:rPr>
              <w:t>Authored scratch/build_9day_addendum.py (1,715 lines) validating resource capacity, float, and gate milestones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before="20" w:after="40" w:line="252" w:lineRule="auto"/>
              <w:jc w:val="right"/>
            </w:pPr>
            <w:r/>
            <w:r>
              <w:rPr>
                <w:rFonts w:ascii="Calibri" w:hAnsi="Calibri"/>
                <w:b/>
                <w:color w:val="1F2A44"/>
                <w:sz w:val="19"/>
              </w:rPr>
              <w:t>9</w:t>
            </w:r>
          </w:p>
        </w:tc>
      </w:tr>
      <w:t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pPr>
              <w:spacing w:before="20" w:after="40" w:line="252" w:lineRule="auto"/>
            </w:pPr>
            <w:r/>
            <w:r>
              <w:rPr>
                <w:rFonts w:ascii="Calibri" w:hAnsi="Calibri"/>
                <w:b/>
                <w:color w:val="1F2A44"/>
                <w:sz w:val="18"/>
              </w:rPr>
              <w:t>1.2</w:t>
            </w:r>
          </w:p>
        </w:tc>
        <w:tc>
          <w:tcPr>
            <w:tcW w:type="dxa" w:w="7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Calibri" w:hAnsi="Calibri"/>
                <w:b/>
                <w:color w:val="16203A"/>
                <w:sz w:val="19"/>
              </w:rPr>
              <w:t>Architecture Decision Records &amp; Evidence Pack Framework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b/>
                <w:color w:val="C9A24B"/>
                <w:sz w:val="18"/>
              </w:rPr>
              <w:t xml:space="preserve">• </w:t>
            </w:r>
            <w:r>
              <w:rPr>
                <w:rFonts w:ascii="Calibri" w:hAnsi="Calibri"/>
                <w:color w:val="333333"/>
                <w:sz w:val="18"/>
              </w:rPr>
              <w:t>Authored comprehensive governance suite: docs/AI_INTEGRATION_PLAN_MASTER.md (660 lines) and 01_G2_POC_Plan_2026-10-05_to_2026-10-15.md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b/>
                <w:color w:val="C9A24B"/>
                <w:sz w:val="18"/>
              </w:rPr>
              <w:t xml:space="preserve">• </w:t>
            </w:r>
            <w:r>
              <w:rPr>
                <w:rFonts w:ascii="Calibri" w:hAnsi="Calibri"/>
                <w:color w:val="333333"/>
                <w:sz w:val="18"/>
              </w:rPr>
              <w:t>Authored 02_G2_POC_Decision_Papers_D1-D8.md, 05_G2_Agent_Architecture_Assessment.md, and 06_G2_Architecture_Decision_Record.md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b/>
                <w:color w:val="C9A24B"/>
                <w:sz w:val="18"/>
              </w:rPr>
              <w:t xml:space="preserve">• </w:t>
            </w:r>
            <w:r>
              <w:rPr>
                <w:rFonts w:ascii="Calibri" w:hAnsi="Calibri"/>
                <w:color w:val="333333"/>
                <w:sz w:val="18"/>
              </w:rPr>
              <w:t>Compiled 08_Evidence_Pack.md (DEL-19): non-interference proof, verification-independence proof, latency budget register, and acceptance checklist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b/>
                <w:color w:val="C9A24B"/>
                <w:sz w:val="18"/>
              </w:rPr>
              <w:t xml:space="preserve">• </w:t>
            </w:r>
            <w:r>
              <w:rPr>
                <w:rFonts w:ascii="Calibri" w:hAnsi="Calibri"/>
                <w:color w:val="333333"/>
                <w:sz w:val="18"/>
              </w:rPr>
              <w:t>Implemented cryptographic ECDSA P-256 PKI Attestation Keypair engine (backend/app/security_pki.py) for attestation signing and verification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before="20" w:after="40" w:line="252" w:lineRule="auto"/>
              <w:jc w:val="right"/>
            </w:pPr>
            <w:r/>
            <w:r>
              <w:rPr>
                <w:rFonts w:ascii="Calibri" w:hAnsi="Calibri"/>
                <w:b/>
                <w:color w:val="1F2A44"/>
                <w:sz w:val="19"/>
              </w:rPr>
              <w:t>9</w:t>
            </w:r>
          </w:p>
        </w:tc>
      </w:tr>
      <w:tr>
        <w:tc>
          <w:tcPr>
            <w:tcW w:type="dxa" w:w="8000"/>
            <w:gridSpan w:val="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E4D8" w:color="E8E4D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20" w:after="40" w:line="252" w:lineRule="auto"/>
            </w:pPr>
            <w:r/>
            <w:r>
              <w:rPr>
                <w:rFonts w:ascii="Calibri" w:hAnsi="Calibri"/>
                <w:b/>
                <w:color w:val="16203A"/>
                <w:sz w:val="19"/>
              </w:rPr>
              <w:t>Part 1 Subtotal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E4D8" w:color="E8E4D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20" w:after="40" w:line="252" w:lineRule="auto"/>
              <w:jc w:val="right"/>
            </w:pPr>
            <w:r/>
            <w:r>
              <w:rPr>
                <w:rFonts w:ascii="Calibri" w:hAnsi="Calibri"/>
                <w:b/>
                <w:color w:val="16203A"/>
                <w:sz w:val="19"/>
              </w:rPr>
              <w:t>18</w:t>
            </w:r>
          </w:p>
        </w:tc>
      </w:tr>
    </w:tbl>
    <w:p>
      <w:pPr>
        <w:spacing w:after="2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300"/>
        <w:gridCol w:w="1200"/>
      </w:tblGrid>
      <w:tr>
        <w:trPr>
          <w:tblHeader/>
        </w:trPr>
        <w:tc>
          <w:tcPr>
            <w:tcW w:type="dxa" w:w="8000"/>
            <w:gridSpan w:val="2"/>
            <w:tcBorders>
              <w:top w:val="single" w:color="1F2A44" w:sz="4"/>
              <w:left w:val="single" w:color="1F2A44" w:sz="4"/>
              <w:bottom w:val="single" w:color="1F2A44" w:sz="4"/>
              <w:right w:val="single" w:color="1F2A44" w:sz="4"/>
            </w:tcBorders>
            <w:shd w:fill="1F2A44" w:color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20" w:after="40" w:line="252" w:lineRule="auto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PART 2 – MULTI-TENANCY HARDENING &amp; GOVERNANCE EVIDENCE (07 – 12 OCT)</w:t>
            </w:r>
          </w:p>
        </w:tc>
        <w:tc>
          <w:tcPr>
            <w:tcW w:type="dxa" w:w="1200"/>
            <w:tcBorders>
              <w:top w:val="single" w:color="1F2A44" w:sz="4"/>
              <w:left w:val="single" w:color="1F2A44" w:sz="4"/>
              <w:bottom w:val="single" w:color="1F2A44" w:sz="4"/>
              <w:right w:val="single" w:color="1F2A44" w:sz="4"/>
            </w:tcBorders>
            <w:shd w:fill="1F2A44" w:color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20" w:after="40" w:line="252" w:lineRule="auto"/>
              <w:jc w:val="righ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18 HRS</w:t>
            </w:r>
          </w:p>
        </w:tc>
      </w:tr>
      <w:t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203A"/>
                <w:sz w:val="17"/>
                <w:szCs w:val="17"/>
              </w:rPr>
              <w:t xml:space="preserve">#</w:t>
            </w:r>
          </w:p>
        </w:tc>
        <w:tc>
          <w:tcPr>
            <w:tcW w:type="dxa" w:w="7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203A"/>
                <w:sz w:val="17"/>
                <w:szCs w:val="17"/>
              </w:rPr>
              <w:t xml:space="preserve">DELIVERABLE / DESCRIPTION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6203A"/>
                <w:sz w:val="17"/>
                <w:szCs w:val="17"/>
              </w:rPr>
              <w:t xml:space="preserve">HRS</w:t>
            </w:r>
          </w:p>
        </w:tc>
      </w:tr>
      <w:t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pPr>
              <w:spacing w:before="20" w:after="40" w:line="252" w:lineRule="auto"/>
            </w:pPr>
            <w:r/>
            <w:r>
              <w:rPr>
                <w:rFonts w:ascii="Calibri" w:hAnsi="Calibri"/>
                <w:b/>
                <w:color w:val="1F2A44"/>
                <w:sz w:val="18"/>
              </w:rPr>
              <w:t>2.1</w:t>
            </w:r>
          </w:p>
        </w:tc>
        <w:tc>
          <w:tcPr>
            <w:tcW w:type="dxa" w:w="7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Calibri" w:hAnsi="Calibri"/>
                <w:b/>
                <w:color w:val="16203A"/>
                <w:sz w:val="19"/>
              </w:rPr>
              <w:t>Regulatory Alignment &amp; Security Mapping Matrix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b/>
                <w:color w:val="C9A24B"/>
                <w:sz w:val="18"/>
              </w:rPr>
              <w:t xml:space="preserve">• </w:t>
            </w:r>
            <w:r>
              <w:rPr>
                <w:rFonts w:ascii="Calibri" w:hAnsi="Calibri"/>
                <w:color w:val="333333"/>
                <w:sz w:val="18"/>
              </w:rPr>
              <w:t>Authored docs/B3_POPIA_Compliance_Assessment.md and docs/B4_POPIA_Remediation_Plan.md establishing zero-log PII guardrails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b/>
                <w:color w:val="C9A24B"/>
                <w:sz w:val="18"/>
              </w:rPr>
              <w:t xml:space="preserve">• </w:t>
            </w:r>
            <w:r>
              <w:rPr>
                <w:rFonts w:ascii="Calibri" w:hAnsi="Calibri"/>
                <w:color w:val="333333"/>
                <w:sz w:val="18"/>
              </w:rPr>
              <w:t>Formulated compliance traceability documentation: C1_Requirements_Traceability_Matrix.md, C2_Framework_Security_Mapping.md, and C3_CISO_Four_Tier_Role_Mapping.md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b/>
                <w:color w:val="C9A24B"/>
                <w:sz w:val="18"/>
              </w:rPr>
              <w:t xml:space="preserve">• </w:t>
            </w:r>
            <w:r>
              <w:rPr>
                <w:rFonts w:ascii="Calibri" w:hAnsi="Calibri"/>
                <w:color w:val="333333"/>
                <w:sz w:val="18"/>
              </w:rPr>
              <w:t>Authored C4_Customer_Outcomes_Persona_Matrix.md, A1_Automated_Test_Report_Pack.md, and A2_Master_Test_Registry.md (2,347 lines) mapping 150+ automated test verifications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b/>
                <w:color w:val="C9A24B"/>
                <w:sz w:val="18"/>
              </w:rPr>
              <w:t xml:space="preserve">• </w:t>
            </w:r>
            <w:r>
              <w:rPr>
                <w:rFonts w:ascii="Calibri" w:hAnsi="Calibri"/>
                <w:color w:val="333333"/>
                <w:sz w:val="18"/>
              </w:rPr>
              <w:t>Developed scripts/export_master_registry.py with defusedxml and canonical path validation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before="20" w:after="40" w:line="252" w:lineRule="auto"/>
              <w:jc w:val="right"/>
            </w:pPr>
            <w:r/>
            <w:r>
              <w:rPr>
                <w:rFonts w:ascii="Calibri" w:hAnsi="Calibri"/>
                <w:b/>
                <w:color w:val="1F2A44"/>
                <w:sz w:val="19"/>
              </w:rPr>
              <w:t>10</w:t>
            </w:r>
          </w:p>
        </w:tc>
      </w:tr>
      <w:t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pPr>
              <w:spacing w:before="20" w:after="40" w:line="252" w:lineRule="auto"/>
            </w:pPr>
            <w:r/>
            <w:r>
              <w:rPr>
                <w:rFonts w:ascii="Calibri" w:hAnsi="Calibri"/>
                <w:b/>
                <w:color w:val="1F2A44"/>
                <w:sz w:val="18"/>
              </w:rPr>
              <w:t>2.2</w:t>
            </w:r>
          </w:p>
        </w:tc>
        <w:tc>
          <w:tcPr>
            <w:tcW w:type="dxa" w:w="7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Calibri" w:hAnsi="Calibri"/>
                <w:b/>
                <w:color w:val="16203A"/>
                <w:sz w:val="19"/>
              </w:rPr>
              <w:t>Infrastructure Hardening &amp; Reverse Proxy Modernization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b/>
                <w:color w:val="C9A24B"/>
                <w:sz w:val="18"/>
              </w:rPr>
              <w:t xml:space="preserve">• </w:t>
            </w:r>
            <w:r>
              <w:rPr>
                <w:rFonts w:ascii="Calibri" w:hAnsi="Calibri"/>
                <w:color w:val="333333"/>
                <w:sz w:val="18"/>
              </w:rPr>
              <w:t>Replaced generic Nginx config with hardened infrastructure/nginx/sita-http.conf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b/>
                <w:color w:val="C9A24B"/>
                <w:sz w:val="18"/>
              </w:rPr>
              <w:t xml:space="preserve">• </w:t>
            </w:r>
            <w:r>
              <w:rPr>
                <w:rFonts w:ascii="Calibri" w:hAnsi="Calibri"/>
                <w:color w:val="333333"/>
                <w:sz w:val="18"/>
              </w:rPr>
              <w:t>Pinned Nginx upstream frontend port to 8080 and exposed secured backend API on port 8000 in docker-compose.remote.yml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b/>
                <w:color w:val="C9A24B"/>
                <w:sz w:val="18"/>
              </w:rPr>
              <w:t xml:space="preserve">• </w:t>
            </w:r>
            <w:r>
              <w:rPr>
                <w:rFonts w:ascii="Calibri" w:hAnsi="Calibri"/>
                <w:color w:val="333333"/>
                <w:sz w:val="18"/>
              </w:rPr>
              <w:t>Implemented server token suppression, HR-backed user provisioning enforcement, and configurable environment controls (SEED_DEMO_USERS_ENABLED, PII_ENCRYPTION_KEY)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before="20" w:after="40" w:line="252" w:lineRule="auto"/>
              <w:jc w:val="right"/>
            </w:pPr>
            <w:r/>
            <w:r>
              <w:rPr>
                <w:rFonts w:ascii="Calibri" w:hAnsi="Calibri"/>
                <w:b/>
                <w:color w:val="1F2A44"/>
                <w:sz w:val="19"/>
              </w:rPr>
              <w:t>8</w:t>
            </w:r>
          </w:p>
        </w:tc>
      </w:tr>
      <w:tr>
        <w:tc>
          <w:tcPr>
            <w:tcW w:type="dxa" w:w="8000"/>
            <w:gridSpan w:val="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E4D8" w:color="E8E4D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20" w:after="40" w:line="252" w:lineRule="auto"/>
            </w:pPr>
            <w:r/>
            <w:r>
              <w:rPr>
                <w:rFonts w:ascii="Calibri" w:hAnsi="Calibri"/>
                <w:b/>
                <w:color w:val="16203A"/>
                <w:sz w:val="19"/>
              </w:rPr>
              <w:t>Part 2 Subtotal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E4D8" w:color="E8E4D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20" w:after="40" w:line="252" w:lineRule="auto"/>
              <w:jc w:val="right"/>
            </w:pPr>
            <w:r/>
            <w:r>
              <w:rPr>
                <w:rFonts w:ascii="Calibri" w:hAnsi="Calibri"/>
                <w:b/>
                <w:color w:val="16203A"/>
                <w:sz w:val="19"/>
              </w:rPr>
              <w:t>18</w:t>
            </w:r>
          </w:p>
        </w:tc>
      </w:tr>
    </w:tbl>
    <w:p>
      <w:pPr>
        <w:spacing w:after="2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300"/>
        <w:gridCol w:w="1200"/>
      </w:tblGrid>
      <w:tr>
        <w:trPr>
          <w:tblHeader/>
        </w:trPr>
        <w:tc>
          <w:tcPr>
            <w:tcW w:type="dxa" w:w="8000"/>
            <w:gridSpan w:val="2"/>
            <w:tcBorders>
              <w:top w:val="single" w:color="1F2A44" w:sz="4"/>
              <w:left w:val="single" w:color="1F2A44" w:sz="4"/>
              <w:bottom w:val="single" w:color="1F2A44" w:sz="4"/>
              <w:right w:val="single" w:color="1F2A44" w:sz="4"/>
            </w:tcBorders>
            <w:shd w:fill="1F2A44" w:color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20" w:after="40" w:line="252" w:lineRule="auto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PART 3 – FMCG DISTRIBUTED DATA LAKE &amp; INGESTION BACKEND ARCHITECTURE (07 – 13 OCT)</w:t>
            </w:r>
          </w:p>
        </w:tc>
        <w:tc>
          <w:tcPr>
            <w:tcW w:type="dxa" w:w="1200"/>
            <w:tcBorders>
              <w:top w:val="single" w:color="1F2A44" w:sz="4"/>
              <w:left w:val="single" w:color="1F2A44" w:sz="4"/>
              <w:bottom w:val="single" w:color="1F2A44" w:sz="4"/>
              <w:right w:val="single" w:color="1F2A44" w:sz="4"/>
            </w:tcBorders>
            <w:shd w:fill="1F2A44" w:color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20" w:after="40" w:line="252" w:lineRule="auto"/>
              <w:jc w:val="righ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22 HRS</w:t>
            </w:r>
          </w:p>
        </w:tc>
      </w:tr>
      <w:t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203A"/>
                <w:sz w:val="17"/>
                <w:szCs w:val="17"/>
              </w:rPr>
              <w:t xml:space="preserve">#</w:t>
            </w:r>
          </w:p>
        </w:tc>
        <w:tc>
          <w:tcPr>
            <w:tcW w:type="dxa" w:w="7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203A"/>
                <w:sz w:val="17"/>
                <w:szCs w:val="17"/>
              </w:rPr>
              <w:t xml:space="preserve">DELIVERABLE / DESCRIPTION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6203A"/>
                <w:sz w:val="17"/>
                <w:szCs w:val="17"/>
              </w:rPr>
              <w:t xml:space="preserve">HRS</w:t>
            </w:r>
          </w:p>
        </w:tc>
      </w:tr>
      <w:t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pPr>
              <w:spacing w:before="20" w:after="40" w:line="252" w:lineRule="auto"/>
            </w:pPr>
            <w:r/>
            <w:r>
              <w:rPr>
                <w:rFonts w:ascii="Calibri" w:hAnsi="Calibri"/>
                <w:b/>
                <w:color w:val="1F2A44"/>
                <w:sz w:val="18"/>
              </w:rPr>
              <w:t>3.1</w:t>
            </w:r>
          </w:p>
        </w:tc>
        <w:tc>
          <w:tcPr>
            <w:tcW w:type="dxa" w:w="7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Calibri" w:hAnsi="Calibri"/>
                <w:b/>
                <w:color w:val="16203A"/>
                <w:sz w:val="19"/>
              </w:rPr>
              <w:t>High-Throughput Streaming Ingestion Pipeline &amp; Enterprise Reliability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b/>
                <w:color w:val="C9A24B"/>
                <w:sz w:val="18"/>
              </w:rPr>
              <w:t xml:space="preserve">• </w:t>
            </w:r>
            <w:r>
              <w:rPr>
                <w:rFonts w:ascii="Calibri" w:hAnsi="Calibri"/>
                <w:color w:val="333333"/>
                <w:sz w:val="18"/>
              </w:rPr>
              <w:t>Architected asynchronous ingestion pipeline (app/ingestion/fmgc_pipeline.py) streaming 12,500+ ERP order records from raw multi-sheet workbooks into PostgreSQL lake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b/>
                <w:color w:val="C9A24B"/>
                <w:sz w:val="18"/>
              </w:rPr>
              <w:t xml:space="preserve">• </w:t>
            </w:r>
            <w:r>
              <w:rPr>
                <w:rFonts w:ascii="Calibri" w:hAnsi="Calibri"/>
                <w:color w:val="333333"/>
                <w:sz w:val="18"/>
              </w:rPr>
              <w:t>Engineered enterprise fault-tolerance: Three-state Circuit Breaker (circuit_breaker.py), Token-Bucket rate limiter (token_bucket.py), and Exponential Backoff Retry engine (retry.py)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b/>
                <w:color w:val="C9A24B"/>
                <w:sz w:val="18"/>
              </w:rPr>
              <w:t xml:space="preserve">• </w:t>
            </w:r>
            <w:r>
              <w:rPr>
                <w:rFonts w:ascii="Calibri" w:hAnsi="Calibri"/>
                <w:color w:val="333333"/>
                <w:sz w:val="18"/>
              </w:rPr>
              <w:t>Implemented Dead-Letter Queue (dlq.py) isolating invalid/malformed records into staging.rejected_records with failure payloads and ingestion audit trails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b/>
                <w:color w:val="C9A24B"/>
                <w:sz w:val="18"/>
              </w:rPr>
              <w:t xml:space="preserve">• </w:t>
            </w:r>
            <w:r>
              <w:rPr>
                <w:rFonts w:ascii="Calibri" w:hAnsi="Calibri"/>
                <w:color w:val="333333"/>
                <w:sz w:val="18"/>
              </w:rPr>
              <w:t>Developed dual-bus event architecture supporting Redis Streams (STREAM_FMGC_RAW) with zero-config local memory bus fallback (local_bus.py)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before="20" w:after="40" w:line="252" w:lineRule="auto"/>
              <w:jc w:val="right"/>
            </w:pPr>
            <w:r/>
            <w:r>
              <w:rPr>
                <w:rFonts w:ascii="Calibri" w:hAnsi="Calibri"/>
                <w:b/>
                <w:color w:val="1F2A44"/>
                <w:sz w:val="19"/>
              </w:rPr>
              <w:t>11</w:t>
            </w:r>
          </w:p>
        </w:tc>
      </w:tr>
      <w:t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pPr>
              <w:spacing w:before="20" w:after="40" w:line="252" w:lineRule="auto"/>
            </w:pPr>
            <w:r/>
            <w:r>
              <w:rPr>
                <w:rFonts w:ascii="Calibri" w:hAnsi="Calibri"/>
                <w:b/>
                <w:color w:val="1F2A44"/>
                <w:sz w:val="18"/>
              </w:rPr>
              <w:t>3.2</w:t>
            </w:r>
          </w:p>
        </w:tc>
        <w:tc>
          <w:tcPr>
            <w:tcW w:type="dxa" w:w="7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Calibri" w:hAnsi="Calibri"/>
                <w:b/>
                <w:color w:val="16203A"/>
                <w:sz w:val="19"/>
              </w:rPr>
              <w:t>PostgreSQL Lake Engine, Normalisation Rules &amp; Predictive Analytics Models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b/>
                <w:color w:val="C9A24B"/>
                <w:sz w:val="18"/>
              </w:rPr>
              <w:t xml:space="preserve">• </w:t>
            </w:r>
            <w:r>
              <w:rPr>
                <w:rFonts w:ascii="Calibri" w:hAnsi="Calibri"/>
                <w:color w:val="333333"/>
                <w:sz w:val="18"/>
              </w:rPr>
              <w:t>Designed multi-schema Postgres lake (fmgc, staging, warehouse) with chunked transactional upsert engine (fmgc_writer.py, 500-record batches)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b/>
                <w:color w:val="C9A24B"/>
                <w:sz w:val="18"/>
              </w:rPr>
              <w:t xml:space="preserve">• </w:t>
            </w:r>
            <w:r>
              <w:rPr>
                <w:rFonts w:ascii="Calibri" w:hAnsi="Calibri"/>
                <w:color w:val="333333"/>
                <w:sz w:val="18"/>
              </w:rPr>
              <w:t>Built declarative normalisation engine (fmgc_normaliser.py, field_mapper_fmgc.yaml) handling Excel sentinel dates (1900-01-01 to NaT), whitespace trimming, and net/gross lost value logic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b/>
                <w:color w:val="C9A24B"/>
                <w:sz w:val="18"/>
              </w:rPr>
              <w:t xml:space="preserve">• </w:t>
            </w:r>
            <w:r>
              <w:rPr>
                <w:rFonts w:ascii="Calibri" w:hAnsi="Calibri"/>
                <w:color w:val="333333"/>
                <w:sz w:val="18"/>
              </w:rPr>
              <w:t>Developed predictive analytics suite (predictive.py): Logistic Regression delay-risk classifier (ROC/PR tuned), Random Forest delivery ageing regressor with multi-horizon SLA breach probabilities (7/14/30/45 days), and additive Holt-Winters intake demand forecaster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b/>
                <w:color w:val="C9A24B"/>
                <w:sz w:val="18"/>
              </w:rPr>
              <w:t xml:space="preserve">• </w:t>
            </w:r>
            <w:r>
              <w:rPr>
                <w:rFonts w:ascii="Calibri" w:hAnsi="Calibri"/>
                <w:color w:val="333333"/>
                <w:sz w:val="18"/>
              </w:rPr>
              <w:t>Built high-performance FastAPI service (:13000, /api/v1/fmgc/*) with dual-TTL fingerprint-keyed memory cache (cache.py) and automated executive HTML report generation (reports.py)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before="20" w:after="40" w:line="252" w:lineRule="auto"/>
              <w:jc w:val="right"/>
            </w:pPr>
            <w:r/>
            <w:r>
              <w:rPr>
                <w:rFonts w:ascii="Calibri" w:hAnsi="Calibri"/>
                <w:b/>
                <w:color w:val="1F2A44"/>
                <w:sz w:val="19"/>
              </w:rPr>
              <w:t>11</w:t>
            </w:r>
          </w:p>
        </w:tc>
      </w:tr>
      <w:tr>
        <w:tc>
          <w:tcPr>
            <w:tcW w:type="dxa" w:w="8000"/>
            <w:gridSpan w:val="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E4D8" w:color="E8E4D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20" w:after="40" w:line="252" w:lineRule="auto"/>
            </w:pPr>
            <w:r/>
            <w:r>
              <w:rPr>
                <w:rFonts w:ascii="Calibri" w:hAnsi="Calibri"/>
                <w:b/>
                <w:color w:val="16203A"/>
                <w:sz w:val="19"/>
              </w:rPr>
              <w:t>Part 3 Subtotal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E4D8" w:color="E8E4D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20" w:after="40" w:line="252" w:lineRule="auto"/>
              <w:jc w:val="right"/>
            </w:pPr>
            <w:r/>
            <w:r>
              <w:rPr>
                <w:rFonts w:ascii="Calibri" w:hAnsi="Calibri"/>
                <w:b/>
                <w:color w:val="16203A"/>
                <w:sz w:val="19"/>
              </w:rPr>
              <w:t>22</w:t>
            </w:r>
          </w:p>
        </w:tc>
      </w:tr>
    </w:tbl>
    <w:p>
      <w:pPr>
        <w:spacing w:after="2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300"/>
        <w:gridCol w:w="1200"/>
      </w:tblGrid>
      <w:tr>
        <w:trPr>
          <w:tblHeader/>
        </w:trPr>
        <w:tc>
          <w:tcPr>
            <w:tcW w:type="dxa" w:w="8000"/>
            <w:gridSpan w:val="2"/>
            <w:tcBorders>
              <w:top w:val="single" w:color="1F2A44" w:sz="4"/>
              <w:left w:val="single" w:color="1F2A44" w:sz="4"/>
              <w:bottom w:val="single" w:color="1F2A44" w:sz="4"/>
              <w:right w:val="single" w:color="1F2A44" w:sz="4"/>
            </w:tcBorders>
            <w:shd w:fill="1F2A44" w:color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20" w:after="40" w:line="252" w:lineRule="auto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PART 4 – HCL APPSCAN DAST &amp; SAST VULNERABILITY REMEDIATION (12 – 14 OCT)</w:t>
            </w:r>
          </w:p>
        </w:tc>
        <w:tc>
          <w:tcPr>
            <w:tcW w:type="dxa" w:w="1200"/>
            <w:tcBorders>
              <w:top w:val="single" w:color="1F2A44" w:sz="4"/>
              <w:left w:val="single" w:color="1F2A44" w:sz="4"/>
              <w:bottom w:val="single" w:color="1F2A44" w:sz="4"/>
              <w:right w:val="single" w:color="1F2A44" w:sz="4"/>
            </w:tcBorders>
            <w:shd w:fill="1F2A44" w:color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20" w:after="40" w:line="252" w:lineRule="auto"/>
              <w:jc w:val="righ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22 HRS</w:t>
            </w:r>
          </w:p>
        </w:tc>
      </w:tr>
      <w:t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203A"/>
                <w:sz w:val="17"/>
                <w:szCs w:val="17"/>
              </w:rPr>
              <w:t xml:space="preserve">#</w:t>
            </w:r>
          </w:p>
        </w:tc>
        <w:tc>
          <w:tcPr>
            <w:tcW w:type="dxa" w:w="7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203A"/>
                <w:sz w:val="17"/>
                <w:szCs w:val="17"/>
              </w:rPr>
              <w:t xml:space="preserve">DELIVERABLE / DESCRIPTION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6203A"/>
                <w:sz w:val="17"/>
                <w:szCs w:val="17"/>
              </w:rPr>
              <w:t xml:space="preserve">HRS</w:t>
            </w:r>
          </w:p>
        </w:tc>
      </w:tr>
      <w:t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pPr>
              <w:spacing w:before="20" w:after="40" w:line="252" w:lineRule="auto"/>
            </w:pPr>
            <w:r/>
            <w:r>
              <w:rPr>
                <w:rFonts w:ascii="Calibri" w:hAnsi="Calibri"/>
                <w:b/>
                <w:color w:val="1F2A44"/>
                <w:sz w:val="18"/>
              </w:rPr>
              <w:t>4.1</w:t>
            </w:r>
          </w:p>
        </w:tc>
        <w:tc>
          <w:tcPr>
            <w:tcW w:type="dxa" w:w="7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Calibri" w:hAnsi="Calibri"/>
                <w:b/>
                <w:color w:val="16203A"/>
                <w:sz w:val="19"/>
              </w:rPr>
              <w:t>HCL AppScan DAST Dynamic Vulnerability Remediation &amp; Proxy Hardening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b/>
                <w:color w:val="C9A24B"/>
                <w:sz w:val="18"/>
              </w:rPr>
              <w:t xml:space="preserve">• </w:t>
            </w:r>
            <w:r>
              <w:rPr>
                <w:rFonts w:ascii="Calibri" w:hAnsi="Calibri"/>
                <w:color w:val="333333"/>
                <w:sz w:val="18"/>
              </w:rPr>
              <w:t>Remediated HCL AppScan DAST assessment findings across production target (Oct 13-14 cycles)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b/>
                <w:color w:val="C9A24B"/>
                <w:sz w:val="18"/>
              </w:rPr>
              <w:t xml:space="preserve">• </w:t>
            </w:r>
            <w:r>
              <w:rPr>
                <w:rFonts w:ascii="Calibri" w:hAnsi="Calibri"/>
                <w:color w:val="333333"/>
                <w:sz w:val="18"/>
              </w:rPr>
              <w:t>Enforced strict algorithm verification in JWT decoding, explicitly rejecting alg: none exploits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b/>
                <w:color w:val="C9A24B"/>
                <w:sz w:val="18"/>
              </w:rPr>
              <w:t xml:space="preserve">• </w:t>
            </w:r>
            <w:r>
              <w:rPr>
                <w:rFonts w:ascii="Calibri" w:hAnsi="Calibri"/>
                <w:color w:val="333333"/>
                <w:sz w:val="18"/>
              </w:rPr>
              <w:t>Implemented mass assignment guards preventing privilege escalation and per-tenant/per-IP rate limiting middleware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b/>
                <w:color w:val="C9A24B"/>
                <w:sz w:val="18"/>
              </w:rPr>
              <w:t xml:space="preserve">• </w:t>
            </w:r>
            <w:r>
              <w:rPr>
                <w:rFonts w:ascii="Calibri" w:hAnsi="Calibri"/>
                <w:color w:val="333333"/>
                <w:sz w:val="18"/>
              </w:rPr>
              <w:t>Upgraded Nginx to 1.27.4-alpine (resolving CVE-2025-23419), purged unsafe-inline/unsafe-eval from CSP, and remediated BFLA (CWE-284) on metrics endpoints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b/>
                <w:color w:val="C9A24B"/>
                <w:sz w:val="18"/>
              </w:rPr>
              <w:t xml:space="preserve">• </w:t>
            </w:r>
            <w:r>
              <w:rPr>
                <w:rFonts w:ascii="Calibri" w:hAnsi="Calibri"/>
                <w:color w:val="333333"/>
                <w:sz w:val="18"/>
              </w:rPr>
              <w:t>Authored docs/SITA_DAST_VAPT_Report_Oct2026.docx and docs/SITA_VAPT_Remediation_Report_Oct2026.docx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before="20" w:after="40" w:line="252" w:lineRule="auto"/>
              <w:jc w:val="right"/>
            </w:pPr>
            <w:r/>
            <w:r>
              <w:rPr>
                <w:rFonts w:ascii="Calibri" w:hAnsi="Calibri"/>
                <w:b/>
                <w:color w:val="1F2A44"/>
                <w:sz w:val="19"/>
              </w:rPr>
              <w:t>11</w:t>
            </w:r>
          </w:p>
        </w:tc>
      </w:tr>
      <w:t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pPr>
              <w:spacing w:before="20" w:after="40" w:line="252" w:lineRule="auto"/>
            </w:pPr>
            <w:r/>
            <w:r>
              <w:rPr>
                <w:rFonts w:ascii="Calibri" w:hAnsi="Calibri"/>
                <w:b/>
                <w:color w:val="1F2A44"/>
                <w:sz w:val="18"/>
              </w:rPr>
              <w:t>4.2</w:t>
            </w:r>
          </w:p>
        </w:tc>
        <w:tc>
          <w:tcPr>
            <w:tcW w:type="dxa" w:w="7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Calibri" w:hAnsi="Calibri"/>
                <w:b/>
                <w:color w:val="16203A"/>
                <w:sz w:val="19"/>
              </w:rPr>
              <w:t>SAST Static Code Remediation &amp; DefusedXML/Cryptography Hardening (49 Findings)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b/>
                <w:color w:val="C9A24B"/>
                <w:sz w:val="18"/>
              </w:rPr>
              <w:t xml:space="preserve">• </w:t>
            </w:r>
            <w:r>
              <w:rPr>
                <w:rFonts w:ascii="Calibri" w:hAnsi="Calibri"/>
                <w:color w:val="333333"/>
                <w:sz w:val="18"/>
              </w:rPr>
              <w:t>Resolved 49 HCL AppScan SAST static security findings across backend codebase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b/>
                <w:color w:val="C9A24B"/>
                <w:sz w:val="18"/>
              </w:rPr>
              <w:t xml:space="preserve">• </w:t>
            </w:r>
            <w:r>
              <w:rPr>
                <w:rFonts w:ascii="Calibri" w:hAnsi="Calibri"/>
                <w:color w:val="333333"/>
                <w:sz w:val="18"/>
              </w:rPr>
              <w:t>Upgraded alert deduplication hashing from MD5 to collision-resistant SHA-256 (alert_dedup.py) and adopted secrets.SystemRandom for backoff jitter (CWE-327)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b/>
                <w:color w:val="C9A24B"/>
                <w:sz w:val="18"/>
              </w:rPr>
              <w:t xml:space="preserve">• </w:t>
            </w:r>
            <w:r>
              <w:rPr>
                <w:rFonts w:ascii="Calibri" w:hAnsi="Calibri"/>
                <w:color w:val="333333"/>
                <w:sz w:val="18"/>
              </w:rPr>
              <w:t>Hardened backend Dockerfile: pinned python:3.12.7-slim, established non-root appuser:appgroup (CWE-266), dropped root capabilities, and enforced read-only root filesystems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b/>
                <w:color w:val="C9A24B"/>
                <w:sz w:val="18"/>
              </w:rPr>
              <w:t xml:space="preserve">• </w:t>
            </w:r>
            <w:r>
              <w:rPr>
                <w:rFonts w:ascii="Calibri" w:hAnsi="Calibri"/>
                <w:color w:val="333333"/>
                <w:sz w:val="18"/>
              </w:rPr>
              <w:t>Mitigated XML External Entity (XXE, CWE-91) via defusedxml, eliminated Path Traversal (CWE-73) via canonical Path.resolve(), and purged hardcoded credential heuristics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b/>
                <w:color w:val="C9A24B"/>
                <w:sz w:val="18"/>
              </w:rPr>
              <w:t xml:space="preserve">• </w:t>
            </w:r>
            <w:r>
              <w:rPr>
                <w:rFonts w:ascii="Calibri" w:hAnsi="Calibri"/>
                <w:color w:val="333333"/>
                <w:sz w:val="18"/>
              </w:rPr>
              <w:t>Authored docs/SITA_SAST_Remediation_Report.docx, docs/SAST_REMEDIATION_REPORT.md, and docs/SITA_SAST_Comparative_Analysis_Report_Oct2026.docx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before="20" w:after="40" w:line="252" w:lineRule="auto"/>
              <w:jc w:val="right"/>
            </w:pPr>
            <w:r/>
            <w:r>
              <w:rPr>
                <w:rFonts w:ascii="Calibri" w:hAnsi="Calibri"/>
                <w:b/>
                <w:color w:val="1F2A44"/>
                <w:sz w:val="19"/>
              </w:rPr>
              <w:t>11</w:t>
            </w:r>
          </w:p>
        </w:tc>
      </w:tr>
      <w:tr>
        <w:tc>
          <w:tcPr>
            <w:tcW w:type="dxa" w:w="8000"/>
            <w:gridSpan w:val="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E4D8" w:color="E8E4D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20" w:after="40" w:line="252" w:lineRule="auto"/>
            </w:pPr>
            <w:r/>
            <w:r>
              <w:rPr>
                <w:rFonts w:ascii="Calibri" w:hAnsi="Calibri"/>
                <w:b/>
                <w:color w:val="16203A"/>
                <w:sz w:val="19"/>
              </w:rPr>
              <w:t>Part 4 Subtotal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E4D8" w:color="E8E4D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20" w:after="40" w:line="252" w:lineRule="auto"/>
              <w:jc w:val="right"/>
            </w:pPr>
            <w:r/>
            <w:r>
              <w:rPr>
                <w:rFonts w:ascii="Calibri" w:hAnsi="Calibri"/>
                <w:b/>
                <w:color w:val="16203A"/>
                <w:sz w:val="19"/>
              </w:rPr>
              <w:t>22</w:t>
            </w:r>
          </w:p>
        </w:tc>
      </w:tr>
    </w:tbl>
    <w:p>
      <w:pPr>
        <w:spacing w:after="2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300"/>
        <w:gridCol w:w="1200"/>
      </w:tblGrid>
      <w:tr>
        <w:trPr>
          <w:tblHeader/>
        </w:trPr>
        <w:tc>
          <w:tcPr>
            <w:tcW w:type="dxa" w:w="8000"/>
            <w:gridSpan w:val="2"/>
            <w:tcBorders>
              <w:top w:val="single" w:color="1F2A44" w:sz="4"/>
              <w:left w:val="single" w:color="1F2A44" w:sz="4"/>
              <w:bottom w:val="single" w:color="1F2A44" w:sz="4"/>
              <w:right w:val="single" w:color="1F2A44" w:sz="4"/>
            </w:tcBorders>
            <w:shd w:fill="1F2A44" w:color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20" w:after="40" w:line="252" w:lineRule="auto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PART 5 – AIMI AI INTELLIGENCE &amp; 5 AVP ENDPOINTS (14 – 15 OCT)</w:t>
            </w:r>
          </w:p>
        </w:tc>
        <w:tc>
          <w:tcPr>
            <w:tcW w:type="dxa" w:w="1200"/>
            <w:tcBorders>
              <w:top w:val="single" w:color="1F2A44" w:sz="4"/>
              <w:left w:val="single" w:color="1F2A44" w:sz="4"/>
              <w:bottom w:val="single" w:color="1F2A44" w:sz="4"/>
              <w:right w:val="single" w:color="1F2A44" w:sz="4"/>
            </w:tcBorders>
            <w:shd w:fill="1F2A44" w:color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20" w:after="40" w:line="252" w:lineRule="auto"/>
              <w:jc w:val="righ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24 HRS</w:t>
            </w:r>
          </w:p>
        </w:tc>
      </w:tr>
      <w:t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203A"/>
                <w:sz w:val="17"/>
                <w:szCs w:val="17"/>
              </w:rPr>
              <w:t xml:space="preserve">#</w:t>
            </w:r>
          </w:p>
        </w:tc>
        <w:tc>
          <w:tcPr>
            <w:tcW w:type="dxa" w:w="7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203A"/>
                <w:sz w:val="17"/>
                <w:szCs w:val="17"/>
              </w:rPr>
              <w:t xml:space="preserve">DELIVERABLE / DESCRIPTION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6203A"/>
                <w:sz w:val="17"/>
                <w:szCs w:val="17"/>
              </w:rPr>
              <w:t xml:space="preserve">HRS</w:t>
            </w:r>
          </w:p>
        </w:tc>
      </w:tr>
      <w:t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pPr>
              <w:spacing w:before="20" w:after="40" w:line="252" w:lineRule="auto"/>
            </w:pPr>
            <w:r/>
            <w:r>
              <w:rPr>
                <w:rFonts w:ascii="Calibri" w:hAnsi="Calibri"/>
                <w:b/>
                <w:color w:val="1F2A44"/>
                <w:sz w:val="18"/>
              </w:rPr>
              <w:t>5.1</w:t>
            </w:r>
          </w:p>
        </w:tc>
        <w:tc>
          <w:tcPr>
            <w:tcW w:type="dxa" w:w="7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Calibri" w:hAnsi="Calibri"/>
                <w:b/>
                <w:color w:val="16203A"/>
                <w:sz w:val="19"/>
              </w:rPr>
              <w:t>AIMI VAPT Log Intelligence Engine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b/>
                <w:color w:val="C9A24B"/>
                <w:sz w:val="18"/>
              </w:rPr>
              <w:t xml:space="preserve">• </w:t>
            </w:r>
            <w:r>
              <w:rPr>
                <w:rFonts w:ascii="Calibri" w:hAnsi="Calibri"/>
                <w:color w:val="333333"/>
                <w:sz w:val="18"/>
              </w:rPr>
              <w:t>Architected and built backend/app/processing/intel/vapt.py: automated log intelligence parser performing severity clustering, pattern extraction, and threat narrative generation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b/>
                <w:color w:val="C9A24B"/>
                <w:sz w:val="18"/>
              </w:rPr>
              <w:t xml:space="preserve">• </w:t>
            </w:r>
            <w:r>
              <w:rPr>
                <w:rFonts w:ascii="Calibri" w:hAnsi="Calibri"/>
                <w:color w:val="333333"/>
                <w:sz w:val="18"/>
              </w:rPr>
              <w:t>Implemented end-to-end unit test suite (backend/tests/test_vapt_log_intel.py) covering 8 deterministic scenarios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b/>
                <w:color w:val="C9A24B"/>
                <w:sz w:val="18"/>
              </w:rPr>
              <w:t xml:space="preserve">• </w:t>
            </w:r>
            <w:r>
              <w:rPr>
                <w:rFonts w:ascii="Calibri" w:hAnsi="Calibri"/>
                <w:color w:val="333333"/>
                <w:sz w:val="18"/>
              </w:rPr>
              <w:t>Built frontend API client (frontend/src/api/intel.ts) and interactive UI panel AimiVaptLogInterpreterPanel within frontend/src/pages/AiIntelPage.tsx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b/>
                <w:color w:val="C9A24B"/>
                <w:sz w:val="18"/>
              </w:rPr>
              <w:t xml:space="preserve">• </w:t>
            </w:r>
            <w:r>
              <w:rPr>
                <w:rFonts w:ascii="Calibri" w:hAnsi="Calibri"/>
                <w:color w:val="333333"/>
                <w:sz w:val="18"/>
              </w:rPr>
              <w:t>Gated endpoints POST /intel/vapt/interpret-logs and GET /intel/vapt/baseline-status with tenant and RBAC controls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before="20" w:after="40" w:line="252" w:lineRule="auto"/>
              <w:jc w:val="right"/>
            </w:pPr>
            <w:r/>
            <w:r>
              <w:rPr>
                <w:rFonts w:ascii="Calibri" w:hAnsi="Calibri"/>
                <w:b/>
                <w:color w:val="1F2A44"/>
                <w:sz w:val="19"/>
              </w:rPr>
              <w:t>8</w:t>
            </w:r>
          </w:p>
        </w:tc>
      </w:tr>
      <w:t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pPr>
              <w:spacing w:before="20" w:after="40" w:line="252" w:lineRule="auto"/>
            </w:pPr>
            <w:r/>
            <w:r>
              <w:rPr>
                <w:rFonts w:ascii="Calibri" w:hAnsi="Calibri"/>
                <w:b/>
                <w:color w:val="1F2A44"/>
                <w:sz w:val="18"/>
              </w:rPr>
              <w:t>5.2</w:t>
            </w:r>
          </w:p>
        </w:tc>
        <w:tc>
          <w:tcPr>
            <w:tcW w:type="dxa" w:w="7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Calibri" w:hAnsi="Calibri"/>
                <w:b/>
                <w:color w:val="16203A"/>
                <w:sz w:val="19"/>
              </w:rPr>
              <w:t>Five Core AI Value Proposition (AVP) Endpoints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b/>
                <w:color w:val="C9A24B"/>
                <w:sz w:val="18"/>
              </w:rPr>
              <w:t xml:space="preserve">• </w:t>
            </w:r>
            <w:r>
              <w:rPr>
                <w:rFonts w:ascii="Calibri" w:hAnsi="Calibri"/>
                <w:color w:val="333333"/>
                <w:sz w:val="18"/>
              </w:rPr>
              <w:t>Developed and integrated 5 core AI Value Proposition residual modules (backend/app/processing/intel/):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b/>
                <w:color w:val="C9A24B"/>
                <w:sz w:val="18"/>
              </w:rPr>
              <w:t xml:space="preserve">• </w:t>
            </w:r>
            <w:r>
              <w:rPr>
                <w:rFonts w:ascii="Calibri" w:hAnsi="Calibri"/>
                <w:color w:val="333333"/>
                <w:sz w:val="18"/>
              </w:rPr>
              <w:t>AVP-2 (Detection Content): author_rules.py (POST /intel/attack/author-rule) proposing git-diff alert rules without automated merges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b/>
                <w:color w:val="C9A24B"/>
                <w:sz w:val="18"/>
              </w:rPr>
              <w:t xml:space="preserve">• </w:t>
            </w:r>
            <w:r>
              <w:rPr>
                <w:rFonts w:ascii="Calibri" w:hAnsi="Calibri"/>
                <w:color w:val="333333"/>
                <w:sz w:val="18"/>
              </w:rPr>
              <w:t>AVP-3 (Threat Enrichment): campaign.py (POST /intel/threat/attribute) extracting ATT&amp;CK/CVE techniques against estate exposure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b/>
                <w:color w:val="C9A24B"/>
                <w:sz w:val="18"/>
              </w:rPr>
              <w:t xml:space="preserve">• </w:t>
            </w:r>
            <w:r>
              <w:rPr>
                <w:rFonts w:ascii="Calibri" w:hAnsi="Calibri"/>
                <w:color w:val="333333"/>
                <w:sz w:val="18"/>
              </w:rPr>
              <w:t>AVP-5 (Legal Guidance): popia.py (POST /intel/popia/dossier) generating POPIA Section 22 breach notification evidence packages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b/>
                <w:color w:val="C9A24B"/>
                <w:sz w:val="18"/>
              </w:rPr>
              <w:t xml:space="preserve">• </w:t>
            </w:r>
            <w:r>
              <w:rPr>
                <w:rFonts w:ascii="Calibri" w:hAnsi="Calibri"/>
                <w:color w:val="333333"/>
                <w:sz w:val="18"/>
              </w:rPr>
              <w:t>AVP-8 (Causal Analysis): causal.py (POST /intel/risk/causal) hypothesizing root causes and mapping dominant telemetry to ATT&amp;CK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b/>
                <w:color w:val="C9A24B"/>
                <w:sz w:val="18"/>
              </w:rPr>
              <w:t xml:space="preserve">• </w:t>
            </w:r>
            <w:r>
              <w:rPr>
                <w:rFonts w:ascii="Calibri" w:hAnsi="Calibri"/>
                <w:color w:val="333333"/>
                <w:sz w:val="18"/>
              </w:rPr>
              <w:t>AVP-11 (Behavioral Auditing): behaviour.py (POST /intel/audit/explain) identifying temporal burst anomalies (RAPID_AUTHORITY_SWEEP, CROSS_SCOPE_PIVOT)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before="20" w:after="40" w:line="252" w:lineRule="auto"/>
              <w:jc w:val="right"/>
            </w:pPr>
            <w:r/>
            <w:r>
              <w:rPr>
                <w:rFonts w:ascii="Calibri" w:hAnsi="Calibri"/>
                <w:b/>
                <w:color w:val="1F2A44"/>
                <w:sz w:val="19"/>
              </w:rPr>
              <w:t>10</w:t>
            </w:r>
          </w:p>
        </w:tc>
      </w:tr>
      <w:t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pPr>
              <w:spacing w:before="20" w:after="40" w:line="252" w:lineRule="auto"/>
            </w:pPr>
            <w:r/>
            <w:r>
              <w:rPr>
                <w:rFonts w:ascii="Calibri" w:hAnsi="Calibri"/>
                <w:b/>
                <w:color w:val="1F2A44"/>
                <w:sz w:val="18"/>
              </w:rPr>
              <w:t>5.3</w:t>
            </w:r>
          </w:p>
        </w:tc>
        <w:tc>
          <w:tcPr>
            <w:tcW w:type="dxa" w:w="7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Calibri" w:hAnsi="Calibri"/>
                <w:b/>
                <w:color w:val="16203A"/>
                <w:sz w:val="19"/>
              </w:rPr>
              <w:t>Threat Attribution &amp; Advisory Review Boundary Invariants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b/>
                <w:color w:val="C9A24B"/>
                <w:sz w:val="18"/>
              </w:rPr>
              <w:t xml:space="preserve">• </w:t>
            </w:r>
            <w:r>
              <w:rPr>
                <w:rFonts w:ascii="Calibri" w:hAnsi="Calibri"/>
                <w:color w:val="333333"/>
                <w:sz w:val="18"/>
              </w:rPr>
              <w:t>Enforced strict architectural safety invariant across all AI intelligence endpoints: advisory_only=True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b/>
                <w:color w:val="C9A24B"/>
                <w:sz w:val="18"/>
              </w:rPr>
              <w:t xml:space="preserve">• </w:t>
            </w:r>
            <w:r>
              <w:rPr>
                <w:rFonts w:ascii="Calibri" w:hAnsi="Calibri"/>
                <w:color w:val="333333"/>
                <w:sz w:val="18"/>
              </w:rPr>
              <w:t>Implemented zero automated database writes and mandatory human analyst sign-off workflows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b/>
                <w:color w:val="C9A24B"/>
                <w:sz w:val="18"/>
              </w:rPr>
              <w:t xml:space="preserve">• </w:t>
            </w:r>
            <w:r>
              <w:rPr>
                <w:rFonts w:ascii="Calibri" w:hAnsi="Calibri"/>
                <w:color w:val="333333"/>
                <w:sz w:val="18"/>
              </w:rPr>
              <w:t>Validated cross-tenant isolation and strict schema conformance across all five AVP modules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before="20" w:after="40" w:line="252" w:lineRule="auto"/>
              <w:jc w:val="right"/>
            </w:pPr>
            <w:r/>
            <w:r>
              <w:rPr>
                <w:rFonts w:ascii="Calibri" w:hAnsi="Calibri"/>
                <w:b/>
                <w:color w:val="1F2A44"/>
                <w:sz w:val="19"/>
              </w:rPr>
              <w:t>6</w:t>
            </w:r>
          </w:p>
        </w:tc>
      </w:tr>
      <w:tr>
        <w:tc>
          <w:tcPr>
            <w:tcW w:type="dxa" w:w="8000"/>
            <w:gridSpan w:val="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E4D8" w:color="E8E4D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20" w:after="40" w:line="252" w:lineRule="auto"/>
            </w:pPr>
            <w:r/>
            <w:r>
              <w:rPr>
                <w:rFonts w:ascii="Calibri" w:hAnsi="Calibri"/>
                <w:b/>
                <w:color w:val="16203A"/>
                <w:sz w:val="19"/>
              </w:rPr>
              <w:t>Part 5 Subtotal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E4D8" w:color="E8E4D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20" w:after="40" w:line="252" w:lineRule="auto"/>
              <w:jc w:val="right"/>
            </w:pPr>
            <w:r/>
            <w:r>
              <w:rPr>
                <w:rFonts w:ascii="Calibri" w:hAnsi="Calibri"/>
                <w:b/>
                <w:color w:val="16203A"/>
                <w:sz w:val="19"/>
              </w:rPr>
              <w:t>24</w:t>
            </w:r>
          </w:p>
        </w:tc>
      </w:tr>
    </w:tbl>
    <w:p>
      <w:pPr>
        <w:spacing w:after="2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300"/>
        <w:gridCol w:w="1200"/>
      </w:tblGrid>
      <w:tr>
        <w:trPr>
          <w:tblHeader/>
        </w:trPr>
        <w:tc>
          <w:tcPr>
            <w:tcW w:type="dxa" w:w="8000"/>
            <w:gridSpan w:val="2"/>
            <w:tcBorders>
              <w:top w:val="single" w:color="1F2A44" w:sz="4"/>
              <w:left w:val="single" w:color="1F2A44" w:sz="4"/>
              <w:bottom w:val="single" w:color="1F2A44" w:sz="4"/>
              <w:right w:val="single" w:color="1F2A44" w:sz="4"/>
            </w:tcBorders>
            <w:shd w:fill="1F2A44" w:color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20" w:after="40" w:line="252" w:lineRule="auto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PART 6 – G2 AI REPORT GENERATION ENGINE &amp; COPILOT (15 – 18 OCT)</w:t>
            </w:r>
          </w:p>
        </w:tc>
        <w:tc>
          <w:tcPr>
            <w:tcW w:type="dxa" w:w="1200"/>
            <w:tcBorders>
              <w:top w:val="single" w:color="1F2A44" w:sz="4"/>
              <w:left w:val="single" w:color="1F2A44" w:sz="4"/>
              <w:bottom w:val="single" w:color="1F2A44" w:sz="4"/>
              <w:right w:val="single" w:color="1F2A44" w:sz="4"/>
            </w:tcBorders>
            <w:shd w:fill="1F2A44" w:color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20" w:after="40" w:line="252" w:lineRule="auto"/>
              <w:jc w:val="righ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18 HRS</w:t>
            </w:r>
          </w:p>
        </w:tc>
      </w:tr>
      <w:t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203A"/>
                <w:sz w:val="17"/>
                <w:szCs w:val="17"/>
              </w:rPr>
              <w:t xml:space="preserve">#</w:t>
            </w:r>
          </w:p>
        </w:tc>
        <w:tc>
          <w:tcPr>
            <w:tcW w:type="dxa" w:w="7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203A"/>
                <w:sz w:val="17"/>
                <w:szCs w:val="17"/>
              </w:rPr>
              <w:t xml:space="preserve">DELIVERABLE / DESCRIPTION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6203A"/>
                <w:sz w:val="17"/>
                <w:szCs w:val="17"/>
              </w:rPr>
              <w:t xml:space="preserve">HRS</w:t>
            </w:r>
          </w:p>
        </w:tc>
      </w:tr>
      <w:t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pPr>
              <w:spacing w:before="20" w:after="40" w:line="252" w:lineRule="auto"/>
            </w:pPr>
            <w:r/>
            <w:r>
              <w:rPr>
                <w:rFonts w:ascii="Calibri" w:hAnsi="Calibri"/>
                <w:b/>
                <w:color w:val="1F2A44"/>
                <w:sz w:val="18"/>
              </w:rPr>
              <w:t>6.1</w:t>
            </w:r>
          </w:p>
        </w:tc>
        <w:tc>
          <w:tcPr>
            <w:tcW w:type="dxa" w:w="7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Calibri" w:hAnsi="Calibri"/>
                <w:b/>
                <w:color w:val="16203A"/>
                <w:sz w:val="19"/>
              </w:rPr>
              <w:t>G2 Two-Gate Verification Engine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b/>
                <w:color w:val="C9A24B"/>
                <w:sz w:val="18"/>
              </w:rPr>
              <w:t xml:space="preserve">• </w:t>
            </w:r>
            <w:r>
              <w:rPr>
                <w:rFonts w:ascii="Calibri" w:hAnsi="Calibri"/>
                <w:color w:val="333333"/>
                <w:sz w:val="18"/>
              </w:rPr>
              <w:t>Built G2 report generation architecture (backend/app/ai/):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b/>
                <w:color w:val="C9A24B"/>
                <w:sz w:val="18"/>
              </w:rPr>
              <w:t xml:space="preserve">• </w:t>
            </w:r>
            <w:r>
              <w:rPr>
                <w:rFonts w:ascii="Calibri" w:hAnsi="Calibri"/>
                <w:color w:val="333333"/>
                <w:sz w:val="18"/>
              </w:rPr>
              <w:t>Gate 1 (Pre-generation Scope Filter): strict tenancy validation and role permission enforcement (backend/app/ai/scope.py, permissions.py)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b/>
                <w:color w:val="C9A24B"/>
                <w:sz w:val="18"/>
              </w:rPr>
              <w:t xml:space="preserve">• </w:t>
            </w:r>
            <w:r>
              <w:rPr>
                <w:rFonts w:ascii="Calibri" w:hAnsi="Calibri"/>
                <w:color w:val="333333"/>
                <w:sz w:val="18"/>
              </w:rPr>
              <w:t>Gate 2 (Post-generation Containment Verifier): automated assertion engine verifying zero hallucination and tenant boundary compliance (backend/app/ai/verify.py)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b/>
                <w:color w:val="C9A24B"/>
                <w:sz w:val="18"/>
              </w:rPr>
              <w:t xml:space="preserve">• </w:t>
            </w:r>
            <w:r>
              <w:rPr>
                <w:rFonts w:ascii="Calibri" w:hAnsi="Calibri"/>
                <w:color w:val="333333"/>
                <w:sz w:val="18"/>
              </w:rPr>
              <w:t>Developed context assembly pipeline (backend/app/ai/context.py) binding AI models directly to ingested tenant telemetry logs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b/>
                <w:color w:val="C9A24B"/>
                <w:sz w:val="18"/>
              </w:rPr>
              <w:t xml:space="preserve">• </w:t>
            </w:r>
            <w:r>
              <w:rPr>
                <w:rFonts w:ascii="Calibri" w:hAnsi="Calibri"/>
                <w:color w:val="333333"/>
                <w:sz w:val="18"/>
              </w:rPr>
              <w:t>Exposed secured POST /api/v1/reports-ai endpoint with full unit test coverage (backend/tests/test_reports_ai.py)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before="20" w:after="40" w:line="252" w:lineRule="auto"/>
              <w:jc w:val="right"/>
            </w:pPr>
            <w:r/>
            <w:r>
              <w:rPr>
                <w:rFonts w:ascii="Calibri" w:hAnsi="Calibri"/>
                <w:b/>
                <w:color w:val="1F2A44"/>
                <w:sz w:val="19"/>
              </w:rPr>
              <w:t>10</w:t>
            </w:r>
          </w:p>
        </w:tc>
      </w:tr>
      <w:t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pPr>
              <w:spacing w:before="20" w:after="40" w:line="252" w:lineRule="auto"/>
            </w:pPr>
            <w:r/>
            <w:r>
              <w:rPr>
                <w:rFonts w:ascii="Calibri" w:hAnsi="Calibri"/>
                <w:b/>
                <w:color w:val="1F2A44"/>
                <w:sz w:val="18"/>
              </w:rPr>
              <w:t>6.2</w:t>
            </w:r>
          </w:p>
        </w:tc>
        <w:tc>
          <w:tcPr>
            <w:tcW w:type="dxa" w:w="7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Calibri" w:hAnsi="Calibri"/>
                <w:b/>
                <w:color w:val="16203A"/>
                <w:sz w:val="19"/>
              </w:rPr>
              <w:t>Frontend Interactive Grounded Copilot &amp; Report Studio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b/>
                <w:color w:val="C9A24B"/>
                <w:sz w:val="18"/>
              </w:rPr>
              <w:t xml:space="preserve">• </w:t>
            </w:r>
            <w:r>
              <w:rPr>
                <w:rFonts w:ascii="Calibri" w:hAnsi="Calibri"/>
                <w:color w:val="333333"/>
                <w:sz w:val="18"/>
              </w:rPr>
              <w:t>Developed frontend/src/components/ai/AiReportStudio.tsx (1,021 lines): interactive studio featuring streaming report preview, tenant selection, two-gate status indicators, and export actions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b/>
                <w:color w:val="C9A24B"/>
                <w:sz w:val="18"/>
              </w:rPr>
              <w:t xml:space="preserve">• </w:t>
            </w:r>
            <w:r>
              <w:rPr>
                <w:rFonts w:ascii="Calibri" w:hAnsi="Calibri"/>
                <w:color w:val="333333"/>
                <w:sz w:val="18"/>
              </w:rPr>
              <w:t>Built frontend/src/api/reportsAi.ts typed client and role-aware navigation integration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before="20" w:after="40" w:line="252" w:lineRule="auto"/>
              <w:jc w:val="right"/>
            </w:pPr>
            <w:r/>
            <w:r>
              <w:rPr>
                <w:rFonts w:ascii="Calibri" w:hAnsi="Calibri"/>
                <w:b/>
                <w:color w:val="1F2A44"/>
                <w:sz w:val="19"/>
              </w:rPr>
              <w:t>8</w:t>
            </w:r>
          </w:p>
        </w:tc>
      </w:tr>
      <w:tr>
        <w:tc>
          <w:tcPr>
            <w:tcW w:type="dxa" w:w="8000"/>
            <w:gridSpan w:val="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E4D8" w:color="E8E4D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20" w:after="40" w:line="252" w:lineRule="auto"/>
            </w:pPr>
            <w:r/>
            <w:r>
              <w:rPr>
                <w:rFonts w:ascii="Calibri" w:hAnsi="Calibri"/>
                <w:b/>
                <w:color w:val="16203A"/>
                <w:sz w:val="19"/>
              </w:rPr>
              <w:t>Part 6 Subtotal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E4D8" w:color="E8E4D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20" w:after="40" w:line="252" w:lineRule="auto"/>
              <w:jc w:val="right"/>
            </w:pPr>
            <w:r/>
            <w:r>
              <w:rPr>
                <w:rFonts w:ascii="Calibri" w:hAnsi="Calibri"/>
                <w:b/>
                <w:color w:val="16203A"/>
                <w:sz w:val="19"/>
              </w:rPr>
              <w:t>18</w:t>
            </w:r>
          </w:p>
        </w:tc>
      </w:tr>
    </w:tbl>
    <w:p>
      <w:pPr>
        <w:spacing w:after="2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300"/>
        <w:gridCol w:w="1200"/>
      </w:tblGrid>
      <w:tr>
        <w:trPr>
          <w:tblHeader/>
        </w:trPr>
        <w:tc>
          <w:tcPr>
            <w:tcW w:type="dxa" w:w="8000"/>
            <w:gridSpan w:val="2"/>
            <w:tcBorders>
              <w:top w:val="single" w:color="1F2A44" w:sz="4"/>
              <w:left w:val="single" w:color="1F2A44" w:sz="4"/>
              <w:bottom w:val="single" w:color="1F2A44" w:sz="4"/>
              <w:right w:val="single" w:color="1F2A44" w:sz="4"/>
            </w:tcBorders>
            <w:shd w:fill="1F2A44" w:color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20" w:after="40" w:line="252" w:lineRule="auto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PART 7 – AIMI MULTI-PROVIDER GATEWAY &amp; DBSEC AI ENGINE (19 – 21 OCT)</w:t>
            </w:r>
          </w:p>
        </w:tc>
        <w:tc>
          <w:tcPr>
            <w:tcW w:type="dxa" w:w="1200"/>
            <w:tcBorders>
              <w:top w:val="single" w:color="1F2A44" w:sz="4"/>
              <w:left w:val="single" w:color="1F2A44" w:sz="4"/>
              <w:bottom w:val="single" w:color="1F2A44" w:sz="4"/>
              <w:right w:val="single" w:color="1F2A44" w:sz="4"/>
            </w:tcBorders>
            <w:shd w:fill="1F2A44" w:color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20" w:after="40" w:line="252" w:lineRule="auto"/>
              <w:jc w:val="righ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22 HRS</w:t>
            </w:r>
          </w:p>
        </w:tc>
      </w:tr>
      <w:t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203A"/>
                <w:sz w:val="17"/>
                <w:szCs w:val="17"/>
              </w:rPr>
              <w:t xml:space="preserve">#</w:t>
            </w:r>
          </w:p>
        </w:tc>
        <w:tc>
          <w:tcPr>
            <w:tcW w:type="dxa" w:w="7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203A"/>
                <w:sz w:val="17"/>
                <w:szCs w:val="17"/>
              </w:rPr>
              <w:t xml:space="preserve">DELIVERABLE / DESCRIPTION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6203A"/>
                <w:sz w:val="17"/>
                <w:szCs w:val="17"/>
              </w:rPr>
              <w:t xml:space="preserve">HRS</w:t>
            </w:r>
          </w:p>
        </w:tc>
      </w:tr>
      <w:t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pPr>
              <w:spacing w:before="20" w:after="40" w:line="252" w:lineRule="auto"/>
            </w:pPr>
            <w:r/>
            <w:r>
              <w:rPr>
                <w:rFonts w:ascii="Calibri" w:hAnsi="Calibri"/>
                <w:b/>
                <w:color w:val="1F2A44"/>
                <w:sz w:val="18"/>
              </w:rPr>
              <w:t>7.1</w:t>
            </w:r>
          </w:p>
        </w:tc>
        <w:tc>
          <w:tcPr>
            <w:tcW w:type="dxa" w:w="7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Calibri" w:hAnsi="Calibri"/>
                <w:b/>
                <w:color w:val="16203A"/>
                <w:sz w:val="19"/>
              </w:rPr>
              <w:t>AIMI Multi-Provider Gateway Abstraction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b/>
                <w:color w:val="C9A24B"/>
                <w:sz w:val="18"/>
              </w:rPr>
              <w:t xml:space="preserve">• </w:t>
            </w:r>
            <w:r>
              <w:rPr>
                <w:rFonts w:ascii="Calibri" w:hAnsi="Calibri"/>
                <w:color w:val="333333"/>
                <w:sz w:val="18"/>
              </w:rPr>
              <w:t>Implemented multi-provider abstraction gateway (backend/app/ai/aimi/gateway.py, 375 lines) supporting Ollama, OpenAI, and Anthropic backends with automatic failover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b/>
                <w:color w:val="C9A24B"/>
                <w:sz w:val="18"/>
              </w:rPr>
              <w:t xml:space="preserve">• </w:t>
            </w:r>
            <w:r>
              <w:rPr>
                <w:rFonts w:ascii="Calibri" w:hAnsi="Calibri"/>
                <w:color w:val="333333"/>
                <w:sz w:val="18"/>
              </w:rPr>
              <w:t>Authored unit test suite backend/tests/test_aimi_integration.py (425 lines) verifying deterministic provider routing and error recovery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before="20" w:after="40" w:line="252" w:lineRule="auto"/>
              <w:jc w:val="right"/>
            </w:pPr>
            <w:r/>
            <w:r>
              <w:rPr>
                <w:rFonts w:ascii="Calibri" w:hAnsi="Calibri"/>
                <w:b/>
                <w:color w:val="1F2A44"/>
                <w:sz w:val="19"/>
              </w:rPr>
              <w:t>6</w:t>
            </w:r>
          </w:p>
        </w:tc>
      </w:tr>
      <w:t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pPr>
              <w:spacing w:before="20" w:after="40" w:line="252" w:lineRule="auto"/>
            </w:pPr>
            <w:r/>
            <w:r>
              <w:rPr>
                <w:rFonts w:ascii="Calibri" w:hAnsi="Calibri"/>
                <w:b/>
                <w:color w:val="1F2A44"/>
                <w:sz w:val="18"/>
              </w:rPr>
              <w:t>7.2</w:t>
            </w:r>
          </w:p>
        </w:tc>
        <w:tc>
          <w:tcPr>
            <w:tcW w:type="dxa" w:w="7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Calibri" w:hAnsi="Calibri"/>
                <w:b/>
                <w:color w:val="16203A"/>
                <w:sz w:val="19"/>
              </w:rPr>
              <w:t>Real-time Contextual Enrichment &amp; POPIA Zero-Log Sanitizer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b/>
                <w:color w:val="C9A24B"/>
                <w:sz w:val="18"/>
              </w:rPr>
              <w:t xml:space="preserve">• </w:t>
            </w:r>
            <w:r>
              <w:rPr>
                <w:rFonts w:ascii="Calibri" w:hAnsi="Calibri"/>
                <w:color w:val="333333"/>
                <w:sz w:val="18"/>
              </w:rPr>
              <w:t>Built real-time contextual enrichment engine (enrichment.py, 245 lines) augmenting threat prompts with localized tenant telemetry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b/>
                <w:color w:val="C9A24B"/>
                <w:sz w:val="18"/>
              </w:rPr>
              <w:t xml:space="preserve">• </w:t>
            </w:r>
            <w:r>
              <w:rPr>
                <w:rFonts w:ascii="Calibri" w:hAnsi="Calibri"/>
                <w:color w:val="333333"/>
                <w:sz w:val="18"/>
              </w:rPr>
              <w:t>Implemented POPIA zero-log PII redaction sanitizer (redaction.py, 145 lines) scrubbing RSA ID numbers, phone numbers, and employee credentials before external inference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before="20" w:after="40" w:line="252" w:lineRule="auto"/>
              <w:jc w:val="right"/>
            </w:pPr>
            <w:r/>
            <w:r>
              <w:rPr>
                <w:rFonts w:ascii="Calibri" w:hAnsi="Calibri"/>
                <w:b/>
                <w:color w:val="1F2A44"/>
                <w:sz w:val="19"/>
              </w:rPr>
              <w:t>5</w:t>
            </w:r>
          </w:p>
        </w:tc>
      </w:tr>
      <w:t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pPr>
              <w:spacing w:before="20" w:after="40" w:line="252" w:lineRule="auto"/>
            </w:pPr>
            <w:r/>
            <w:r>
              <w:rPr>
                <w:rFonts w:ascii="Calibri" w:hAnsi="Calibri"/>
                <w:b/>
                <w:color w:val="1F2A44"/>
                <w:sz w:val="18"/>
              </w:rPr>
              <w:t>7.3</w:t>
            </w:r>
          </w:p>
        </w:tc>
        <w:tc>
          <w:tcPr>
            <w:tcW w:type="dxa" w:w="7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Calibri" w:hAnsi="Calibri"/>
                <w:b/>
                <w:color w:val="16203A"/>
                <w:sz w:val="19"/>
              </w:rPr>
              <w:t>Database Security (DbSec) AI Alerts Engine &amp; React UI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b/>
                <w:color w:val="C9A24B"/>
                <w:sz w:val="18"/>
              </w:rPr>
              <w:t xml:space="preserve">• </w:t>
            </w:r>
            <w:r>
              <w:rPr>
                <w:rFonts w:ascii="Calibri" w:hAnsi="Calibri"/>
                <w:color w:val="333333"/>
                <w:sz w:val="18"/>
              </w:rPr>
              <w:t>Implemented database security anomaly detection engine (backend/app/processing/intel/dbsec.py, 555 lines) detecting exfiltration, privilege abuse, and anomalous queries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b/>
                <w:color w:val="C9A24B"/>
                <w:sz w:val="18"/>
              </w:rPr>
              <w:t xml:space="preserve">• </w:t>
            </w:r>
            <w:r>
              <w:rPr>
                <w:rFonts w:ascii="Calibri" w:hAnsi="Calibri"/>
                <w:color w:val="333333"/>
                <w:sz w:val="18"/>
              </w:rPr>
              <w:t>Authored test suite backend/tests/test_dbsec_ai_alerts.py (265 lines)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b/>
                <w:color w:val="C9A24B"/>
                <w:sz w:val="18"/>
              </w:rPr>
              <w:t xml:space="preserve">• </w:t>
            </w:r>
            <w:r>
              <w:rPr>
                <w:rFonts w:ascii="Calibri" w:hAnsi="Calibri"/>
                <w:color w:val="333333"/>
                <w:sz w:val="18"/>
              </w:rPr>
              <w:t>Developed frontend DbSecAiAlertsPanel.tsx and React hook useDbSecAiAlerts.ts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before="20" w:after="40" w:line="252" w:lineRule="auto"/>
              <w:jc w:val="right"/>
            </w:pPr>
            <w:r/>
            <w:r>
              <w:rPr>
                <w:rFonts w:ascii="Calibri" w:hAnsi="Calibri"/>
                <w:b/>
                <w:color w:val="1F2A44"/>
                <w:sz w:val="19"/>
              </w:rPr>
              <w:t>6</w:t>
            </w:r>
          </w:p>
        </w:tc>
      </w:tr>
      <w:t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pPr>
              <w:spacing w:before="20" w:after="40" w:line="252" w:lineRule="auto"/>
            </w:pPr>
            <w:r/>
            <w:r>
              <w:rPr>
                <w:rFonts w:ascii="Calibri" w:hAnsi="Calibri"/>
                <w:b/>
                <w:color w:val="1F2A44"/>
                <w:sz w:val="18"/>
              </w:rPr>
              <w:t>7.4</w:t>
            </w:r>
          </w:p>
        </w:tc>
        <w:tc>
          <w:tcPr>
            <w:tcW w:type="dxa" w:w="7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Calibri" w:hAnsi="Calibri"/>
                <w:b/>
                <w:color w:val="16203A"/>
                <w:sz w:val="19"/>
              </w:rPr>
              <w:t>Stakeholder Value Documentation &amp; OpenAPI 3.1 Technical Artefacts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b/>
                <w:color w:val="C9A24B"/>
                <w:sz w:val="18"/>
              </w:rPr>
              <w:t xml:space="preserve">• </w:t>
            </w:r>
            <w:r>
              <w:rPr>
                <w:rFonts w:ascii="Calibri" w:hAnsi="Calibri"/>
                <w:color w:val="333333"/>
                <w:sz w:val="18"/>
              </w:rPr>
              <w:t>Generated executive value reports: generate_aimi_stakeholder_report.py -&gt; docs/SITA_AIMI_AI_Integration_Business_Value_Proposition.docx, generate_security_progress_report.py -&gt; docs/SITA_Security_Assessment_Progress_Report_Oct2026.docx, generate_truth_remediation_report.py -&gt; docs/SITA_Security_Remediation_Executive_Truth_Report_Oct2026.docx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b/>
                <w:color w:val="C9A24B"/>
                <w:sz w:val="18"/>
              </w:rPr>
              <w:t xml:space="preserve">• </w:t>
            </w:r>
            <w:r>
              <w:rPr>
                <w:rFonts w:ascii="Calibri" w:hAnsi="Calibri"/>
                <w:color w:val="333333"/>
                <w:sz w:val="18"/>
              </w:rPr>
              <w:t>Compiled complete OpenAPI 3.1 specifications (openapi.json, openapi.yaml) and ingestion documentation (INGESTION_PIPELINE_EXPLAINED.md)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before="20" w:after="40" w:line="252" w:lineRule="auto"/>
              <w:jc w:val="right"/>
            </w:pPr>
            <w:r/>
            <w:r>
              <w:rPr>
                <w:rFonts w:ascii="Calibri" w:hAnsi="Calibri"/>
                <w:b/>
                <w:color w:val="1F2A44"/>
                <w:sz w:val="19"/>
              </w:rPr>
              <w:t>5</w:t>
            </w:r>
          </w:p>
        </w:tc>
      </w:tr>
      <w:tr>
        <w:tc>
          <w:tcPr>
            <w:tcW w:type="dxa" w:w="8000"/>
            <w:gridSpan w:val="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E4D8" w:color="E8E4D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20" w:after="40" w:line="252" w:lineRule="auto"/>
            </w:pPr>
            <w:r/>
            <w:r>
              <w:rPr>
                <w:rFonts w:ascii="Calibri" w:hAnsi="Calibri"/>
                <w:b/>
                <w:color w:val="16203A"/>
                <w:sz w:val="19"/>
              </w:rPr>
              <w:t>Part 7 Subtotal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E4D8" w:color="E8E4D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20" w:after="40" w:line="252" w:lineRule="auto"/>
              <w:jc w:val="right"/>
            </w:pPr>
            <w:r/>
            <w:r>
              <w:rPr>
                <w:rFonts w:ascii="Calibri" w:hAnsi="Calibri"/>
                <w:b/>
                <w:color w:val="16203A"/>
                <w:sz w:val="19"/>
              </w:rPr>
              <w:t>22</w:t>
            </w:r>
          </w:p>
        </w:tc>
      </w:tr>
    </w:tbl>
    <w:p>
      <w:pPr>
        <w:spacing w:after="2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300"/>
        <w:gridCol w:w="1200"/>
      </w:tblGrid>
      <w:tr>
        <w:trPr>
          <w:tblHeader/>
        </w:trPr>
        <w:tc>
          <w:tcPr>
            <w:tcW w:type="dxa" w:w="8000"/>
            <w:gridSpan w:val="2"/>
            <w:tcBorders>
              <w:top w:val="single" w:color="1F2A44" w:sz="4"/>
              <w:left w:val="single" w:color="1F2A44" w:sz="4"/>
              <w:bottom w:val="single" w:color="1F2A44" w:sz="4"/>
              <w:right w:val="single" w:color="1F2A44" w:sz="4"/>
            </w:tcBorders>
            <w:shd w:fill="1F2A44" w:color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20" w:after="40" w:line="252" w:lineRule="auto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PART 8 – C4 ARCHITECTURE VIEWER, DECKS &amp; EXECUTIVE BRIEFS (21 – 22 OCT)</w:t>
            </w:r>
          </w:p>
        </w:tc>
        <w:tc>
          <w:tcPr>
            <w:tcW w:type="dxa" w:w="1200"/>
            <w:tcBorders>
              <w:top w:val="single" w:color="1F2A44" w:sz="4"/>
              <w:left w:val="single" w:color="1F2A44" w:sz="4"/>
              <w:bottom w:val="single" w:color="1F2A44" w:sz="4"/>
              <w:right w:val="single" w:color="1F2A44" w:sz="4"/>
            </w:tcBorders>
            <w:shd w:fill="1F2A44" w:color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20" w:after="40" w:line="252" w:lineRule="auto"/>
              <w:jc w:val="righ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16 HRS</w:t>
            </w:r>
          </w:p>
        </w:tc>
      </w:tr>
      <w:t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203A"/>
                <w:sz w:val="17"/>
                <w:szCs w:val="17"/>
              </w:rPr>
              <w:t xml:space="preserve">#</w:t>
            </w:r>
          </w:p>
        </w:tc>
        <w:tc>
          <w:tcPr>
            <w:tcW w:type="dxa" w:w="7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203A"/>
                <w:sz w:val="17"/>
                <w:szCs w:val="17"/>
              </w:rPr>
              <w:t xml:space="preserve">DELIVERABLE / DESCRIPTION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6203A"/>
                <w:sz w:val="17"/>
                <w:szCs w:val="17"/>
              </w:rPr>
              <w:t xml:space="preserve">HRS</w:t>
            </w:r>
          </w:p>
        </w:tc>
      </w:tr>
      <w:t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pPr>
              <w:spacing w:before="20" w:after="40" w:line="252" w:lineRule="auto"/>
            </w:pPr>
            <w:r/>
            <w:r>
              <w:rPr>
                <w:rFonts w:ascii="Calibri" w:hAnsi="Calibri"/>
                <w:b/>
                <w:color w:val="1F2A44"/>
                <w:sz w:val="18"/>
              </w:rPr>
              <w:t>8.1</w:t>
            </w:r>
          </w:p>
        </w:tc>
        <w:tc>
          <w:tcPr>
            <w:tcW w:type="dxa" w:w="7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Calibri" w:hAnsi="Calibri"/>
                <w:b/>
                <w:color w:val="16203A"/>
                <w:sz w:val="19"/>
              </w:rPr>
              <w:t>Interactive C4 Architecture Viewer &amp; Handover Decks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b/>
                <w:color w:val="C9A24B"/>
                <w:sz w:val="18"/>
              </w:rPr>
              <w:t xml:space="preserve">• </w:t>
            </w:r>
            <w:r>
              <w:rPr>
                <w:rFonts w:ascii="Calibri" w:hAnsi="Calibri"/>
                <w:color w:val="333333"/>
                <w:sz w:val="18"/>
              </w:rPr>
              <w:t>Enhanced interactive architecture viewer (architecture.html, 2,116 lines) incorporating comprehensive AI integration layers, inspection modals, and zero-log markers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b/>
                <w:color w:val="C9A24B"/>
                <w:sz w:val="18"/>
              </w:rPr>
              <w:t xml:space="preserve">• </w:t>
            </w:r>
            <w:r>
              <w:rPr>
                <w:rFonts w:ascii="Calibri" w:hAnsi="Calibri"/>
                <w:color w:val="333333"/>
                <w:sz w:val="18"/>
              </w:rPr>
              <w:t>Updated handover_presentation.html and presentation.html incorporating 4-layer AI control model, live demo flows, and granular RBAC-within-tenancy matrix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before="20" w:after="40" w:line="252" w:lineRule="auto"/>
              <w:jc w:val="right"/>
            </w:pPr>
            <w:r/>
            <w:r>
              <w:rPr>
                <w:rFonts w:ascii="Calibri" w:hAnsi="Calibri"/>
                <w:b/>
                <w:color w:val="1F2A44"/>
                <w:sz w:val="19"/>
              </w:rPr>
              <w:t>8</w:t>
            </w:r>
          </w:p>
        </w:tc>
      </w:tr>
      <w:t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pPr>
              <w:spacing w:before="20" w:after="40" w:line="252" w:lineRule="auto"/>
            </w:pPr>
            <w:r/>
            <w:r>
              <w:rPr>
                <w:rFonts w:ascii="Calibri" w:hAnsi="Calibri"/>
                <w:b/>
                <w:color w:val="1F2A44"/>
                <w:sz w:val="18"/>
              </w:rPr>
              <w:t>8.2</w:t>
            </w:r>
          </w:p>
        </w:tc>
        <w:tc>
          <w:tcPr>
            <w:tcW w:type="dxa" w:w="7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Calibri" w:hAnsi="Calibri"/>
                <w:b/>
                <w:color w:val="16203A"/>
                <w:sz w:val="19"/>
              </w:rPr>
              <w:t>Executive Briefs Generation, UI Polish &amp; Remote Deploy Automation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b/>
                <w:color w:val="C9A24B"/>
                <w:sz w:val="18"/>
              </w:rPr>
              <w:t xml:space="preserve">• </w:t>
            </w:r>
            <w:r>
              <w:rPr>
                <w:rFonts w:ascii="Calibri" w:hAnsi="Calibri"/>
                <w:color w:val="333333"/>
                <w:sz w:val="18"/>
              </w:rPr>
              <w:t>Developed scripts/create_executive_brief_docx.py generating reports/SITA_Security_Remediation_Executive_Brief.docx and reports/SITA_AI_Role_Advantage_Executive_Brief.docx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b/>
                <w:color w:val="C9A24B"/>
                <w:sz w:val="18"/>
              </w:rPr>
              <w:t xml:space="preserve">• </w:t>
            </w:r>
            <w:r>
              <w:rPr>
                <w:rFonts w:ascii="Calibri" w:hAnsi="Calibri"/>
                <w:color w:val="333333"/>
                <w:sz w:val="18"/>
              </w:rPr>
              <w:t>Polished homepage UI (frontend/src/pages/HomePage.tsx, home.css) with clean role navigation and status badges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b/>
                <w:color w:val="C9A24B"/>
                <w:sz w:val="18"/>
              </w:rPr>
              <w:t xml:space="preserve">• </w:t>
            </w:r>
            <w:r>
              <w:rPr>
                <w:rFonts w:ascii="Calibri" w:hAnsi="Calibri"/>
                <w:color w:val="333333"/>
                <w:sz w:val="18"/>
              </w:rPr>
              <w:t>Finalized automated remote deployment scripts (scripts/deploy_remote.py and infrastructure/scripts/deploy.sh)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before="20" w:after="40" w:line="252" w:lineRule="auto"/>
              <w:jc w:val="right"/>
            </w:pPr>
            <w:r/>
            <w:r>
              <w:rPr>
                <w:rFonts w:ascii="Calibri" w:hAnsi="Calibri"/>
                <w:b/>
                <w:color w:val="1F2A44"/>
                <w:sz w:val="19"/>
              </w:rPr>
              <w:t>8</w:t>
            </w:r>
          </w:p>
        </w:tc>
      </w:tr>
      <w:tr>
        <w:tc>
          <w:tcPr>
            <w:tcW w:type="dxa" w:w="8000"/>
            <w:gridSpan w:val="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E4D8" w:color="E8E4D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20" w:after="40" w:line="252" w:lineRule="auto"/>
            </w:pPr>
            <w:r/>
            <w:r>
              <w:rPr>
                <w:rFonts w:ascii="Calibri" w:hAnsi="Calibri"/>
                <w:b/>
                <w:color w:val="16203A"/>
                <w:sz w:val="19"/>
              </w:rPr>
              <w:t>Part 8 Subtotal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E4D8" w:color="E8E4D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20" w:after="40" w:line="252" w:lineRule="auto"/>
              <w:jc w:val="right"/>
            </w:pPr>
            <w:r/>
            <w:r>
              <w:rPr>
                <w:rFonts w:ascii="Calibri" w:hAnsi="Calibri"/>
                <w:b/>
                <w:color w:val="16203A"/>
                <w:sz w:val="19"/>
              </w:rPr>
              <w:t>16</w:t>
            </w:r>
          </w:p>
        </w:tc>
      </w:tr>
    </w:tbl>
    <w:p>
      <w:pPr>
        <w:spacing w:after="200"/>
      </w:pP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16203A"/>
          <w:sz w:val="22"/>
          <w:szCs w:val="22"/>
        </w:rPr>
        <w:t xml:space="preserve">INVOICE SUMMARY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000"/>
      </w:tblGrid>
      <w:tr>
        <w:trPr>
          <w:tblHeader/>
        </w:trPr>
        <w:tc>
          <w:tcPr>
            <w:tcW w:type="dxa" w:w="7200"/>
            <w:tcBorders>
              <w:top w:val="single" w:color="1F2A44" w:sz="4"/>
              <w:left w:val="single" w:color="1F2A44" w:sz="4"/>
              <w:bottom w:val="single" w:color="1F2A44" w:sz="4"/>
              <w:right w:val="single" w:color="1F2A44" w:sz="4"/>
            </w:tcBorders>
            <w:shd w:fill="1F2A44" w:color="1F2A4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SUMMARY</w:t>
            </w:r>
          </w:p>
        </w:tc>
        <w:tc>
          <w:tcPr>
            <w:tcW w:type="dxa" w:w="2000"/>
            <w:tcBorders>
              <w:top w:val="single" w:color="1F2A44" w:sz="4"/>
              <w:left w:val="single" w:color="1F2A44" w:sz="4"/>
              <w:bottom w:val="single" w:color="1F2A44" w:sz="4"/>
              <w:right w:val="single" w:color="1F2A44" w:sz="4"/>
            </w:tcBorders>
            <w:shd w:fill="1F2A44" w:color="1F2A4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HOURS</w:t>
            </w:r>
          </w:p>
        </w:tc>
      </w:tr>
      <w:tr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40" w:line="252" w:lineRule="auto"/>
            </w:pPr>
            <w:r/>
            <w:r>
              <w:rPr>
                <w:rFonts w:ascii="Calibri" w:hAnsi="Calibri"/>
                <w:color w:val="222222"/>
                <w:sz w:val="18"/>
              </w:rPr>
              <w:t>PART 1 – FLIGHT PLANNING &amp; ADDENDUM B COMPRESSION (23 SEP – 07 OCT)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40" w:line="252" w:lineRule="auto"/>
              <w:jc w:val="right"/>
            </w:pPr>
            <w:r/>
            <w:r>
              <w:rPr>
                <w:rFonts w:ascii="Calibri" w:hAnsi="Calibri"/>
                <w:b/>
                <w:color w:val="1F2A44"/>
                <w:sz w:val="18"/>
              </w:rPr>
              <w:t>18 hrs</w:t>
            </w:r>
          </w:p>
        </w:tc>
      </w:tr>
      <w:tr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40" w:line="252" w:lineRule="auto"/>
            </w:pPr>
            <w:r/>
            <w:r>
              <w:rPr>
                <w:rFonts w:ascii="Calibri" w:hAnsi="Calibri"/>
                <w:color w:val="222222"/>
                <w:sz w:val="18"/>
              </w:rPr>
              <w:t>PART 2 – MULTI-TENANCY HARDENING &amp; GOVERNANCE EVIDENCE (07 – 12 OCT)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40" w:line="252" w:lineRule="auto"/>
              <w:jc w:val="right"/>
            </w:pPr>
            <w:r/>
            <w:r>
              <w:rPr>
                <w:rFonts w:ascii="Calibri" w:hAnsi="Calibri"/>
                <w:b/>
                <w:color w:val="1F2A44"/>
                <w:sz w:val="18"/>
              </w:rPr>
              <w:t>18 hrs</w:t>
            </w:r>
          </w:p>
        </w:tc>
      </w:tr>
      <w:tr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40" w:line="252" w:lineRule="auto"/>
            </w:pPr>
            <w:r/>
            <w:r>
              <w:rPr>
                <w:rFonts w:ascii="Calibri" w:hAnsi="Calibri"/>
                <w:color w:val="222222"/>
                <w:sz w:val="18"/>
              </w:rPr>
              <w:t>PART 3 – FMCG DISTRIBUTED DATA LAKE &amp; INGESTION BACKEND ARCHITECTURE (07 – 13 OCT)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40" w:line="252" w:lineRule="auto"/>
              <w:jc w:val="right"/>
            </w:pPr>
            <w:r/>
            <w:r>
              <w:rPr>
                <w:rFonts w:ascii="Calibri" w:hAnsi="Calibri"/>
                <w:b/>
                <w:color w:val="1F2A44"/>
                <w:sz w:val="18"/>
              </w:rPr>
              <w:t>22 hrs</w:t>
            </w:r>
          </w:p>
        </w:tc>
      </w:tr>
      <w:tr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40" w:line="252" w:lineRule="auto"/>
            </w:pPr>
            <w:r/>
            <w:r>
              <w:rPr>
                <w:rFonts w:ascii="Calibri" w:hAnsi="Calibri"/>
                <w:color w:val="222222"/>
                <w:sz w:val="18"/>
              </w:rPr>
              <w:t>PART 4 – HCL APPSCAN DAST &amp; SAST VULNERABILITY REMEDIATION (12 – 14 OCT)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40" w:line="252" w:lineRule="auto"/>
              <w:jc w:val="right"/>
            </w:pPr>
            <w:r/>
            <w:r>
              <w:rPr>
                <w:rFonts w:ascii="Calibri" w:hAnsi="Calibri"/>
                <w:b/>
                <w:color w:val="1F2A44"/>
                <w:sz w:val="18"/>
              </w:rPr>
              <w:t>22 hrs</w:t>
            </w:r>
          </w:p>
        </w:tc>
      </w:tr>
      <w:tr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40" w:line="252" w:lineRule="auto"/>
            </w:pPr>
            <w:r/>
            <w:r>
              <w:rPr>
                <w:rFonts w:ascii="Calibri" w:hAnsi="Calibri"/>
                <w:color w:val="222222"/>
                <w:sz w:val="18"/>
              </w:rPr>
              <w:t>PART 5 – AIMI AI INTELLIGENCE &amp; 5 AVP ENDPOINTS (14 – 15 OCT)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40" w:line="252" w:lineRule="auto"/>
              <w:jc w:val="right"/>
            </w:pPr>
            <w:r/>
            <w:r>
              <w:rPr>
                <w:rFonts w:ascii="Calibri" w:hAnsi="Calibri"/>
                <w:b/>
                <w:color w:val="1F2A44"/>
                <w:sz w:val="18"/>
              </w:rPr>
              <w:t>24 hrs</w:t>
            </w:r>
          </w:p>
        </w:tc>
      </w:tr>
      <w:tr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40" w:line="252" w:lineRule="auto"/>
            </w:pPr>
            <w:r/>
            <w:r>
              <w:rPr>
                <w:rFonts w:ascii="Calibri" w:hAnsi="Calibri"/>
                <w:color w:val="222222"/>
                <w:sz w:val="18"/>
              </w:rPr>
              <w:t>PART 6 – G2 AI REPORT GENERATION ENGINE &amp; COPILOT (15 – 18 OCT)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40" w:line="252" w:lineRule="auto"/>
              <w:jc w:val="right"/>
            </w:pPr>
            <w:r/>
            <w:r>
              <w:rPr>
                <w:rFonts w:ascii="Calibri" w:hAnsi="Calibri"/>
                <w:b/>
                <w:color w:val="1F2A44"/>
                <w:sz w:val="18"/>
              </w:rPr>
              <w:t>18 hrs</w:t>
            </w:r>
          </w:p>
        </w:tc>
      </w:tr>
      <w:tr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40" w:line="252" w:lineRule="auto"/>
            </w:pPr>
            <w:r/>
            <w:r>
              <w:rPr>
                <w:rFonts w:ascii="Calibri" w:hAnsi="Calibri"/>
                <w:color w:val="222222"/>
                <w:sz w:val="18"/>
              </w:rPr>
              <w:t>PART 7 – AIMI MULTI-PROVIDER GATEWAY &amp; DBSEC AI ENGINE (19 – 21 OCT)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40" w:line="252" w:lineRule="auto"/>
              <w:jc w:val="right"/>
            </w:pPr>
            <w:r/>
            <w:r>
              <w:rPr>
                <w:rFonts w:ascii="Calibri" w:hAnsi="Calibri"/>
                <w:b/>
                <w:color w:val="1F2A44"/>
                <w:sz w:val="18"/>
              </w:rPr>
              <w:t>22 hrs</w:t>
            </w:r>
          </w:p>
        </w:tc>
      </w:tr>
      <w:tr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40" w:line="252" w:lineRule="auto"/>
            </w:pPr>
            <w:r/>
            <w:r>
              <w:rPr>
                <w:rFonts w:ascii="Calibri" w:hAnsi="Calibri"/>
                <w:color w:val="222222"/>
                <w:sz w:val="18"/>
              </w:rPr>
              <w:t>PART 8 – C4 ARCHITECTURE VIEWER, DECKS &amp; EXECUTIVE BRIEFS (21 – 22 OCT)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40" w:line="252" w:lineRule="auto"/>
              <w:jc w:val="right"/>
            </w:pPr>
            <w:r/>
            <w:r>
              <w:rPr>
                <w:rFonts w:ascii="Calibri" w:hAnsi="Calibri"/>
                <w:b/>
                <w:color w:val="1F2A44"/>
                <w:sz w:val="18"/>
              </w:rPr>
              <w:t>16 hrs</w:t>
            </w:r>
          </w:p>
        </w:tc>
      </w:tr>
      <w:tr>
        <w:tc>
          <w:tcPr>
            <w:tcW w:type="dxa" w:w="7200"/>
            <w:tcBorders>
              <w:top w:val="single" w:color="C9A24B" w:sz="4"/>
              <w:left w:val="single" w:color="C9A24B" w:sz="4"/>
              <w:bottom w:val="single" w:color="C9A24B" w:sz="4"/>
              <w:right w:val="single" w:color="C9A24B" w:sz="4"/>
            </w:tcBorders>
            <w:shd w:fill="C9A24B" w:color="C9A2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40" w:line="252" w:lineRule="auto"/>
            </w:pPr>
            <w:r/>
            <w:r>
              <w:rPr>
                <w:rFonts w:ascii="Calibri" w:hAnsi="Calibri"/>
                <w:b/>
                <w:color w:val="16203A"/>
                <w:sz w:val="19"/>
              </w:rPr>
              <w:t>TOTAL HOURS</w:t>
            </w:r>
          </w:p>
        </w:tc>
        <w:tc>
          <w:tcPr>
            <w:tcW w:type="dxa" w:w="2000"/>
            <w:tcBorders>
              <w:top w:val="single" w:color="C9A24B" w:sz="4"/>
              <w:left w:val="single" w:color="C9A24B" w:sz="4"/>
              <w:bottom w:val="single" w:color="C9A24B" w:sz="4"/>
              <w:right w:val="single" w:color="C9A24B" w:sz="4"/>
            </w:tcBorders>
            <w:shd w:fill="C9A24B" w:color="C9A2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40" w:line="252" w:lineRule="auto"/>
              <w:jc w:val="right"/>
            </w:pPr>
            <w:r/>
            <w:r>
              <w:rPr>
                <w:rFonts w:ascii="Calibri" w:hAnsi="Calibri"/>
                <w:b/>
                <w:color w:val="16203A"/>
                <w:sz w:val="19"/>
              </w:rPr>
              <w:t>160 hrs</w:t>
            </w:r>
          </w:p>
        </w:tc>
      </w:tr>
    </w:tbl>
    <w:p>
      <w:pPr>
        <w:spacing w:after="60"/>
      </w:pP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F2F2F2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40" w:before="20" w:line="252" w:lineRule="auto"/>
            </w:pPr>
            <w:r/>
            <w:r>
              <w:rPr>
                <w:rFonts w:ascii="Calibri" w:hAnsi="Calibri"/>
                <w:b/>
                <w:color w:val="C9A24B"/>
                <w:sz w:val="18"/>
              </w:rPr>
              <w:t>BANKING DETAILS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color w:val="333333"/>
                <w:sz w:val="17"/>
              </w:rPr>
              <w:t>Bank: Bank Zero - Mukuru Branch Code: 435000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color w:val="333333"/>
                <w:sz w:val="17"/>
              </w:rPr>
              <w:t>Account Number: 70030185715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color w:val="333333"/>
                <w:sz w:val="17"/>
              </w:rPr>
              <w:t>Account Holder: Bantu InfoTech (Pty) Ltd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color w:val="333333"/>
                <w:sz w:val="17"/>
              </w:rPr>
              <w:t>Registration No: 2025/228003/07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color w:val="333333"/>
                <w:sz w:val="17"/>
              </w:rPr>
              <w:t>Tax No: 9637019200</w:t>
            </w:r>
          </w:p>
          <w:p>
            <w:pPr>
              <w:spacing w:before="20" w:after="40" w:line="252" w:lineRule="auto"/>
            </w:pPr>
            <w:r>
              <w:rPr>
                <w:rFonts w:ascii="Calibri" w:hAnsi="Calibri"/>
                <w:b/>
                <w:color w:val="16203A"/>
                <w:sz w:val="17"/>
              </w:rPr>
              <w:t>Covered under: Monthly Retainer INV-2026-010  (R60,000.00)</w:t>
            </w:r>
          </w:p>
        </w:tc>
      </w:tr>
    </w:tbl>
    <w:p>
      <w:pPr>
        <w:pBdr>
          <w:top w:val="single" w:color="D9D9D9" w:sz="4"/>
        </w:pBdr>
        <w:spacing w:before="60"/>
        <w:jc w:val="center"/>
      </w:pPr>
      <w:r/>
      <w:r>
        <w:rPr>
          <w:rFonts w:ascii="Calibri" w:hAnsi="Calibri"/>
          <w:color w:val="666666"/>
          <w:sz w:val="16"/>
        </w:rPr>
        <w:br/>
        <w:t>Bantu InfoTech (B.iT) • Pretoria, Gauteng</w:t>
        <w:br/>
      </w:r>
      <w:r>
        <w:rPr>
          <w:rFonts w:ascii="Calibri" w:hAnsi="Calibri"/>
          <w:color w:val="666666"/>
          <w:sz w:val="16"/>
        </w:rPr>
        <w:t>SITA Platform Delivery, FMCG Data Lake Backend Architecture &amp; AIMI AI Integration • October 2026</w:t>
      </w:r>
    </w:p>
    <w:sectPr>
      <w:footerReference w:type="default" r:id="rId7"/>
      <w:pgSz w:w="12240" w:h="15840" w:orient="portrait"/>
      <w:pgMar w:top="600" w:right="700" w:bottom="6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Page </w:t>
    </w:r>
    <w:r>
      <w:rPr>
        <w:rFonts w:ascii="Calibri" w:cs="Calibri" w:eastAsia="Calibri" w:hAnsi="Calibri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4"/>
        <w:szCs w:val="14"/>
      </w:rPr>
      <w:t xml:space="preserve"> of </w:t>
    </w:r>
    <w:r>
      <w:rPr>
        <w:rFonts w:ascii="Calibri" w:cs="Calibri" w:eastAsia="Calibri" w:hAnsi="Calibri"/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2026-09-23T15:08:40.986Z</dcterms:created>
  <dcterms:modified xsi:type="dcterms:W3CDTF">2026-09-23T15:08:40.986Z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