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040"/>
        <w:gridCol w:w="5040"/>
      </w:tblGrid>
      <w:tr>
        <w:tc>
          <w:tcPr>
            <w:tcW w:type="dxa" w:w="6912"/>
            <w:tcMar>
              <w:top w:w="60" w:type="dxa"/>
              <w:bottom w:w="60" w:type="dxa"/>
              <w:left w:w="0" w:type="dxa"/>
              <w:right w:w="100" w:type="dxa"/>
            </w:tcMar>
          </w:tcPr>
          <w:p>
            <w:pPr>
              <w:spacing w:after="40"/>
            </w:pPr>
            <w:r>
              <w:rPr>
                <w:rFonts w:ascii="Calibri" w:hAnsi="Calibri"/>
                <w:b/>
                <w:color w:val="C59B27"/>
                <w:sz w:val="18"/>
              </w:rPr>
              <w:t>STATE INFORMATION TECHNOLOGY AGENCY (SITA)</w:t>
            </w:r>
          </w:p>
          <w:p>
            <w:pPr>
              <w:spacing w:before="0" w:after="80"/>
            </w:pPr>
            <w:r>
              <w:rPr>
                <w:rFonts w:ascii="Calibri" w:hAnsi="Calibri"/>
                <w:b/>
                <w:color w:val="1B365D"/>
                <w:sz w:val="28"/>
              </w:rPr>
              <w:t>AI ARCHITECTURAL VALUE &amp; ROLE-BASED ADVANTAGE MATRIX</w:t>
            </w:r>
          </w:p>
          <w:p>
            <w:pPr>
              <w:spacing w:before="0" w:after="0"/>
            </w:pPr>
            <w:r>
              <w:rPr>
                <w:rFonts w:ascii="Calibri" w:hAnsi="Calibri"/>
                <w:i/>
                <w:color w:val="475569"/>
                <w:sz w:val="19"/>
              </w:rPr>
              <w:t>Demonstrating Cognitive AI Capabilities Atop the Deterministic Engineering Foundation</w:t>
            </w:r>
          </w:p>
        </w:tc>
        <w:tc>
          <w:tcPr>
            <w:tcW w:type="dxa" w:w="3168"/>
            <w:shd w:fill="F8FAFC"/>
            <w:tcMar>
              <w:top w:w="80" w:type="dxa"/>
              <w:bottom w:w="80" w:type="dxa"/>
              <w:left w:w="120" w:type="dxa"/>
              <w:right w:w="120" w:type="dxa"/>
            </w:tcMar>
            <w:tcBorders>
              <w:top w:val="single" w:sz="4" w:space="0" w:color="CBD5E1"/>
              <w:left w:val="single" w:sz="12" w:space="0" w:color="C59B27"/>
              <w:bottom w:val="single" w:sz="4" w:space="0" w:color="CBD5E1"/>
              <w:right w:val="single" w:sz="4" w:space="0" w:color="CBD5E1"/>
              <w:insideH w:val="none"/>
              <w:insideV w:val="none"/>
            </w:tcBorders>
          </w:tcPr>
          <w:p>
            <w:pPr>
              <w:spacing w:before="0" w:after="40" w:line="276" w:lineRule="auto"/>
            </w:pPr>
            <w:r>
              <w:rPr>
                <w:rFonts w:ascii="Calibri" w:hAnsi="Calibri"/>
                <w:b/>
                <w:color w:val="1B365D"/>
                <w:sz w:val="16"/>
              </w:rPr>
              <w:t xml:space="preserve">DOCUMENT ID: </w:t>
            </w:r>
            <w:r>
              <w:rPr>
                <w:rFonts w:ascii="Calibri" w:hAnsi="Calibri"/>
                <w:color w:val="0F172A"/>
                <w:sz w:val="16"/>
              </w:rPr>
              <w:t>SITA-AI-ROLE-ADVANTAGE-V1.0</w:t>
              <w:br/>
            </w:r>
            <w:r>
              <w:rPr>
                <w:rFonts w:ascii="Calibri" w:hAnsi="Calibri"/>
                <w:b/>
                <w:color w:val="1B365D"/>
                <w:sz w:val="16"/>
              </w:rPr>
              <w:t xml:space="preserve">CLASSIFICATION: </w:t>
            </w:r>
            <w:r>
              <w:rPr>
                <w:rFonts w:ascii="Calibri" w:hAnsi="Calibri"/>
                <w:color w:val="0F172A"/>
                <w:sz w:val="16"/>
              </w:rPr>
              <w:t>OFFICIAL (AUDIT GRADE)</w:t>
              <w:br/>
            </w:r>
            <w:r>
              <w:rPr>
                <w:rFonts w:ascii="Calibri" w:hAnsi="Calibri"/>
                <w:b/>
                <w:color w:val="1B365D"/>
                <w:sz w:val="16"/>
              </w:rPr>
              <w:t xml:space="preserve">TARGET SYSTEM: </w:t>
            </w:r>
            <w:r>
              <w:rPr>
                <w:rFonts w:ascii="Calibri" w:hAnsi="Calibri"/>
                <w:color w:val="0F172A"/>
                <w:sz w:val="16"/>
              </w:rPr>
              <w:t>SITA Security Intelligence Platform</w:t>
              <w:br/>
            </w:r>
            <w:r>
              <w:rPr>
                <w:rFonts w:ascii="Calibri" w:hAnsi="Calibri"/>
                <w:b/>
                <w:color w:val="1B365D"/>
                <w:sz w:val="16"/>
              </w:rPr>
              <w:t xml:space="preserve">GOVERNING SPECS: </w:t>
            </w:r>
            <w:r>
              <w:rPr>
                <w:rFonts w:ascii="Calibri" w:hAnsi="Calibri"/>
                <w:color w:val="0F172A"/>
                <w:sz w:val="16"/>
              </w:rPr>
              <w:t>D0 (AI-01-28) &amp; AIR-R1-R5</w:t>
              <w:br/>
            </w:r>
            <w:r>
              <w:rPr>
                <w:rFonts w:ascii="Calibri" w:hAnsi="Calibri"/>
                <w:b/>
                <w:color w:val="1B365D"/>
                <w:sz w:val="16"/>
              </w:rPr>
              <w:t xml:space="preserve">DATE: </w:t>
            </w:r>
            <w:r>
              <w:rPr>
                <w:rFonts w:ascii="Calibri" w:hAnsi="Calibri"/>
                <w:color w:val="0F172A"/>
                <w:sz w:val="16"/>
              </w:rPr>
              <w:t>October 2026</w:t>
              <w:br/>
            </w:r>
          </w:p>
        </w:tc>
      </w:tr>
    </w:tbl>
    <w:p>
      <w:pPr>
        <w:spacing w:before="80" w:after="120"/>
      </w:pP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520"/>
            <w:shd w:fill="F0FDFA"/>
            <w:tcMar>
              <w:top w:w="80" w:type="dxa"/>
              <w:bottom w:w="80" w:type="dxa"/>
              <w:left w:w="80" w:type="dxa"/>
              <w:right w:w="8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40" w:after="40"/>
              <w:jc w:val="center"/>
            </w:pPr>
            <w:r>
              <w:rPr>
                <w:rFonts w:ascii="Calibri" w:hAnsi="Calibri"/>
                <w:b/>
                <w:color w:val="0D9488"/>
                <w:sz w:val="26"/>
              </w:rPr>
              <w:t>100% Grounded</w:t>
              <w:br/>
            </w:r>
            <w:r>
              <w:rPr>
                <w:rFonts w:ascii="Calibri" w:hAnsi="Calibri"/>
                <w:b/>
                <w:color w:val="0F172A"/>
                <w:sz w:val="15"/>
              </w:rPr>
              <w:t>Zero Hallucination Verifier</w:t>
            </w:r>
          </w:p>
        </w:tc>
        <w:tc>
          <w:tcPr>
            <w:tcW w:type="dxa" w:w="2520"/>
            <w:shd w:fill="EEF2FF"/>
            <w:tcMar>
              <w:top w:w="80" w:type="dxa"/>
              <w:bottom w:w="80" w:type="dxa"/>
              <w:left w:w="80" w:type="dxa"/>
              <w:right w:w="8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40" w:after="40"/>
              <w:jc w:val="center"/>
            </w:pPr>
            <w:r>
              <w:rPr>
                <w:rFonts w:ascii="Calibri" w:hAnsi="Calibri"/>
                <w:b/>
                <w:color w:val="6366F1"/>
                <w:sz w:val="26"/>
              </w:rPr>
              <w:t>5 Cognitive</w:t>
              <w:br/>
            </w:r>
            <w:r>
              <w:rPr>
                <w:rFonts w:ascii="Calibri" w:hAnsi="Calibri"/>
                <w:b/>
                <w:color w:val="0F172A"/>
                <w:sz w:val="15"/>
              </w:rPr>
              <w:t>Irreducible AI Tasks (AIMI)</w:t>
            </w:r>
          </w:p>
        </w:tc>
        <w:tc>
          <w:tcPr>
            <w:tcW w:type="dxa" w:w="2520"/>
            <w:shd w:fill="F8FAFC"/>
            <w:tcMar>
              <w:top w:w="80" w:type="dxa"/>
              <w:bottom w:w="80" w:type="dxa"/>
              <w:left w:w="80" w:type="dxa"/>
              <w:right w:w="8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40" w:after="40"/>
              <w:jc w:val="center"/>
            </w:pPr>
            <w:r>
              <w:rPr>
                <w:rFonts w:ascii="Calibri" w:hAnsi="Calibri"/>
                <w:b/>
                <w:color w:val="1B365D"/>
                <w:sz w:val="26"/>
              </w:rPr>
              <w:t>7 Deterministic</w:t>
              <w:br/>
            </w:r>
            <w:r>
              <w:rPr>
                <w:rFonts w:ascii="Calibri" w:hAnsi="Calibri"/>
                <w:b/>
                <w:color w:val="0F172A"/>
                <w:sz w:val="15"/>
              </w:rPr>
              <w:t>Demoted to Code (Zero AI Cost)</w:t>
            </w:r>
          </w:p>
        </w:tc>
        <w:tc>
          <w:tcPr>
            <w:tcW w:type="dxa" w:w="2520"/>
            <w:shd w:fill="FFFBEB"/>
            <w:tcMar>
              <w:top w:w="80" w:type="dxa"/>
              <w:bottom w:w="80" w:type="dxa"/>
              <w:left w:w="80" w:type="dxa"/>
              <w:right w:w="8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40" w:after="40"/>
              <w:jc w:val="center"/>
            </w:pPr>
            <w:r>
              <w:rPr>
                <w:rFonts w:ascii="Calibri" w:hAnsi="Calibri"/>
                <w:b/>
                <w:color w:val="D97706"/>
                <w:sz w:val="26"/>
              </w:rPr>
              <w:t>Zero Downtime</w:t>
              <w:br/>
            </w:r>
            <w:r>
              <w:rPr>
                <w:rFonts w:ascii="Calibri" w:hAnsi="Calibri"/>
                <w:b/>
                <w:color w:val="0F172A"/>
                <w:sz w:val="15"/>
              </w:rPr>
              <w:t>Circuit-Breaker Static Fallback</w:t>
            </w:r>
          </w:p>
        </w:tc>
      </w:tr>
    </w:tbl>
    <w:p>
      <w:pPr>
        <w:spacing w:before="80" w:after="80"/>
      </w:pPr>
    </w:p>
    <w:p>
      <w:pPr>
        <w:keepNext/>
        <w:spacing w:before="280" w:after="80"/>
      </w:pPr>
      <w:r>
        <w:rPr>
          <w:rFonts w:ascii="Calibri" w:hAnsi="Calibri"/>
          <w:b/>
          <w:color w:val="1B365D"/>
          <w:sz w:val="27"/>
        </w:rPr>
        <w:t>1. Executive Architecture: Demystifying AI in SITA's Security Platform</w:t>
      </w:r>
    </w:p>
    <w:tbl>
      <w:tblPr>
        <w:tblW w:type="auto" w:w="0"/>
        <w:jc w:val="center"/>
        <w:tblLayout w:type="fixed"/>
        <w:tblLook w:firstColumn="1" w:firstRow="1" w:lastColumn="0" w:lastRow="0" w:noHBand="0" w:noVBand="1" w:val="04A0"/>
      </w:tblPr>
      <w:tblGrid>
        <w:gridCol w:w="10080"/>
      </w:tblGrid>
      <w:tr>
        <w:tc>
          <w:tcPr>
            <w:tcW w:type="dxa" w:w="10080"/>
            <w:shd w:fill="F8FAFC"/>
            <w:tcMar>
              <w:top w:w="120" w:type="dxa"/>
              <w:bottom w:w="120" w:type="dxa"/>
              <w:left w:w="180" w:type="dxa"/>
              <w:right w:w="180" w:type="dxa"/>
            </w:tcMar>
            <w:tcBorders>
              <w:top w:val="none" w:sz="4" w:space="0" w:color="auto"/>
              <w:left w:val="single" w:sz="24" w:space="0" w:color="1B365D"/>
              <w:bottom w:val="none" w:sz="4" w:space="0" w:color="auto"/>
              <w:right w:val="none" w:sz="4" w:space="0" w:color="auto"/>
              <w:insideH w:val="none"/>
              <w:insideV w:val="none"/>
            </w:tcBorders>
          </w:tcPr>
          <w:p>
            <w:pPr>
              <w:spacing w:before="40" w:after="40" w:line="276" w:lineRule="auto"/>
            </w:pPr>
            <w:r>
              <w:rPr>
                <w:rFonts w:ascii="Calibri" w:hAnsi="Calibri"/>
                <w:b/>
                <w:color w:val="1B365D"/>
                <w:sz w:val="19"/>
              </w:rPr>
              <w:t xml:space="preserve">THE STRICT AI TEST AT SITA: </w:t>
            </w:r>
            <w:r>
              <w:rPr>
                <w:rFonts w:ascii="Calibri" w:hAnsi="Calibri"/>
                <w:color w:val="0F172A"/>
                <w:sz w:val="18"/>
              </w:rPr>
              <w:t>SITA enforces an unbending architectural standard: 'If a calculation, join, alert, or report can be produced by ordinary software engineering, database queries, or mathematical formulas, it is deterministic code and SITA will never treat or pay for it as AI.'</w:t>
              <w:br/>
              <w:br/>
              <w:t>Of twelve originally conceived AI capabilities, seven were deliberately demoted to standard deterministic engineering (built and running at zero licensing cost). SITA integrates the AIMI AI engine strictly for the five irreducible cognitive tasks that mathematically and practically cannot be executed by traditional code.</w:t>
            </w:r>
          </w:p>
        </w:tc>
      </w:tr>
    </w:tbl>
    <w:p>
      <w:pPr>
        <w:spacing w:before="0" w:after="80"/>
      </w:pPr>
    </w:p>
    <w:p>
      <w:pPr>
        <w:spacing w:after="120"/>
      </w:pPr>
      <w:r>
        <w:rPr>
          <w:rFonts w:ascii="Calibri" w:hAnsi="Calibri"/>
          <w:sz w:val="18"/>
        </w:rPr>
        <w:t>To guarantee mathematical correctness, multi-tenant isolation, and 100% uptime for South African state departments, the platform is architected in four strictly decoupled layers. Three of the four layers are purely deterministic, ensuring that even if all cloud AI connections are severed, the entire platform continues to function flawlessly:</w:t>
      </w:r>
    </w:p>
    <w:tbl>
      <w:tblPr>
        <w:tblW w:type="auto" w:w="0"/>
        <w:jc w:val="center"/>
        <w:tblLayout w:type="fixed"/>
        <w:tblLook w:firstColumn="1" w:firstRow="1" w:lastColumn="0" w:lastRow="0" w:noHBand="0" w:noVBand="1" w:val="04A0"/>
      </w:tblPr>
      <w:tblGrid>
        <w:gridCol w:w="2520"/>
        <w:gridCol w:w="2520"/>
        <w:gridCol w:w="2520"/>
        <w:gridCol w:w="2520"/>
      </w:tblGrid>
      <w:tr>
        <w:trPr>
          <w:cantSplit/>
          <w:tblHeader/>
        </w:trPr>
        <w:tc>
          <w:tcPr>
            <w:tcW w:type="dxa" w:w="2160"/>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1B365D"/>
          </w:tcPr>
          <w:p>
            <w:pPr>
              <w:spacing w:before="40" w:after="40"/>
            </w:pPr>
            <w:r>
              <w:rPr>
                <w:rFonts w:ascii="Calibri" w:hAnsi="Calibri"/>
                <w:b/>
                <w:color w:val="FFFFFF"/>
                <w:sz w:val="17"/>
              </w:rPr>
              <w:t>Layer</w:t>
            </w:r>
          </w:p>
        </w:tc>
        <w:tc>
          <w:tcPr>
            <w:tcW w:type="dxa" w:w="2592"/>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1B365D"/>
          </w:tcPr>
          <w:p>
            <w:pPr>
              <w:spacing w:before="40" w:after="40"/>
            </w:pPr>
            <w:r>
              <w:rPr>
                <w:rFonts w:ascii="Calibri" w:hAnsi="Calibri"/>
                <w:b/>
                <w:color w:val="FFFFFF"/>
                <w:sz w:val="17"/>
              </w:rPr>
              <w:t>Technical Mechanism</w:t>
            </w:r>
          </w:p>
        </w:tc>
        <w:tc>
          <w:tcPr>
            <w:tcW w:type="dxa" w:w="3168"/>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1B365D"/>
          </w:tcPr>
          <w:p>
            <w:pPr>
              <w:spacing w:before="40" w:after="40"/>
            </w:pPr>
            <w:r>
              <w:rPr>
                <w:rFonts w:ascii="Calibri" w:hAnsi="Calibri"/>
                <w:b/>
                <w:color w:val="FFFFFF"/>
                <w:sz w:val="17"/>
              </w:rPr>
              <w:t>Deterministic vs Cognitive Boundary</w:t>
            </w:r>
          </w:p>
        </w:tc>
        <w:tc>
          <w:tcPr>
            <w:tcW w:type="dxa" w:w="2160"/>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1B365D"/>
          </w:tcPr>
          <w:p>
            <w:pPr>
              <w:spacing w:before="40" w:after="40"/>
            </w:pPr>
            <w:r>
              <w:rPr>
                <w:rFonts w:ascii="Calibri" w:hAnsi="Calibri"/>
                <w:b/>
                <w:color w:val="FFFFFF"/>
                <w:sz w:val="17"/>
              </w:rPr>
              <w:t>Operational Guarantee</w:t>
            </w:r>
          </w:p>
        </w:tc>
      </w:tr>
      <w:tr>
        <w:trPr>
          <w:cantSplit/>
        </w:trPr>
        <w:tc>
          <w:tcPr>
            <w:tcW w:type="dxa" w:w="2160"/>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FFFFF"/>
          </w:tcPr>
          <w:p>
            <w:pPr>
              <w:spacing w:before="40" w:after="40" w:line="276" w:lineRule="auto"/>
            </w:pPr>
            <w:r>
              <w:rPr>
                <w:rFonts w:ascii="Calibri" w:hAnsi="Calibri"/>
                <w:b/>
                <w:color w:val="0F172A"/>
                <w:sz w:val="16"/>
              </w:rPr>
              <w:t>Layer 1: Fact Assembly</w:t>
            </w:r>
          </w:p>
        </w:tc>
        <w:tc>
          <w:tcPr>
            <w:tcW w:type="dxa" w:w="2592"/>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FFFFF"/>
          </w:tcPr>
          <w:p>
            <w:pPr>
              <w:spacing w:before="40" w:after="40" w:line="276" w:lineRule="auto"/>
            </w:pPr>
            <w:r>
              <w:rPr>
                <w:rFonts w:ascii="Calibri" w:hAnsi="Calibri"/>
                <w:color w:val="0F172A"/>
                <w:sz w:val="16"/>
              </w:rPr>
              <w:t>SQL denormalization across Imperva WAF/DAM, HCL AppScan &amp; SIEM logs.</w:t>
            </w:r>
          </w:p>
        </w:tc>
        <w:tc>
          <w:tcPr>
            <w:tcW w:type="dxa" w:w="3168"/>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FFFFF"/>
          </w:tcPr>
          <w:p>
            <w:pPr>
              <w:spacing w:before="40" w:after="40" w:line="276" w:lineRule="auto"/>
            </w:pPr>
            <w:r>
              <w:rPr>
                <w:rFonts w:ascii="Calibri" w:hAnsi="Calibri"/>
                <w:color w:val="0F172A"/>
                <w:sz w:val="16"/>
              </w:rPr>
              <w:t>100% Deterministic (No AI). Aggregates raw telemetry, hashes, and asset mappings.</w:t>
            </w:r>
          </w:p>
        </w:tc>
        <w:tc>
          <w:tcPr>
            <w:tcW w:type="dxa" w:w="2160"/>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FFFFF"/>
          </w:tcPr>
          <w:p>
            <w:pPr>
              <w:spacing w:before="40" w:after="40" w:line="276" w:lineRule="auto"/>
            </w:pPr>
            <w:r>
              <w:rPr>
                <w:rFonts w:ascii="Calibri" w:hAnsi="Calibri"/>
                <w:color w:val="0F172A"/>
                <w:sz w:val="16"/>
              </w:rPr>
              <w:t>Single source of truth; zero hallucinations.</w:t>
            </w:r>
          </w:p>
        </w:tc>
      </w:tr>
      <w:tr>
        <w:trPr>
          <w:cantSplit/>
        </w:trPr>
        <w:tc>
          <w:tcPr>
            <w:tcW w:type="dxa" w:w="2160"/>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8FAFC"/>
          </w:tcPr>
          <w:p>
            <w:pPr>
              <w:spacing w:before="40" w:after="40" w:line="276" w:lineRule="auto"/>
            </w:pPr>
            <w:r>
              <w:rPr>
                <w:rFonts w:ascii="Calibri" w:hAnsi="Calibri"/>
                <w:b/>
                <w:color w:val="0F172A"/>
                <w:sz w:val="16"/>
              </w:rPr>
              <w:t>Layer 2: Tenancy &amp; PII Redaction</w:t>
            </w:r>
          </w:p>
        </w:tc>
        <w:tc>
          <w:tcPr>
            <w:tcW w:type="dxa" w:w="2592"/>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8FAFC"/>
          </w:tcPr>
          <w:p>
            <w:pPr>
              <w:spacing w:before="40" w:after="40" w:line="276" w:lineRule="auto"/>
            </w:pPr>
            <w:r>
              <w:rPr>
                <w:rFonts w:ascii="Calibri" w:hAnsi="Calibri"/>
                <w:color w:val="0F172A"/>
                <w:sz w:val="16"/>
              </w:rPr>
              <w:t>SITA Tenancy Tree enforcement; AES-256 PII masking; blind claim classes.</w:t>
            </w:r>
          </w:p>
        </w:tc>
        <w:tc>
          <w:tcPr>
            <w:tcW w:type="dxa" w:w="3168"/>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8FAFC"/>
          </w:tcPr>
          <w:p>
            <w:pPr>
              <w:spacing w:before="40" w:after="40" w:line="276" w:lineRule="auto"/>
            </w:pPr>
            <w:r>
              <w:rPr>
                <w:rFonts w:ascii="Calibri" w:hAnsi="Calibri"/>
                <w:color w:val="0F172A"/>
                <w:sz w:val="16"/>
              </w:rPr>
              <w:t>100% Deterministic (No AI). Filters caller scope before prompt construction.</w:t>
            </w:r>
          </w:p>
        </w:tc>
        <w:tc>
          <w:tcPr>
            <w:tcW w:type="dxa" w:w="2160"/>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8FAFC"/>
          </w:tcPr>
          <w:p>
            <w:pPr>
              <w:spacing w:before="40" w:after="40" w:line="276" w:lineRule="auto"/>
            </w:pPr>
            <w:r>
              <w:rPr>
                <w:rFonts w:ascii="Calibri" w:hAnsi="Calibri"/>
                <w:color w:val="0F172A"/>
                <w:sz w:val="16"/>
              </w:rPr>
              <w:t>Provincial and department data strictly isolated; zero PII leak.</w:t>
            </w:r>
          </w:p>
        </w:tc>
      </w:tr>
      <w:tr>
        <w:trPr>
          <w:cantSplit/>
        </w:trPr>
        <w:tc>
          <w:tcPr>
            <w:tcW w:type="dxa" w:w="2160"/>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FFFFF"/>
          </w:tcPr>
          <w:p>
            <w:pPr>
              <w:spacing w:before="40" w:after="40" w:line="276" w:lineRule="auto"/>
            </w:pPr>
            <w:r>
              <w:rPr>
                <w:rFonts w:ascii="Calibri" w:hAnsi="Calibri"/>
                <w:b/>
                <w:color w:val="0F172A"/>
                <w:sz w:val="16"/>
              </w:rPr>
              <w:t>Layer 3: Cognitive Model Inference</w:t>
            </w:r>
          </w:p>
        </w:tc>
        <w:tc>
          <w:tcPr>
            <w:tcW w:type="dxa" w:w="2592"/>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FFFFF"/>
          </w:tcPr>
          <w:p>
            <w:pPr>
              <w:spacing w:before="40" w:after="40" w:line="276" w:lineRule="auto"/>
            </w:pPr>
            <w:r>
              <w:rPr>
                <w:rFonts w:ascii="Calibri" w:hAnsi="Calibri"/>
                <w:color w:val="0F172A"/>
                <w:sz w:val="16"/>
              </w:rPr>
              <w:t>AIMI LLM gateway. Synthesizes prose, contextualizes threat actors, authors rules.</w:t>
            </w:r>
          </w:p>
        </w:tc>
        <w:tc>
          <w:tcPr>
            <w:tcW w:type="dxa" w:w="3168"/>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FFFFF"/>
          </w:tcPr>
          <w:p>
            <w:pPr>
              <w:spacing w:before="40" w:after="40" w:line="276" w:lineRule="auto"/>
            </w:pPr>
            <w:r>
              <w:rPr>
                <w:rFonts w:ascii="Calibri" w:hAnsi="Calibri"/>
                <w:color w:val="0F172A"/>
                <w:sz w:val="16"/>
              </w:rPr>
              <w:t>Cognitive AI Residue. Executes only on pre-redacted, pre-verified fact packs.</w:t>
            </w:r>
          </w:p>
        </w:tc>
        <w:tc>
          <w:tcPr>
            <w:tcW w:type="dxa" w:w="2160"/>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FFFFF"/>
          </w:tcPr>
          <w:p>
            <w:pPr>
              <w:spacing w:before="40" w:after="40" w:line="276" w:lineRule="auto"/>
            </w:pPr>
            <w:r>
              <w:rPr>
                <w:rFonts w:ascii="Calibri" w:hAnsi="Calibri"/>
                <w:color w:val="0F172A"/>
                <w:sz w:val="16"/>
              </w:rPr>
              <w:t>Advisory only. No automated writes, account locks, or policy overrides.</w:t>
            </w:r>
          </w:p>
        </w:tc>
      </w:tr>
      <w:tr>
        <w:trPr>
          <w:cantSplit/>
        </w:trPr>
        <w:tc>
          <w:tcPr>
            <w:tcW w:type="dxa" w:w="2160"/>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8FAFC"/>
          </w:tcPr>
          <w:p>
            <w:pPr>
              <w:spacing w:before="40" w:after="40" w:line="276" w:lineRule="auto"/>
            </w:pPr>
            <w:r>
              <w:rPr>
                <w:rFonts w:ascii="Calibri" w:hAnsi="Calibri"/>
                <w:b/>
                <w:color w:val="0F172A"/>
                <w:sz w:val="16"/>
              </w:rPr>
              <w:t>Layer 4: Grounding &amp; Fallback</w:t>
            </w:r>
          </w:p>
        </w:tc>
        <w:tc>
          <w:tcPr>
            <w:tcW w:type="dxa" w:w="2592"/>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8FAFC"/>
          </w:tcPr>
          <w:p>
            <w:pPr>
              <w:spacing w:before="40" w:after="40" w:line="276" w:lineRule="auto"/>
            </w:pPr>
            <w:r>
              <w:rPr>
                <w:rFonts w:ascii="Calibri" w:hAnsi="Calibri"/>
                <w:color w:val="0F172A"/>
                <w:sz w:val="16"/>
              </w:rPr>
              <w:t>Automated numeral verifier. Compares numbers to SQL. Jinja2 fallback breaker.</w:t>
            </w:r>
          </w:p>
        </w:tc>
        <w:tc>
          <w:tcPr>
            <w:tcW w:type="dxa" w:w="3168"/>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8FAFC"/>
          </w:tcPr>
          <w:p>
            <w:pPr>
              <w:spacing w:before="40" w:after="40" w:line="276" w:lineRule="auto"/>
            </w:pPr>
            <w:r>
              <w:rPr>
                <w:rFonts w:ascii="Calibri" w:hAnsi="Calibri"/>
                <w:color w:val="0F172A"/>
                <w:sz w:val="16"/>
              </w:rPr>
              <w:t>100% Deterministic (No AI). Discards ungrounded text; serves templates on timeout.</w:t>
            </w:r>
          </w:p>
        </w:tc>
        <w:tc>
          <w:tcPr>
            <w:tcW w:type="dxa" w:w="2160"/>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8FAFC"/>
          </w:tcPr>
          <w:p>
            <w:pPr>
              <w:spacing w:before="40" w:after="40" w:line="276" w:lineRule="auto"/>
            </w:pPr>
            <w:r>
              <w:rPr>
                <w:rFonts w:ascii="Calibri" w:hAnsi="Calibri"/>
                <w:color w:val="0F172A"/>
                <w:sz w:val="16"/>
              </w:rPr>
              <w:t>100% availability. Discards any fabricated claims.</w:t>
            </w:r>
          </w:p>
        </w:tc>
      </w:tr>
    </w:tbl>
    <w:p>
      <w:r>
        <w:br w:type="page"/>
      </w:r>
    </w:p>
    <w:p>
      <w:pPr>
        <w:keepNext/>
        <w:spacing w:before="280" w:after="80"/>
      </w:pPr>
      <w:r>
        <w:rPr>
          <w:rFonts w:ascii="Calibri" w:hAnsi="Calibri"/>
          <w:b/>
          <w:color w:val="1B365D"/>
          <w:sz w:val="27"/>
        </w:rPr>
        <w:t>2. Architectural Truth: The 12 Value Propositions Boundary Matrix</w:t>
      </w:r>
    </w:p>
    <w:p>
      <w:pPr>
        <w:spacing w:after="120"/>
      </w:pPr>
      <w:r>
        <w:rPr>
          <w:rFonts w:ascii="Calibri" w:hAnsi="Calibri"/>
          <w:sz w:val="18"/>
        </w:rPr>
        <w:t>SITA's capability registry (app/processing/intel/capability.py) formally delineates between deterministic code and genuine AI tasks. This matrix demonstrates why 7 propositions were demoted to engineering and what the 5 genuine AI capabilities achieve:</w:t>
      </w:r>
    </w:p>
    <w:tbl>
      <w:tblPr>
        <w:tblW w:type="auto" w:w="0"/>
        <w:jc w:val="center"/>
        <w:tblLayout w:type="fixed"/>
        <w:tblLook w:firstColumn="1" w:firstRow="1" w:lastColumn="0" w:lastRow="0" w:noHBand="0" w:noVBand="1" w:val="04A0"/>
      </w:tblPr>
      <w:tblGrid>
        <w:gridCol w:w="2520"/>
        <w:gridCol w:w="2520"/>
        <w:gridCol w:w="2520"/>
        <w:gridCol w:w="2520"/>
      </w:tblGrid>
      <w:tr>
        <w:trPr>
          <w:cantSplit/>
          <w:tblHeader/>
        </w:trPr>
        <w:tc>
          <w:tcPr>
            <w:tcW w:type="dxa" w:w="1440"/>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1B365D"/>
          </w:tcPr>
          <w:p>
            <w:pPr>
              <w:spacing w:before="40" w:after="40"/>
            </w:pPr>
            <w:r>
              <w:rPr>
                <w:rFonts w:ascii="Calibri" w:hAnsi="Calibri"/>
                <w:b/>
                <w:color w:val="FFFFFF"/>
                <w:sz w:val="17"/>
              </w:rPr>
              <w:t>Prop ID</w:t>
            </w:r>
          </w:p>
        </w:tc>
        <w:tc>
          <w:tcPr>
            <w:tcW w:type="dxa" w:w="2592"/>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1B365D"/>
          </w:tcPr>
          <w:p>
            <w:pPr>
              <w:spacing w:before="40" w:after="40"/>
            </w:pPr>
            <w:r>
              <w:rPr>
                <w:rFonts w:ascii="Calibri" w:hAnsi="Calibri"/>
                <w:b/>
                <w:color w:val="FFFFFF"/>
                <w:sz w:val="17"/>
              </w:rPr>
              <w:t>Capability Name</w:t>
            </w:r>
          </w:p>
        </w:tc>
        <w:tc>
          <w:tcPr>
            <w:tcW w:type="dxa" w:w="2160"/>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1B365D"/>
          </w:tcPr>
          <w:p>
            <w:pPr>
              <w:spacing w:before="40" w:after="40"/>
            </w:pPr>
            <w:r>
              <w:rPr>
                <w:rFonts w:ascii="Calibri" w:hAnsi="Calibri"/>
                <w:b/>
                <w:color w:val="FFFFFF"/>
                <w:sz w:val="17"/>
              </w:rPr>
              <w:t>Classification</w:t>
            </w:r>
          </w:p>
        </w:tc>
        <w:tc>
          <w:tcPr>
            <w:tcW w:type="dxa" w:w="3888"/>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1B365D"/>
          </w:tcPr>
          <w:p>
            <w:pPr>
              <w:spacing w:before="40" w:after="40"/>
            </w:pPr>
            <w:r>
              <w:rPr>
                <w:rFonts w:ascii="Calibri" w:hAnsi="Calibri"/>
                <w:b/>
                <w:color w:val="FFFFFF"/>
                <w:sz w:val="17"/>
              </w:rPr>
              <w:t>Technical Reason &amp; Deterministic Proof</w:t>
            </w:r>
          </w:p>
        </w:tc>
      </w:tr>
      <w:tr>
        <w:trPr>
          <w:cantSplit/>
        </w:trPr>
        <w:tc>
          <w:tcPr>
            <w:tcW w:type="dxa" w:w="1440"/>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FFFFF"/>
          </w:tcPr>
          <w:p>
            <w:pPr>
              <w:spacing w:before="40" w:after="40" w:line="276" w:lineRule="auto"/>
            </w:pPr>
            <w:r>
              <w:rPr>
                <w:rFonts w:ascii="Calibri" w:hAnsi="Calibri"/>
                <w:b/>
                <w:color w:val="0F172A"/>
                <w:sz w:val="16"/>
              </w:rPr>
              <w:t>AVP-1</w:t>
            </w:r>
          </w:p>
        </w:tc>
        <w:tc>
          <w:tcPr>
            <w:tcW w:type="dxa" w:w="2592"/>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FFFFF"/>
          </w:tcPr>
          <w:p>
            <w:pPr>
              <w:spacing w:before="40" w:after="40" w:line="276" w:lineRule="auto"/>
            </w:pPr>
            <w:r>
              <w:rPr>
                <w:rFonts w:ascii="Calibri" w:hAnsi="Calibri"/>
                <w:color w:val="0F172A"/>
                <w:sz w:val="16"/>
              </w:rPr>
              <w:t>Control Scoring</w:t>
            </w:r>
          </w:p>
        </w:tc>
        <w:tc>
          <w:tcPr>
            <w:tcW w:type="dxa" w:w="2160"/>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FFFFF"/>
          </w:tcPr>
          <w:p>
            <w:pPr>
              <w:spacing w:before="40" w:after="40" w:line="276" w:lineRule="auto"/>
            </w:pPr>
            <w:r>
              <w:rPr>
                <w:rFonts w:ascii="Calibri" w:hAnsi="Calibri"/>
                <w:b/>
                <w:color w:val="0F172A"/>
                <w:sz w:val="16"/>
              </w:rPr>
              <w:t>DEMOTED (Deterministic)</w:t>
            </w:r>
          </w:p>
        </w:tc>
        <w:tc>
          <w:tcPr>
            <w:tcW w:type="dxa" w:w="3888"/>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FFFFF"/>
          </w:tcPr>
          <w:p>
            <w:pPr>
              <w:spacing w:before="40" w:after="40" w:line="276" w:lineRule="auto"/>
            </w:pPr>
            <w:r>
              <w:rPr>
                <w:rFonts w:ascii="Calibri" w:hAnsi="Calibri"/>
                <w:color w:val="0F172A"/>
                <w:sz w:val="16"/>
              </w:rPr>
              <w:t>Pure arithmetic: weighted sums over database tables. Built &amp; live in Python/SQL.</w:t>
            </w:r>
          </w:p>
        </w:tc>
      </w:tr>
      <w:tr>
        <w:trPr>
          <w:cantSplit/>
        </w:trPr>
        <w:tc>
          <w:tcPr>
            <w:tcW w:type="dxa" w:w="1440"/>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8FAFC"/>
          </w:tcPr>
          <w:p>
            <w:pPr>
              <w:spacing w:before="40" w:after="40" w:line="276" w:lineRule="auto"/>
            </w:pPr>
            <w:r>
              <w:rPr>
                <w:rFonts w:ascii="Calibri" w:hAnsi="Calibri"/>
                <w:b/>
                <w:color w:val="0F172A"/>
                <w:sz w:val="16"/>
              </w:rPr>
              <w:t>AVP-2</w:t>
            </w:r>
          </w:p>
        </w:tc>
        <w:tc>
          <w:tcPr>
            <w:tcW w:type="dxa" w:w="2592"/>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8FAFC"/>
          </w:tcPr>
          <w:p>
            <w:pPr>
              <w:spacing w:before="40" w:after="40" w:line="276" w:lineRule="auto"/>
            </w:pPr>
            <w:r>
              <w:rPr>
                <w:rFonts w:ascii="Calibri" w:hAnsi="Calibri"/>
                <w:color w:val="0F172A"/>
                <w:sz w:val="16"/>
              </w:rPr>
              <w:t>Alert Rule Authoring</w:t>
            </w:r>
          </w:p>
        </w:tc>
        <w:tc>
          <w:tcPr>
            <w:tcW w:type="dxa" w:w="2160"/>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8FAFC"/>
          </w:tcPr>
          <w:p>
            <w:pPr>
              <w:spacing w:before="40" w:after="40" w:line="276" w:lineRule="auto"/>
            </w:pPr>
            <w:r>
              <w:rPr>
                <w:rFonts w:ascii="Calibri" w:hAnsi="Calibri"/>
                <w:b/>
                <w:color w:val="0F172A"/>
                <w:sz w:val="16"/>
              </w:rPr>
              <w:t>GENUINE AI (Cognitive)</w:t>
            </w:r>
          </w:p>
        </w:tc>
        <w:tc>
          <w:tcPr>
            <w:tcW w:type="dxa" w:w="3888"/>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8FAFC"/>
          </w:tcPr>
          <w:p>
            <w:pPr>
              <w:spacing w:before="40" w:after="40" w:line="276" w:lineRule="auto"/>
            </w:pPr>
            <w:r>
              <w:rPr>
                <w:rFonts w:ascii="Calibri" w:hAnsi="Calibri"/>
                <w:color w:val="0F172A"/>
                <w:sz w:val="16"/>
              </w:rPr>
              <w:t>Translates external natural-language threat advisories into SITA-specific valid YAML.</w:t>
            </w:r>
          </w:p>
        </w:tc>
      </w:tr>
      <w:tr>
        <w:trPr>
          <w:cantSplit/>
        </w:trPr>
        <w:tc>
          <w:tcPr>
            <w:tcW w:type="dxa" w:w="1440"/>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FFFFF"/>
          </w:tcPr>
          <w:p>
            <w:pPr>
              <w:spacing w:before="40" w:after="40" w:line="276" w:lineRule="auto"/>
            </w:pPr>
            <w:r>
              <w:rPr>
                <w:rFonts w:ascii="Calibri" w:hAnsi="Calibri"/>
                <w:b/>
                <w:color w:val="0F172A"/>
                <w:sz w:val="16"/>
              </w:rPr>
              <w:t>AVP-3</w:t>
            </w:r>
          </w:p>
        </w:tc>
        <w:tc>
          <w:tcPr>
            <w:tcW w:type="dxa" w:w="2592"/>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FFFFF"/>
          </w:tcPr>
          <w:p>
            <w:pPr>
              <w:spacing w:before="40" w:after="40" w:line="276" w:lineRule="auto"/>
            </w:pPr>
            <w:r>
              <w:rPr>
                <w:rFonts w:ascii="Calibri" w:hAnsi="Calibri"/>
                <w:color w:val="0F172A"/>
                <w:sz w:val="16"/>
              </w:rPr>
              <w:t>Campaign Attribution</w:t>
            </w:r>
          </w:p>
        </w:tc>
        <w:tc>
          <w:tcPr>
            <w:tcW w:type="dxa" w:w="2160"/>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FFFFF"/>
          </w:tcPr>
          <w:p>
            <w:pPr>
              <w:spacing w:before="40" w:after="40" w:line="276" w:lineRule="auto"/>
            </w:pPr>
            <w:r>
              <w:rPr>
                <w:rFonts w:ascii="Calibri" w:hAnsi="Calibri"/>
                <w:b/>
                <w:color w:val="0F172A"/>
                <w:sz w:val="16"/>
              </w:rPr>
              <w:t>GENUINE AI (Cognitive)</w:t>
            </w:r>
          </w:p>
        </w:tc>
        <w:tc>
          <w:tcPr>
            <w:tcW w:type="dxa" w:w="3888"/>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FFFFF"/>
          </w:tcPr>
          <w:p>
            <w:pPr>
              <w:spacing w:before="40" w:after="40" w:line="276" w:lineRule="auto"/>
            </w:pPr>
            <w:r>
              <w:rPr>
                <w:rFonts w:ascii="Calibri" w:hAnsi="Calibri"/>
                <w:color w:val="0F172A"/>
                <w:sz w:val="16"/>
              </w:rPr>
              <w:t>Reads unstructured threat intel; semantically maps adversary TTPs to estate exposure.</w:t>
            </w:r>
          </w:p>
        </w:tc>
      </w:tr>
      <w:tr>
        <w:trPr>
          <w:cantSplit/>
        </w:trPr>
        <w:tc>
          <w:tcPr>
            <w:tcW w:type="dxa" w:w="1440"/>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8FAFC"/>
          </w:tcPr>
          <w:p>
            <w:pPr>
              <w:spacing w:before="40" w:after="40" w:line="276" w:lineRule="auto"/>
            </w:pPr>
            <w:r>
              <w:rPr>
                <w:rFonts w:ascii="Calibri" w:hAnsi="Calibri"/>
                <w:b/>
                <w:color w:val="0F172A"/>
                <w:sz w:val="16"/>
              </w:rPr>
              <w:t>AVP-4</w:t>
            </w:r>
          </w:p>
        </w:tc>
        <w:tc>
          <w:tcPr>
            <w:tcW w:type="dxa" w:w="2592"/>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8FAFC"/>
          </w:tcPr>
          <w:p>
            <w:pPr>
              <w:spacing w:before="40" w:after="40" w:line="276" w:lineRule="auto"/>
            </w:pPr>
            <w:r>
              <w:rPr>
                <w:rFonts w:ascii="Calibri" w:hAnsi="Calibri"/>
                <w:color w:val="0F172A"/>
                <w:sz w:val="16"/>
              </w:rPr>
              <w:t>Vendor Contradictions</w:t>
            </w:r>
          </w:p>
        </w:tc>
        <w:tc>
          <w:tcPr>
            <w:tcW w:type="dxa" w:w="2160"/>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8FAFC"/>
          </w:tcPr>
          <w:p>
            <w:pPr>
              <w:spacing w:before="40" w:after="40" w:line="276" w:lineRule="auto"/>
            </w:pPr>
            <w:r>
              <w:rPr>
                <w:rFonts w:ascii="Calibri" w:hAnsi="Calibri"/>
                <w:b/>
                <w:color w:val="0F172A"/>
                <w:sz w:val="16"/>
              </w:rPr>
              <w:t>DEMOTED (Deterministic)</w:t>
            </w:r>
          </w:p>
        </w:tc>
        <w:tc>
          <w:tcPr>
            <w:tcW w:type="dxa" w:w="3888"/>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8FAFC"/>
          </w:tcPr>
          <w:p>
            <w:pPr>
              <w:spacing w:before="40" w:after="40" w:line="276" w:lineRule="auto"/>
            </w:pPr>
            <w:r>
              <w:rPr>
                <w:rFonts w:ascii="Calibri" w:hAnsi="Calibri"/>
                <w:color w:val="0F172A"/>
                <w:sz w:val="16"/>
              </w:rPr>
              <w:t>Pure database queries: set differences across AppScan, WAF, and DAM tables.</w:t>
            </w:r>
          </w:p>
        </w:tc>
      </w:tr>
      <w:tr>
        <w:trPr>
          <w:cantSplit/>
        </w:trPr>
        <w:tc>
          <w:tcPr>
            <w:tcW w:type="dxa" w:w="1440"/>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FFFFF"/>
          </w:tcPr>
          <w:p>
            <w:pPr>
              <w:spacing w:before="40" w:after="40" w:line="276" w:lineRule="auto"/>
            </w:pPr>
            <w:r>
              <w:rPr>
                <w:rFonts w:ascii="Calibri" w:hAnsi="Calibri"/>
                <w:b/>
                <w:color w:val="0F172A"/>
                <w:sz w:val="16"/>
              </w:rPr>
              <w:t>AVP-5</w:t>
            </w:r>
          </w:p>
        </w:tc>
        <w:tc>
          <w:tcPr>
            <w:tcW w:type="dxa" w:w="2592"/>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FFFFF"/>
          </w:tcPr>
          <w:p>
            <w:pPr>
              <w:spacing w:before="40" w:after="40" w:line="276" w:lineRule="auto"/>
            </w:pPr>
            <w:r>
              <w:rPr>
                <w:rFonts w:ascii="Calibri" w:hAnsi="Calibri"/>
                <w:color w:val="0F172A"/>
                <w:sz w:val="16"/>
              </w:rPr>
              <w:t>POPIA Breach Dossier</w:t>
            </w:r>
          </w:p>
        </w:tc>
        <w:tc>
          <w:tcPr>
            <w:tcW w:type="dxa" w:w="2160"/>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FFFFF"/>
          </w:tcPr>
          <w:p>
            <w:pPr>
              <w:spacing w:before="40" w:after="40" w:line="276" w:lineRule="auto"/>
            </w:pPr>
            <w:r>
              <w:rPr>
                <w:rFonts w:ascii="Calibri" w:hAnsi="Calibri"/>
                <w:b/>
                <w:color w:val="0F172A"/>
                <w:sz w:val="16"/>
              </w:rPr>
              <w:t>GENUINE AI (Cognitive)</w:t>
            </w:r>
          </w:p>
        </w:tc>
        <w:tc>
          <w:tcPr>
            <w:tcW w:type="dxa" w:w="3888"/>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FFFFF"/>
          </w:tcPr>
          <w:p>
            <w:pPr>
              <w:spacing w:before="40" w:after="40" w:line="276" w:lineRule="auto"/>
            </w:pPr>
            <w:r>
              <w:rPr>
                <w:rFonts w:ascii="Calibri" w:hAnsi="Calibri"/>
                <w:color w:val="0F172A"/>
                <w:sz w:val="16"/>
              </w:rPr>
              <w:t>Applies legal threshold of POPIA Section 22 to incident facts and drafts statutory notices.</w:t>
            </w:r>
          </w:p>
        </w:tc>
      </w:tr>
      <w:tr>
        <w:trPr>
          <w:cantSplit/>
        </w:trPr>
        <w:tc>
          <w:tcPr>
            <w:tcW w:type="dxa" w:w="1440"/>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8FAFC"/>
          </w:tcPr>
          <w:p>
            <w:pPr>
              <w:spacing w:before="40" w:after="40" w:line="276" w:lineRule="auto"/>
            </w:pPr>
            <w:r>
              <w:rPr>
                <w:rFonts w:ascii="Calibri" w:hAnsi="Calibri"/>
                <w:b/>
                <w:color w:val="0F172A"/>
                <w:sz w:val="16"/>
              </w:rPr>
              <w:t>AVP-6</w:t>
            </w:r>
          </w:p>
        </w:tc>
        <w:tc>
          <w:tcPr>
            <w:tcW w:type="dxa" w:w="2592"/>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8FAFC"/>
          </w:tcPr>
          <w:p>
            <w:pPr>
              <w:spacing w:before="40" w:after="40" w:line="276" w:lineRule="auto"/>
            </w:pPr>
            <w:r>
              <w:rPr>
                <w:rFonts w:ascii="Calibri" w:hAnsi="Calibri"/>
                <w:color w:val="0F172A"/>
                <w:sz w:val="16"/>
              </w:rPr>
              <w:t>Estate Ownership Graph</w:t>
            </w:r>
          </w:p>
        </w:tc>
        <w:tc>
          <w:tcPr>
            <w:tcW w:type="dxa" w:w="2160"/>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8FAFC"/>
          </w:tcPr>
          <w:p>
            <w:pPr>
              <w:spacing w:before="40" w:after="40" w:line="276" w:lineRule="auto"/>
            </w:pPr>
            <w:r>
              <w:rPr>
                <w:rFonts w:ascii="Calibri" w:hAnsi="Calibri"/>
                <w:b/>
                <w:color w:val="0F172A"/>
                <w:sz w:val="16"/>
              </w:rPr>
              <w:t>DEMOTED (Deterministic)</w:t>
            </w:r>
          </w:p>
        </w:tc>
        <w:tc>
          <w:tcPr>
            <w:tcW w:type="dxa" w:w="3888"/>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8FAFC"/>
          </w:tcPr>
          <w:p>
            <w:pPr>
              <w:spacing w:before="40" w:after="40" w:line="276" w:lineRule="auto"/>
            </w:pPr>
            <w:r>
              <w:rPr>
                <w:rFonts w:ascii="Calibri" w:hAnsi="Calibri"/>
                <w:color w:val="0F172A"/>
                <w:sz w:val="16"/>
              </w:rPr>
              <w:t>SQL aggregation: COUNT(DISTINCT ...) over denormalized department asset tables.</w:t>
            </w:r>
          </w:p>
        </w:tc>
      </w:tr>
      <w:tr>
        <w:trPr>
          <w:cantSplit/>
        </w:trPr>
        <w:tc>
          <w:tcPr>
            <w:tcW w:type="dxa" w:w="1440"/>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FFFFF"/>
          </w:tcPr>
          <w:p>
            <w:pPr>
              <w:spacing w:before="40" w:after="40" w:line="276" w:lineRule="auto"/>
            </w:pPr>
            <w:r>
              <w:rPr>
                <w:rFonts w:ascii="Calibri" w:hAnsi="Calibri"/>
                <w:b/>
                <w:color w:val="0F172A"/>
                <w:sz w:val="16"/>
              </w:rPr>
              <w:t>AVP-7</w:t>
            </w:r>
          </w:p>
        </w:tc>
        <w:tc>
          <w:tcPr>
            <w:tcW w:type="dxa" w:w="2592"/>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FFFFF"/>
          </w:tcPr>
          <w:p>
            <w:pPr>
              <w:spacing w:before="40" w:after="40" w:line="276" w:lineRule="auto"/>
            </w:pPr>
            <w:r>
              <w:rPr>
                <w:rFonts w:ascii="Calibri" w:hAnsi="Calibri"/>
                <w:color w:val="0F172A"/>
                <w:sz w:val="16"/>
              </w:rPr>
              <w:t>Peer Exposure Gaps</w:t>
            </w:r>
          </w:p>
        </w:tc>
        <w:tc>
          <w:tcPr>
            <w:tcW w:type="dxa" w:w="2160"/>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FFFFF"/>
          </w:tcPr>
          <w:p>
            <w:pPr>
              <w:spacing w:before="40" w:after="40" w:line="276" w:lineRule="auto"/>
            </w:pPr>
            <w:r>
              <w:rPr>
                <w:rFonts w:ascii="Calibri" w:hAnsi="Calibri"/>
                <w:b/>
                <w:color w:val="0F172A"/>
                <w:sz w:val="16"/>
              </w:rPr>
              <w:t>DEMOTED (Deterministic)</w:t>
            </w:r>
          </w:p>
        </w:tc>
        <w:tc>
          <w:tcPr>
            <w:tcW w:type="dxa" w:w="3888"/>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FFFFF"/>
          </w:tcPr>
          <w:p>
            <w:pPr>
              <w:spacing w:before="40" w:after="40" w:line="276" w:lineRule="auto"/>
            </w:pPr>
            <w:r>
              <w:rPr>
                <w:rFonts w:ascii="Calibri" w:hAnsi="Calibri"/>
                <w:color w:val="0F172A"/>
                <w:sz w:val="16"/>
              </w:rPr>
              <w:t>Set difference between caller exposure and baseline benchmarks. Template text.</w:t>
            </w:r>
          </w:p>
        </w:tc>
      </w:tr>
      <w:tr>
        <w:trPr>
          <w:cantSplit/>
        </w:trPr>
        <w:tc>
          <w:tcPr>
            <w:tcW w:type="dxa" w:w="1440"/>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8FAFC"/>
          </w:tcPr>
          <w:p>
            <w:pPr>
              <w:spacing w:before="40" w:after="40" w:line="276" w:lineRule="auto"/>
            </w:pPr>
            <w:r>
              <w:rPr>
                <w:rFonts w:ascii="Calibri" w:hAnsi="Calibri"/>
                <w:b/>
                <w:color w:val="0F172A"/>
                <w:sz w:val="16"/>
              </w:rPr>
              <w:t>AVP-8</w:t>
            </w:r>
          </w:p>
        </w:tc>
        <w:tc>
          <w:tcPr>
            <w:tcW w:type="dxa" w:w="2592"/>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8FAFC"/>
          </w:tcPr>
          <w:p>
            <w:pPr>
              <w:spacing w:before="40" w:after="40" w:line="276" w:lineRule="auto"/>
            </w:pPr>
            <w:r>
              <w:rPr>
                <w:rFonts w:ascii="Calibri" w:hAnsi="Calibri"/>
                <w:color w:val="0F172A"/>
                <w:sz w:val="16"/>
              </w:rPr>
              <w:t>Risk Causal Attribution</w:t>
            </w:r>
          </w:p>
        </w:tc>
        <w:tc>
          <w:tcPr>
            <w:tcW w:type="dxa" w:w="2160"/>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8FAFC"/>
          </w:tcPr>
          <w:p>
            <w:pPr>
              <w:spacing w:before="40" w:after="40" w:line="276" w:lineRule="auto"/>
            </w:pPr>
            <w:r>
              <w:rPr>
                <w:rFonts w:ascii="Calibri" w:hAnsi="Calibri"/>
                <w:b/>
                <w:color w:val="0F172A"/>
                <w:sz w:val="16"/>
              </w:rPr>
              <w:t>GENUINE AI (Cognitive)</w:t>
            </w:r>
          </w:p>
        </w:tc>
        <w:tc>
          <w:tcPr>
            <w:tcW w:type="dxa" w:w="3888"/>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8FAFC"/>
          </w:tcPr>
          <w:p>
            <w:pPr>
              <w:spacing w:before="40" w:after="40" w:line="276" w:lineRule="auto"/>
            </w:pPr>
            <w:r>
              <w:rPr>
                <w:rFonts w:ascii="Calibri" w:hAnsi="Calibri"/>
                <w:color w:val="0F172A"/>
                <w:sz w:val="16"/>
              </w:rPr>
              <w:t>Explains the 'Why' behind a mathematical score shift by correlating external threat activity.</w:t>
            </w:r>
          </w:p>
        </w:tc>
      </w:tr>
      <w:tr>
        <w:trPr>
          <w:cantSplit/>
        </w:trPr>
        <w:tc>
          <w:tcPr>
            <w:tcW w:type="dxa" w:w="1440"/>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FFFFF"/>
          </w:tcPr>
          <w:p>
            <w:pPr>
              <w:spacing w:before="40" w:after="40" w:line="276" w:lineRule="auto"/>
            </w:pPr>
            <w:r>
              <w:rPr>
                <w:rFonts w:ascii="Calibri" w:hAnsi="Calibri"/>
                <w:b/>
                <w:color w:val="0F172A"/>
                <w:sz w:val="16"/>
              </w:rPr>
              <w:t>AVP-9</w:t>
            </w:r>
          </w:p>
        </w:tc>
        <w:tc>
          <w:tcPr>
            <w:tcW w:type="dxa" w:w="2592"/>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FFFFF"/>
          </w:tcPr>
          <w:p>
            <w:pPr>
              <w:spacing w:before="40" w:after="40" w:line="276" w:lineRule="auto"/>
            </w:pPr>
            <w:r>
              <w:rPr>
                <w:rFonts w:ascii="Calibri" w:hAnsi="Calibri"/>
                <w:color w:val="0F172A"/>
                <w:sz w:val="16"/>
              </w:rPr>
              <w:t>Coverage-Driven Hunts</w:t>
            </w:r>
          </w:p>
        </w:tc>
        <w:tc>
          <w:tcPr>
            <w:tcW w:type="dxa" w:w="2160"/>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FFFFF"/>
          </w:tcPr>
          <w:p>
            <w:pPr>
              <w:spacing w:before="40" w:after="40" w:line="276" w:lineRule="auto"/>
            </w:pPr>
            <w:r>
              <w:rPr>
                <w:rFonts w:ascii="Calibri" w:hAnsi="Calibri"/>
                <w:b/>
                <w:color w:val="0F172A"/>
                <w:sz w:val="16"/>
              </w:rPr>
              <w:t>DEMOTED (Deterministic)</w:t>
            </w:r>
          </w:p>
        </w:tc>
        <w:tc>
          <w:tcPr>
            <w:tcW w:type="dxa" w:w="3888"/>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FFFFF"/>
          </w:tcPr>
          <w:p>
            <w:pPr>
              <w:spacing w:before="40" w:after="40" w:line="276" w:lineRule="auto"/>
            </w:pPr>
            <w:r>
              <w:rPr>
                <w:rFonts w:ascii="Calibri" w:hAnsi="Calibri"/>
                <w:color w:val="0F172A"/>
                <w:sz w:val="16"/>
              </w:rPr>
              <w:t>Deterministic SQL construction from curated ATT&amp;CK-to-telemetry column mappings.</w:t>
            </w:r>
          </w:p>
        </w:tc>
      </w:tr>
      <w:tr>
        <w:trPr>
          <w:cantSplit/>
        </w:trPr>
        <w:tc>
          <w:tcPr>
            <w:tcW w:type="dxa" w:w="1440"/>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8FAFC"/>
          </w:tcPr>
          <w:p>
            <w:pPr>
              <w:spacing w:before="40" w:after="40" w:line="276" w:lineRule="auto"/>
            </w:pPr>
            <w:r>
              <w:rPr>
                <w:rFonts w:ascii="Calibri" w:hAnsi="Calibri"/>
                <w:b/>
                <w:color w:val="0F172A"/>
                <w:sz w:val="16"/>
              </w:rPr>
              <w:t>AVP-10</w:t>
            </w:r>
          </w:p>
        </w:tc>
        <w:tc>
          <w:tcPr>
            <w:tcW w:type="dxa" w:w="2592"/>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8FAFC"/>
          </w:tcPr>
          <w:p>
            <w:pPr>
              <w:spacing w:before="40" w:after="40" w:line="276" w:lineRule="auto"/>
            </w:pPr>
            <w:r>
              <w:rPr>
                <w:rFonts w:ascii="Calibri" w:hAnsi="Calibri"/>
                <w:color w:val="0F172A"/>
                <w:sz w:val="16"/>
              </w:rPr>
              <w:t>OEM Agreement Matrix</w:t>
            </w:r>
          </w:p>
        </w:tc>
        <w:tc>
          <w:tcPr>
            <w:tcW w:type="dxa" w:w="2160"/>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8FAFC"/>
          </w:tcPr>
          <w:p>
            <w:pPr>
              <w:spacing w:before="40" w:after="40" w:line="276" w:lineRule="auto"/>
            </w:pPr>
            <w:r>
              <w:rPr>
                <w:rFonts w:ascii="Calibri" w:hAnsi="Calibri"/>
                <w:b/>
                <w:color w:val="0F172A"/>
                <w:sz w:val="16"/>
              </w:rPr>
              <w:t>DEMOTED (Deterministic)</w:t>
            </w:r>
          </w:p>
        </w:tc>
        <w:tc>
          <w:tcPr>
            <w:tcW w:type="dxa" w:w="3888"/>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8FAFC"/>
          </w:tcPr>
          <w:p>
            <w:pPr>
              <w:spacing w:before="40" w:after="40" w:line="276" w:lineRule="auto"/>
            </w:pPr>
            <w:r>
              <w:rPr>
                <w:rFonts w:ascii="Calibri" w:hAnsi="Calibri"/>
                <w:color w:val="0F172A"/>
                <w:sz w:val="16"/>
              </w:rPr>
              <w:t>Mathematical ratios and overlap counts between AppScan, Imperva, and WAF scanners.</w:t>
            </w:r>
          </w:p>
        </w:tc>
      </w:tr>
      <w:tr>
        <w:trPr>
          <w:cantSplit/>
        </w:trPr>
        <w:tc>
          <w:tcPr>
            <w:tcW w:type="dxa" w:w="1440"/>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FFFFF"/>
          </w:tcPr>
          <w:p>
            <w:pPr>
              <w:spacing w:before="40" w:after="40" w:line="276" w:lineRule="auto"/>
            </w:pPr>
            <w:r>
              <w:rPr>
                <w:rFonts w:ascii="Calibri" w:hAnsi="Calibri"/>
                <w:b/>
                <w:color w:val="0F172A"/>
                <w:sz w:val="16"/>
              </w:rPr>
              <w:t>AVP-11</w:t>
            </w:r>
          </w:p>
        </w:tc>
        <w:tc>
          <w:tcPr>
            <w:tcW w:type="dxa" w:w="2592"/>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FFFFF"/>
          </w:tcPr>
          <w:p>
            <w:pPr>
              <w:spacing w:before="40" w:after="40" w:line="276" w:lineRule="auto"/>
            </w:pPr>
            <w:r>
              <w:rPr>
                <w:rFonts w:ascii="Calibri" w:hAnsi="Calibri"/>
                <w:color w:val="0F172A"/>
                <w:sz w:val="16"/>
              </w:rPr>
              <w:t>Behavioral Privilege Audit</w:t>
            </w:r>
          </w:p>
        </w:tc>
        <w:tc>
          <w:tcPr>
            <w:tcW w:type="dxa" w:w="2160"/>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FFFFF"/>
          </w:tcPr>
          <w:p>
            <w:pPr>
              <w:spacing w:before="40" w:after="40" w:line="276" w:lineRule="auto"/>
            </w:pPr>
            <w:r>
              <w:rPr>
                <w:rFonts w:ascii="Calibri" w:hAnsi="Calibri"/>
                <w:b/>
                <w:color w:val="0F172A"/>
                <w:sz w:val="16"/>
              </w:rPr>
              <w:t>GENUINE AI (Cognitive)</w:t>
            </w:r>
          </w:p>
        </w:tc>
        <w:tc>
          <w:tcPr>
            <w:tcW w:type="dxa" w:w="3888"/>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FFFFF"/>
          </w:tcPr>
          <w:p>
            <w:pPr>
              <w:spacing w:before="40" w:after="40" w:line="276" w:lineRule="auto"/>
            </w:pPr>
            <w:r>
              <w:rPr>
                <w:rFonts w:ascii="Calibri" w:hAnsi="Calibri"/>
                <w:color w:val="0F172A"/>
                <w:sz w:val="16"/>
              </w:rPr>
              <w:t>Interprets multi-day non-linear event sequences in signed audit logs to recognize insider intent.</w:t>
            </w:r>
          </w:p>
        </w:tc>
      </w:tr>
      <w:tr>
        <w:trPr>
          <w:cantSplit/>
        </w:trPr>
        <w:tc>
          <w:tcPr>
            <w:tcW w:type="dxa" w:w="1440"/>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8FAFC"/>
          </w:tcPr>
          <w:p>
            <w:pPr>
              <w:spacing w:before="40" w:after="40" w:line="276" w:lineRule="auto"/>
            </w:pPr>
            <w:r>
              <w:rPr>
                <w:rFonts w:ascii="Calibri" w:hAnsi="Calibri"/>
                <w:b/>
                <w:color w:val="0F172A"/>
                <w:sz w:val="16"/>
              </w:rPr>
              <w:t>AVP-12</w:t>
            </w:r>
          </w:p>
        </w:tc>
        <w:tc>
          <w:tcPr>
            <w:tcW w:type="dxa" w:w="2592"/>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8FAFC"/>
          </w:tcPr>
          <w:p>
            <w:pPr>
              <w:spacing w:before="40" w:after="40" w:line="276" w:lineRule="auto"/>
            </w:pPr>
            <w:r>
              <w:rPr>
                <w:rFonts w:ascii="Calibri" w:hAnsi="Calibri"/>
                <w:color w:val="0F172A"/>
                <w:sz w:val="16"/>
              </w:rPr>
              <w:t>Evidence Packets</w:t>
            </w:r>
          </w:p>
        </w:tc>
        <w:tc>
          <w:tcPr>
            <w:tcW w:type="dxa" w:w="2160"/>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8FAFC"/>
          </w:tcPr>
          <w:p>
            <w:pPr>
              <w:spacing w:before="40" w:after="40" w:line="276" w:lineRule="auto"/>
            </w:pPr>
            <w:r>
              <w:rPr>
                <w:rFonts w:ascii="Calibri" w:hAnsi="Calibri"/>
                <w:b/>
                <w:color w:val="0F172A"/>
                <w:sz w:val="16"/>
              </w:rPr>
              <w:t>DEMOTED (Deterministic)</w:t>
            </w:r>
          </w:p>
        </w:tc>
        <w:tc>
          <w:tcPr>
            <w:tcW w:type="dxa" w:w="3888"/>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8FAFC"/>
          </w:tcPr>
          <w:p>
            <w:pPr>
              <w:spacing w:before="40" w:after="40" w:line="276" w:lineRule="auto"/>
            </w:pPr>
            <w:r>
              <w:rPr>
                <w:rFonts w:ascii="Calibri" w:hAnsi="Calibri"/>
                <w:color w:val="0F172A"/>
                <w:sz w:val="16"/>
              </w:rPr>
              <w:t>Cryptographic hashing, ECDSA digital signing, and offline verification via standard PKI.</w:t>
            </w:r>
          </w:p>
        </w:tc>
      </w:tr>
    </w:tbl>
    <w:p>
      <w:r>
        <w:br w:type="page"/>
      </w:r>
    </w:p>
    <w:p>
      <w:pPr>
        <w:keepNext/>
        <w:spacing w:before="280" w:after="80"/>
      </w:pPr>
      <w:r>
        <w:rPr>
          <w:rFonts w:ascii="Calibri" w:hAnsi="Calibri"/>
          <w:b/>
          <w:color w:val="1B365D"/>
          <w:sz w:val="27"/>
        </w:rPr>
        <w:t>3. Role-by-Role Deep Dive: The AI Advantages Atop the Deterministic</w:t>
      </w:r>
    </w:p>
    <w:p>
      <w:pPr>
        <w:spacing w:after="160"/>
      </w:pPr>
      <w:r>
        <w:rPr>
          <w:rFonts w:ascii="Calibri" w:hAnsi="Calibri"/>
          <w:sz w:val="18"/>
        </w:rPr>
        <w:t>The SITA platform enforces granular Role-Based Access Control (RBAC). For each persona, standard deterministic engineering establishes an infallible mathematical foundation, while the AIMI AI layer delivers cognitive synthesis that traditional code cannot perform:</w:t>
      </w:r>
    </w:p>
    <w:p>
      <w:pPr>
        <w:keepNext/>
        <w:spacing w:before="200" w:after="60"/>
      </w:pPr>
      <w:r>
        <w:rPr>
          <w:rFonts w:ascii="Calibri" w:hAnsi="Calibri"/>
          <w:b/>
          <w:color w:val="1B365D"/>
          <w:sz w:val="22"/>
        </w:rPr>
        <w:t>3.1 Executive Leadership &amp; Director-Generals (Role: 'exec')</w:t>
      </w:r>
    </w:p>
    <w:tbl>
      <w:tblPr>
        <w:tblW w:type="auto" w:w="0"/>
        <w:jc w:val="center"/>
        <w:tblLayout w:type="fixed"/>
        <w:tblLook w:firstColumn="1" w:firstRow="1" w:lastColumn="0" w:lastRow="0" w:noHBand="0" w:noVBand="1" w:val="04A0"/>
      </w:tblPr>
      <w:tblGrid>
        <w:gridCol w:w="10080"/>
      </w:tblGrid>
      <w:tr>
        <w:tc>
          <w:tcPr>
            <w:tcW w:type="dxa" w:w="10080"/>
            <w:shd w:fill="FFFBEB"/>
            <w:tcMar>
              <w:top w:w="120" w:type="dxa"/>
              <w:bottom w:w="120" w:type="dxa"/>
              <w:left w:w="180" w:type="dxa"/>
              <w:right w:w="180" w:type="dxa"/>
            </w:tcMar>
            <w:tcBorders>
              <w:top w:val="none" w:sz="4" w:space="0" w:color="auto"/>
              <w:left w:val="single" w:sz="24" w:space="0" w:color="D97706"/>
              <w:bottom w:val="none" w:sz="4" w:space="0" w:color="auto"/>
              <w:right w:val="none" w:sz="4" w:space="0" w:color="auto"/>
              <w:insideH w:val="none"/>
              <w:insideV w:val="none"/>
            </w:tcBorders>
          </w:tcPr>
          <w:p>
            <w:pPr>
              <w:spacing w:before="40" w:after="40" w:line="276" w:lineRule="auto"/>
            </w:pPr>
            <w:r>
              <w:rPr>
                <w:rFonts w:ascii="Calibri" w:hAnsi="Calibri"/>
                <w:b/>
                <w:color w:val="1B365D"/>
                <w:sz w:val="19"/>
              </w:rPr>
              <w:t xml:space="preserve">LAYMAN'S ANALOGY: </w:t>
            </w:r>
            <w:r>
              <w:rPr>
                <w:rFonts w:ascii="Calibri" w:hAnsi="Calibri"/>
                <w:color w:val="0F172A"/>
                <w:sz w:val="18"/>
              </w:rPr>
              <w:t>Like a Minister having a veteran Chief of Staff who reviews 500 pages of technical scan logs every morning and delivers a 1-page briefing explaining: 'Our risk rose by 14% because a global ransomware campaign is actively targeting state health systems, and our hospital servers have an unpatched Apache defect matching their exact playbook.'</w:t>
            </w:r>
          </w:p>
        </w:tc>
      </w:tr>
    </w:tbl>
    <w:p>
      <w:pPr>
        <w:spacing w:before="0" w:after="80"/>
      </w:pPr>
    </w:p>
    <w:tbl>
      <w:tblPr>
        <w:tblW w:type="auto" w:w="0"/>
        <w:jc w:val="center"/>
        <w:tblLayout w:type="fixed"/>
        <w:tblLook w:firstColumn="1" w:firstRow="1" w:lastColumn="0" w:lastRow="0" w:noHBand="0" w:noVBand="1" w:val="04A0"/>
      </w:tblPr>
      <w:tblGrid>
        <w:gridCol w:w="5040"/>
        <w:gridCol w:w="5040"/>
      </w:tblGrid>
      <w:tr>
        <w:trPr>
          <w:cantSplit/>
          <w:tblHeader/>
        </w:trPr>
        <w:tc>
          <w:tcPr>
            <w:tcW w:type="dxa" w:w="2880"/>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1B365D"/>
          </w:tcPr>
          <w:p>
            <w:pPr>
              <w:spacing w:before="40" w:after="40"/>
            </w:pPr>
            <w:r>
              <w:rPr>
                <w:rFonts w:ascii="Calibri" w:hAnsi="Calibri"/>
                <w:b/>
                <w:color w:val="FFFFFF"/>
                <w:sz w:val="17"/>
              </w:rPr>
              <w:t>Dimension</w:t>
            </w:r>
          </w:p>
        </w:tc>
        <w:tc>
          <w:tcPr>
            <w:tcW w:type="dxa" w:w="7200"/>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1B365D"/>
          </w:tcPr>
          <w:p>
            <w:pPr>
              <w:spacing w:before="40" w:after="40"/>
            </w:pPr>
            <w:r>
              <w:rPr>
                <w:rFonts w:ascii="Calibri" w:hAnsi="Calibri"/>
                <w:b/>
                <w:color w:val="FFFFFF"/>
                <w:sz w:val="17"/>
              </w:rPr>
              <w:t>Platform Implementation Details</w:t>
            </w:r>
          </w:p>
        </w:tc>
      </w:tr>
      <w:tr>
        <w:trPr>
          <w:cantSplit/>
        </w:trPr>
        <w:tc>
          <w:tcPr>
            <w:tcW w:type="dxa" w:w="2880"/>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FFFFF"/>
          </w:tcPr>
          <w:p>
            <w:pPr>
              <w:spacing w:before="40" w:after="40" w:line="276" w:lineRule="auto"/>
            </w:pPr>
            <w:r>
              <w:rPr>
                <w:rFonts w:ascii="Calibri" w:hAnsi="Calibri"/>
                <w:b/>
                <w:color w:val="0F172A"/>
                <w:sz w:val="16"/>
              </w:rPr>
              <w:t>Deterministic Foundation (Code)</w:t>
            </w:r>
          </w:p>
        </w:tc>
        <w:tc>
          <w:tcPr>
            <w:tcW w:type="dxa" w:w="7200"/>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FFFFF"/>
          </w:tcPr>
          <w:p>
            <w:pPr>
              <w:spacing w:before="40" w:after="40" w:line="276" w:lineRule="auto"/>
            </w:pPr>
            <w:r>
              <w:rPr>
                <w:rFonts w:ascii="Calibri" w:hAnsi="Calibri"/>
                <w:color w:val="0F172A"/>
                <w:sz w:val="16"/>
              </w:rPr>
              <w:t>Calculates composite risk score formula (e.g. 58 - 42 = +16); displays mathematical line charts and counts of high/critical vulnerabilities across departments. 100% deterministic arithmetic.</w:t>
            </w:r>
          </w:p>
        </w:tc>
      </w:tr>
      <w:tr>
        <w:trPr>
          <w:cantSplit/>
        </w:trPr>
        <w:tc>
          <w:tcPr>
            <w:tcW w:type="dxa" w:w="2880"/>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8FAFC"/>
          </w:tcPr>
          <w:p>
            <w:pPr>
              <w:spacing w:before="40" w:after="40" w:line="276" w:lineRule="auto"/>
            </w:pPr>
            <w:r>
              <w:rPr>
                <w:rFonts w:ascii="Calibri" w:hAnsi="Calibri"/>
                <w:b/>
                <w:color w:val="0F172A"/>
                <w:sz w:val="16"/>
              </w:rPr>
              <w:t>Cognitive AI Advantage (AIMI)</w:t>
            </w:r>
          </w:p>
        </w:tc>
        <w:tc>
          <w:tcPr>
            <w:tcW w:type="dxa" w:w="7200"/>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8FAFC"/>
          </w:tcPr>
          <w:p>
            <w:pPr>
              <w:spacing w:before="40" w:after="40" w:line="276" w:lineRule="auto"/>
            </w:pPr>
            <w:r>
              <w:rPr>
                <w:rFonts w:ascii="Calibri" w:hAnsi="Calibri"/>
                <w:color w:val="0F172A"/>
                <w:sz w:val="16"/>
              </w:rPr>
              <w:t>AVP-8 (Causal Attribution) and AI Executive Report Studio. Reads external CISA/threat alerts, correlates them with SITA AppScan findings, and generates plain-language executive narratives in under 8 seconds. Explains WHY risk moved and drafts cabinet-ready briefings.</w:t>
            </w:r>
          </w:p>
        </w:tc>
      </w:tr>
      <w:tr>
        <w:trPr>
          <w:cantSplit/>
        </w:trPr>
        <w:tc>
          <w:tcPr>
            <w:tcW w:type="dxa" w:w="2880"/>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FFFFF"/>
          </w:tcPr>
          <w:p>
            <w:pPr>
              <w:spacing w:before="40" w:after="40" w:line="276" w:lineRule="auto"/>
            </w:pPr>
            <w:r>
              <w:rPr>
                <w:rFonts w:ascii="Calibri" w:hAnsi="Calibri"/>
                <w:b/>
                <w:color w:val="0F172A"/>
                <w:sz w:val="16"/>
              </w:rPr>
              <w:t>Why Code Alone Fails</w:t>
            </w:r>
          </w:p>
        </w:tc>
        <w:tc>
          <w:tcPr>
            <w:tcW w:type="dxa" w:w="7200"/>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FFFFF"/>
          </w:tcPr>
          <w:p>
            <w:pPr>
              <w:spacing w:before="40" w:after="40" w:line="276" w:lineRule="auto"/>
            </w:pPr>
            <w:r>
              <w:rPr>
                <w:rFonts w:ascii="Calibri" w:hAnsi="Calibri"/>
                <w:color w:val="0F172A"/>
                <w:sz w:val="16"/>
              </w:rPr>
              <w:t>Traditional code can compute the difference (+16), but code cannot read English intelligence bulletins, understand adversary motivations, or author persuasive executive prose.</w:t>
            </w:r>
          </w:p>
        </w:tc>
      </w:tr>
      <w:tr>
        <w:trPr>
          <w:cantSplit/>
        </w:trPr>
        <w:tc>
          <w:tcPr>
            <w:tcW w:type="dxa" w:w="2880"/>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8FAFC"/>
          </w:tcPr>
          <w:p>
            <w:pPr>
              <w:spacing w:before="40" w:after="40" w:line="276" w:lineRule="auto"/>
            </w:pPr>
            <w:r>
              <w:rPr>
                <w:rFonts w:ascii="Calibri" w:hAnsi="Calibri"/>
                <w:b/>
                <w:color w:val="0F172A"/>
                <w:sz w:val="16"/>
              </w:rPr>
              <w:t>Dashboard Screen &amp; Workflow</w:t>
            </w:r>
          </w:p>
        </w:tc>
        <w:tc>
          <w:tcPr>
            <w:tcW w:type="dxa" w:w="7200"/>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8FAFC"/>
          </w:tcPr>
          <w:p>
            <w:pPr>
              <w:spacing w:before="40" w:after="40" w:line="276" w:lineRule="auto"/>
            </w:pPr>
            <w:r>
              <w:rPr>
                <w:rFonts w:ascii="Calibri" w:hAnsi="Calibri"/>
                <w:color w:val="0F172A"/>
                <w:sz w:val="16"/>
              </w:rPr>
              <w:t>ExecDashboard.tsx &amp; /national/ai (View: avp-8). 'Explain Risk Movement' button generates plain-English brief ready for DOCX export.</w:t>
            </w:r>
          </w:p>
        </w:tc>
      </w:tr>
    </w:tbl>
    <w:p>
      <w:pPr>
        <w:spacing w:after="120"/>
      </w:pPr>
    </w:p>
    <w:p>
      <w:pPr>
        <w:keepNext/>
        <w:spacing w:before="200" w:after="60"/>
      </w:pPr>
      <w:r>
        <w:rPr>
          <w:rFonts w:ascii="Calibri" w:hAnsi="Calibri"/>
          <w:b/>
          <w:color w:val="1B365D"/>
          <w:sz w:val="22"/>
        </w:rPr>
        <w:t>3.2 Security Operations Centre (SOC) &amp; Threat Hunters (Role: 'soc / province-soc-lead')</w:t>
      </w:r>
    </w:p>
    <w:tbl>
      <w:tblPr>
        <w:tblW w:type="auto" w:w="0"/>
        <w:jc w:val="center"/>
        <w:tblLayout w:type="fixed"/>
        <w:tblLook w:firstColumn="1" w:firstRow="1" w:lastColumn="0" w:lastRow="0" w:noHBand="0" w:noVBand="1" w:val="04A0"/>
      </w:tblPr>
      <w:tblGrid>
        <w:gridCol w:w="10080"/>
      </w:tblGrid>
      <w:tr>
        <w:tc>
          <w:tcPr>
            <w:tcW w:type="dxa" w:w="10080"/>
            <w:shd w:fill="FFFBEB"/>
            <w:tcMar>
              <w:top w:w="120" w:type="dxa"/>
              <w:bottom w:w="120" w:type="dxa"/>
              <w:left w:w="180" w:type="dxa"/>
              <w:right w:w="180" w:type="dxa"/>
            </w:tcMar>
            <w:tcBorders>
              <w:top w:val="none" w:sz="4" w:space="0" w:color="auto"/>
              <w:left w:val="single" w:sz="24" w:space="0" w:color="D97706"/>
              <w:bottom w:val="none" w:sz="4" w:space="0" w:color="auto"/>
              <w:right w:val="none" w:sz="4" w:space="0" w:color="auto"/>
              <w:insideH w:val="none"/>
              <w:insideV w:val="none"/>
            </w:tcBorders>
          </w:tcPr>
          <w:p>
            <w:pPr>
              <w:spacing w:before="40" w:after="40" w:line="276" w:lineRule="auto"/>
            </w:pPr>
            <w:r>
              <w:rPr>
                <w:rFonts w:ascii="Calibri" w:hAnsi="Calibri"/>
                <w:b/>
                <w:color w:val="1B365D"/>
                <w:sz w:val="19"/>
              </w:rPr>
              <w:t xml:space="preserve">LAYMAN'S ANALOGY: </w:t>
            </w:r>
            <w:r>
              <w:rPr>
                <w:rFonts w:ascii="Calibri" w:hAnsi="Calibri"/>
                <w:color w:val="0F172A"/>
                <w:sz w:val="18"/>
              </w:rPr>
              <w:t>Like an air traffic controller equipped with radar that not only detects an unidentified aircraft, but instantly recognizes the flight formation, identifies the hostile squadron, and predicts which airfield they are attempting to bomb.</w:t>
            </w:r>
          </w:p>
        </w:tc>
      </w:tr>
    </w:tbl>
    <w:p>
      <w:pPr>
        <w:spacing w:before="0" w:after="80"/>
      </w:pPr>
    </w:p>
    <w:tbl>
      <w:tblPr>
        <w:tblW w:type="auto" w:w="0"/>
        <w:jc w:val="center"/>
        <w:tblLayout w:type="fixed"/>
        <w:tblLook w:firstColumn="1" w:firstRow="1" w:lastColumn="0" w:lastRow="0" w:noHBand="0" w:noVBand="1" w:val="04A0"/>
      </w:tblPr>
      <w:tblGrid>
        <w:gridCol w:w="5040"/>
        <w:gridCol w:w="5040"/>
      </w:tblGrid>
      <w:tr>
        <w:trPr>
          <w:cantSplit/>
          <w:tblHeader/>
        </w:trPr>
        <w:tc>
          <w:tcPr>
            <w:tcW w:type="dxa" w:w="2880"/>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1B365D"/>
          </w:tcPr>
          <w:p>
            <w:pPr>
              <w:spacing w:before="40" w:after="40"/>
            </w:pPr>
            <w:r>
              <w:rPr>
                <w:rFonts w:ascii="Calibri" w:hAnsi="Calibri"/>
                <w:b/>
                <w:color w:val="FFFFFF"/>
                <w:sz w:val="17"/>
              </w:rPr>
              <w:t>Dimension</w:t>
            </w:r>
          </w:p>
        </w:tc>
        <w:tc>
          <w:tcPr>
            <w:tcW w:type="dxa" w:w="7200"/>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1B365D"/>
          </w:tcPr>
          <w:p>
            <w:pPr>
              <w:spacing w:before="40" w:after="40"/>
            </w:pPr>
            <w:r>
              <w:rPr>
                <w:rFonts w:ascii="Calibri" w:hAnsi="Calibri"/>
                <w:b/>
                <w:color w:val="FFFFFF"/>
                <w:sz w:val="17"/>
              </w:rPr>
              <w:t>Platform Implementation Details</w:t>
            </w:r>
          </w:p>
        </w:tc>
      </w:tr>
      <w:tr>
        <w:trPr>
          <w:cantSplit/>
        </w:trPr>
        <w:tc>
          <w:tcPr>
            <w:tcW w:type="dxa" w:w="2880"/>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FFFFF"/>
          </w:tcPr>
          <w:p>
            <w:pPr>
              <w:spacing w:before="40" w:after="40" w:line="276" w:lineRule="auto"/>
            </w:pPr>
            <w:r>
              <w:rPr>
                <w:rFonts w:ascii="Calibri" w:hAnsi="Calibri"/>
                <w:b/>
                <w:color w:val="0F172A"/>
                <w:sz w:val="16"/>
              </w:rPr>
              <w:t>Deterministic Foundation (Code)</w:t>
            </w:r>
          </w:p>
        </w:tc>
        <w:tc>
          <w:tcPr>
            <w:tcW w:type="dxa" w:w="7200"/>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FFFFF"/>
          </w:tcPr>
          <w:p>
            <w:pPr>
              <w:spacing w:before="40" w:after="40" w:line="276" w:lineRule="auto"/>
            </w:pPr>
            <w:r>
              <w:rPr>
                <w:rFonts w:ascii="Calibri" w:hAnsi="Calibri"/>
                <w:color w:val="0F172A"/>
                <w:sz w:val="16"/>
              </w:rPr>
              <w:t>Ingests 15,000 WAF and scanner events daily; filters by IP, port, and timestamp; displays raw CVE identifiers and severity tags. 100% deterministic database queries.</w:t>
            </w:r>
          </w:p>
        </w:tc>
      </w:tr>
      <w:tr>
        <w:trPr>
          <w:cantSplit/>
        </w:trPr>
        <w:tc>
          <w:tcPr>
            <w:tcW w:type="dxa" w:w="2880"/>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8FAFC"/>
          </w:tcPr>
          <w:p>
            <w:pPr>
              <w:spacing w:before="40" w:after="40" w:line="276" w:lineRule="auto"/>
            </w:pPr>
            <w:r>
              <w:rPr>
                <w:rFonts w:ascii="Calibri" w:hAnsi="Calibri"/>
                <w:b/>
                <w:color w:val="0F172A"/>
                <w:sz w:val="16"/>
              </w:rPr>
              <w:t>Cognitive AI Advantage (AIMI)</w:t>
            </w:r>
          </w:p>
        </w:tc>
        <w:tc>
          <w:tcPr>
            <w:tcW w:type="dxa" w:w="7200"/>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8FAFC"/>
          </w:tcPr>
          <w:p>
            <w:pPr>
              <w:spacing w:before="40" w:after="40" w:line="276" w:lineRule="auto"/>
            </w:pPr>
            <w:r>
              <w:rPr>
                <w:rFonts w:ascii="Calibri" w:hAnsi="Calibri"/>
                <w:color w:val="0F172A"/>
                <w:sz w:val="16"/>
              </w:rPr>
              <w:t>AVP-3 (Campaign Attribution) and AVP-9 (Coverage-Driven Hunt Cards). Ingests unstructured threat bulletins, matches attacker tactics to live SITA vulnerabilities, generates contextual threat profiles, and synthesizes 1-click threat hunting queries.</w:t>
            </w:r>
          </w:p>
        </w:tc>
      </w:tr>
      <w:tr>
        <w:trPr>
          <w:cantSplit/>
        </w:trPr>
        <w:tc>
          <w:tcPr>
            <w:tcW w:type="dxa" w:w="2880"/>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FFFFF"/>
          </w:tcPr>
          <w:p>
            <w:pPr>
              <w:spacing w:before="40" w:after="40" w:line="276" w:lineRule="auto"/>
            </w:pPr>
            <w:r>
              <w:rPr>
                <w:rFonts w:ascii="Calibri" w:hAnsi="Calibri"/>
                <w:b/>
                <w:color w:val="0F172A"/>
                <w:sz w:val="16"/>
              </w:rPr>
              <w:t>Why Code Alone Fails</w:t>
            </w:r>
          </w:p>
        </w:tc>
        <w:tc>
          <w:tcPr>
            <w:tcW w:type="dxa" w:w="7200"/>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FFFFF"/>
          </w:tcPr>
          <w:p>
            <w:pPr>
              <w:spacing w:before="40" w:after="40" w:line="276" w:lineRule="auto"/>
            </w:pPr>
            <w:r>
              <w:rPr>
                <w:rFonts w:ascii="Calibri" w:hAnsi="Calibri"/>
                <w:color w:val="0F172A"/>
                <w:sz w:val="16"/>
              </w:rPr>
              <w:t>Attributing an attack requires semantically parsing narrative threat reports (e.g., 'Threat Actor Storm-0501 targets municipal Active Directories') and mapping those concepts to internal CWE categories.</w:t>
            </w:r>
          </w:p>
        </w:tc>
      </w:tr>
      <w:tr>
        <w:trPr>
          <w:cantSplit/>
        </w:trPr>
        <w:tc>
          <w:tcPr>
            <w:tcW w:type="dxa" w:w="2880"/>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8FAFC"/>
          </w:tcPr>
          <w:p>
            <w:pPr>
              <w:spacing w:before="40" w:after="40" w:line="276" w:lineRule="auto"/>
            </w:pPr>
            <w:r>
              <w:rPr>
                <w:rFonts w:ascii="Calibri" w:hAnsi="Calibri"/>
                <w:b/>
                <w:color w:val="0F172A"/>
                <w:sz w:val="16"/>
              </w:rPr>
              <w:t>Dashboard Screen &amp; Workflow</w:t>
            </w:r>
          </w:p>
        </w:tc>
        <w:tc>
          <w:tcPr>
            <w:tcW w:type="dxa" w:w="7200"/>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8FAFC"/>
          </w:tcPr>
          <w:p>
            <w:pPr>
              <w:spacing w:before="40" w:after="40" w:line="276" w:lineRule="auto"/>
            </w:pPr>
            <w:r>
              <w:rPr>
                <w:rFonts w:ascii="Calibri" w:hAnsi="Calibri"/>
                <w:color w:val="0F172A"/>
                <w:sz w:val="16"/>
              </w:rPr>
              <w:t>SocDashboard.tsx &amp; /national/ai (View: avp-3). Analysts paste threat advisories; AIMI maps adversary tactics to live findings in 5 seconds.</w:t>
            </w:r>
          </w:p>
        </w:tc>
      </w:tr>
    </w:tbl>
    <w:p>
      <w:pPr>
        <w:spacing w:after="120"/>
      </w:pPr>
    </w:p>
    <w:p>
      <w:pPr>
        <w:keepNext/>
        <w:spacing w:before="200" w:after="60"/>
      </w:pPr>
      <w:r>
        <w:rPr>
          <w:rFonts w:ascii="Calibri" w:hAnsi="Calibri"/>
          <w:b/>
          <w:color w:val="1B365D"/>
          <w:sz w:val="22"/>
        </w:rPr>
        <w:t>3.3 Application Security Engineers (AppSec) (Role: 'appsec / local-appsec')</w:t>
      </w:r>
    </w:p>
    <w:tbl>
      <w:tblPr>
        <w:tblW w:type="auto" w:w="0"/>
        <w:jc w:val="center"/>
        <w:tblLayout w:type="fixed"/>
        <w:tblLook w:firstColumn="1" w:firstRow="1" w:lastColumn="0" w:lastRow="0" w:noHBand="0" w:noVBand="1" w:val="04A0"/>
      </w:tblPr>
      <w:tblGrid>
        <w:gridCol w:w="10080"/>
      </w:tblGrid>
      <w:tr>
        <w:tc>
          <w:tcPr>
            <w:tcW w:type="dxa" w:w="10080"/>
            <w:shd w:fill="FFFBEB"/>
            <w:tcMar>
              <w:top w:w="120" w:type="dxa"/>
              <w:bottom w:w="120" w:type="dxa"/>
              <w:left w:w="180" w:type="dxa"/>
              <w:right w:w="180" w:type="dxa"/>
            </w:tcMar>
            <w:tcBorders>
              <w:top w:val="none" w:sz="4" w:space="0" w:color="auto"/>
              <w:left w:val="single" w:sz="24" w:space="0" w:color="D97706"/>
              <w:bottom w:val="none" w:sz="4" w:space="0" w:color="auto"/>
              <w:right w:val="none" w:sz="4" w:space="0" w:color="auto"/>
              <w:insideH w:val="none"/>
              <w:insideV w:val="none"/>
            </w:tcBorders>
          </w:tcPr>
          <w:p>
            <w:pPr>
              <w:spacing w:before="40" w:after="40" w:line="276" w:lineRule="auto"/>
            </w:pPr>
            <w:r>
              <w:rPr>
                <w:rFonts w:ascii="Calibri" w:hAnsi="Calibri"/>
                <w:b/>
                <w:color w:val="1B365D"/>
                <w:sz w:val="19"/>
              </w:rPr>
              <w:t xml:space="preserve">LAYMAN'S ANALOGY: </w:t>
            </w:r>
            <w:r>
              <w:rPr>
                <w:rFonts w:ascii="Calibri" w:hAnsi="Calibri"/>
                <w:color w:val="0F172A"/>
                <w:sz w:val="18"/>
              </w:rPr>
              <w:t>Like an expert locksmith who, upon hearing that burglars designed a new master key, instantly fabricates custom deadbolts for every government building that fit the doors perfectly without jamming the locks.</w:t>
            </w:r>
          </w:p>
        </w:tc>
      </w:tr>
    </w:tbl>
    <w:p>
      <w:pPr>
        <w:spacing w:before="0" w:after="80"/>
      </w:pPr>
    </w:p>
    <w:tbl>
      <w:tblPr>
        <w:tblW w:type="auto" w:w="0"/>
        <w:jc w:val="center"/>
        <w:tblLayout w:type="fixed"/>
        <w:tblLook w:firstColumn="1" w:firstRow="1" w:lastColumn="0" w:lastRow="0" w:noHBand="0" w:noVBand="1" w:val="04A0"/>
      </w:tblPr>
      <w:tblGrid>
        <w:gridCol w:w="5040"/>
        <w:gridCol w:w="5040"/>
      </w:tblGrid>
      <w:tr>
        <w:trPr>
          <w:cantSplit/>
          <w:tblHeader/>
        </w:trPr>
        <w:tc>
          <w:tcPr>
            <w:tcW w:type="dxa" w:w="2880"/>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1B365D"/>
          </w:tcPr>
          <w:p>
            <w:pPr>
              <w:spacing w:before="40" w:after="40"/>
            </w:pPr>
            <w:r>
              <w:rPr>
                <w:rFonts w:ascii="Calibri" w:hAnsi="Calibri"/>
                <w:b/>
                <w:color w:val="FFFFFF"/>
                <w:sz w:val="17"/>
              </w:rPr>
              <w:t>Dimension</w:t>
            </w:r>
          </w:p>
        </w:tc>
        <w:tc>
          <w:tcPr>
            <w:tcW w:type="dxa" w:w="7200"/>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1B365D"/>
          </w:tcPr>
          <w:p>
            <w:pPr>
              <w:spacing w:before="40" w:after="40"/>
            </w:pPr>
            <w:r>
              <w:rPr>
                <w:rFonts w:ascii="Calibri" w:hAnsi="Calibri"/>
                <w:b/>
                <w:color w:val="FFFFFF"/>
                <w:sz w:val="17"/>
              </w:rPr>
              <w:t>Platform Implementation Details</w:t>
            </w:r>
          </w:p>
        </w:tc>
      </w:tr>
      <w:tr>
        <w:trPr>
          <w:cantSplit/>
        </w:trPr>
        <w:tc>
          <w:tcPr>
            <w:tcW w:type="dxa" w:w="2880"/>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FFFFF"/>
          </w:tcPr>
          <w:p>
            <w:pPr>
              <w:spacing w:before="40" w:after="40" w:line="276" w:lineRule="auto"/>
            </w:pPr>
            <w:r>
              <w:rPr>
                <w:rFonts w:ascii="Calibri" w:hAnsi="Calibri"/>
                <w:b/>
                <w:color w:val="0F172A"/>
                <w:sz w:val="16"/>
              </w:rPr>
              <w:t>Deterministic Foundation (Code)</w:t>
            </w:r>
          </w:p>
        </w:tc>
        <w:tc>
          <w:tcPr>
            <w:tcW w:type="dxa" w:w="7200"/>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FFFFF"/>
          </w:tcPr>
          <w:p>
            <w:pPr>
              <w:spacing w:before="40" w:after="40" w:line="276" w:lineRule="auto"/>
            </w:pPr>
            <w:r>
              <w:rPr>
                <w:rFonts w:ascii="Calibri" w:hAnsi="Calibri"/>
                <w:color w:val="0F172A"/>
                <w:sz w:val="16"/>
              </w:rPr>
              <w:t>Runs HCL AppScan DAST and SAST scanners; produces static spreadsheets with 69 CWE defect rows, affected URL sinks, and line-number pointers. 100% deterministic parsing.</w:t>
            </w:r>
          </w:p>
        </w:tc>
      </w:tr>
      <w:tr>
        <w:trPr>
          <w:cantSplit/>
        </w:trPr>
        <w:tc>
          <w:tcPr>
            <w:tcW w:type="dxa" w:w="2880"/>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8FAFC"/>
          </w:tcPr>
          <w:p>
            <w:pPr>
              <w:spacing w:before="40" w:after="40" w:line="276" w:lineRule="auto"/>
            </w:pPr>
            <w:r>
              <w:rPr>
                <w:rFonts w:ascii="Calibri" w:hAnsi="Calibri"/>
                <w:b/>
                <w:color w:val="0F172A"/>
                <w:sz w:val="16"/>
              </w:rPr>
              <w:t>Cognitive AI Advantage (AIMI)</w:t>
            </w:r>
          </w:p>
        </w:tc>
        <w:tc>
          <w:tcPr>
            <w:tcW w:type="dxa" w:w="7200"/>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8FAFC"/>
          </w:tcPr>
          <w:p>
            <w:pPr>
              <w:spacing w:before="40" w:after="40" w:line="276" w:lineRule="auto"/>
            </w:pPr>
            <w:r>
              <w:rPr>
                <w:rFonts w:ascii="Calibri" w:hAnsi="Calibri"/>
                <w:color w:val="0F172A"/>
                <w:sz w:val="16"/>
              </w:rPr>
              <w:t>AVP-2 (Automated Alert Rule Authoring). Translates newly published MITRE ATT&amp;CK techniques (e.g. T1190) into syntactically valid YAML alert rules that perfectly match SITA's internal telemetry schema, complete with side-by-side diff viewers.</w:t>
            </w:r>
          </w:p>
        </w:tc>
      </w:tr>
      <w:tr>
        <w:trPr>
          <w:cantSplit/>
        </w:trPr>
        <w:tc>
          <w:tcPr>
            <w:tcW w:type="dxa" w:w="2880"/>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FFFFF"/>
          </w:tcPr>
          <w:p>
            <w:pPr>
              <w:spacing w:before="40" w:after="40" w:line="276" w:lineRule="auto"/>
            </w:pPr>
            <w:r>
              <w:rPr>
                <w:rFonts w:ascii="Calibri" w:hAnsi="Calibri"/>
                <w:b/>
                <w:color w:val="0F172A"/>
                <w:sz w:val="16"/>
              </w:rPr>
              <w:t>Why Code Alone Fails</w:t>
            </w:r>
          </w:p>
        </w:tc>
        <w:tc>
          <w:tcPr>
            <w:tcW w:type="dxa" w:w="7200"/>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FFFFF"/>
          </w:tcPr>
          <w:p>
            <w:pPr>
              <w:spacing w:before="40" w:after="40" w:line="276" w:lineRule="auto"/>
            </w:pPr>
            <w:r>
              <w:rPr>
                <w:rFonts w:ascii="Calibri" w:hAnsi="Calibri"/>
                <w:color w:val="0F172A"/>
                <w:sz w:val="16"/>
              </w:rPr>
              <w:t>External Sigma or Splunk rules use foreign field names. Code cannot infer the semantic equivalence between external rule parameters and SITA's custom database schema without generating syntax errors.</w:t>
            </w:r>
          </w:p>
        </w:tc>
      </w:tr>
      <w:tr>
        <w:trPr>
          <w:cantSplit/>
        </w:trPr>
        <w:tc>
          <w:tcPr>
            <w:tcW w:type="dxa" w:w="2880"/>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8FAFC"/>
          </w:tcPr>
          <w:p>
            <w:pPr>
              <w:spacing w:before="40" w:after="40" w:line="276" w:lineRule="auto"/>
            </w:pPr>
            <w:r>
              <w:rPr>
                <w:rFonts w:ascii="Calibri" w:hAnsi="Calibri"/>
                <w:b/>
                <w:color w:val="0F172A"/>
                <w:sz w:val="16"/>
              </w:rPr>
              <w:t>Dashboard Screen &amp; Workflow</w:t>
            </w:r>
          </w:p>
        </w:tc>
        <w:tc>
          <w:tcPr>
            <w:tcW w:type="dxa" w:w="7200"/>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8FAFC"/>
          </w:tcPr>
          <w:p>
            <w:pPr>
              <w:spacing w:before="40" w:after="40" w:line="276" w:lineRule="auto"/>
            </w:pPr>
            <w:r>
              <w:rPr>
                <w:rFonts w:ascii="Calibri" w:hAnsi="Calibri"/>
                <w:color w:val="0F172A"/>
                <w:sz w:val="16"/>
              </w:rPr>
              <w:t>AppSecDashboard.tsx &amp; /dept/ai (View: avp-2). Engineer selects MITRE technique; AIMI synthesizes ready-to-commit alert_rules.yaml in 2 minutes.</w:t>
            </w:r>
          </w:p>
        </w:tc>
      </w:tr>
    </w:tbl>
    <w:p>
      <w:pPr>
        <w:spacing w:after="120"/>
      </w:pPr>
    </w:p>
    <w:p>
      <w:pPr>
        <w:keepNext/>
        <w:spacing w:before="200" w:after="60"/>
      </w:pPr>
      <w:r>
        <w:rPr>
          <w:rFonts w:ascii="Calibri" w:hAnsi="Calibri"/>
          <w:b/>
          <w:color w:val="1B365D"/>
          <w:sz w:val="22"/>
        </w:rPr>
        <w:t>3.4 Database Security &amp; Data Custodians (Role: 'dbsec / dbsec-ha')</w:t>
      </w:r>
    </w:p>
    <w:tbl>
      <w:tblPr>
        <w:tblW w:type="auto" w:w="0"/>
        <w:jc w:val="center"/>
        <w:tblLayout w:type="fixed"/>
        <w:tblLook w:firstColumn="1" w:firstRow="1" w:lastColumn="0" w:lastRow="0" w:noHBand="0" w:noVBand="1" w:val="04A0"/>
      </w:tblPr>
      <w:tblGrid>
        <w:gridCol w:w="10080"/>
      </w:tblGrid>
      <w:tr>
        <w:tc>
          <w:tcPr>
            <w:tcW w:type="dxa" w:w="10080"/>
            <w:shd w:fill="FFFBEB"/>
            <w:tcMar>
              <w:top w:w="120" w:type="dxa"/>
              <w:bottom w:w="120" w:type="dxa"/>
              <w:left w:w="180" w:type="dxa"/>
              <w:right w:w="180" w:type="dxa"/>
            </w:tcMar>
            <w:tcBorders>
              <w:top w:val="none" w:sz="4" w:space="0" w:color="auto"/>
              <w:left w:val="single" w:sz="24" w:space="0" w:color="D97706"/>
              <w:bottom w:val="none" w:sz="4" w:space="0" w:color="auto"/>
              <w:right w:val="none" w:sz="4" w:space="0" w:color="auto"/>
              <w:insideH w:val="none"/>
              <w:insideV w:val="none"/>
            </w:tcBorders>
          </w:tcPr>
          <w:p>
            <w:pPr>
              <w:spacing w:before="40" w:after="40" w:line="276" w:lineRule="auto"/>
            </w:pPr>
            <w:r>
              <w:rPr>
                <w:rFonts w:ascii="Calibri" w:hAnsi="Calibri"/>
                <w:b/>
                <w:color w:val="1B365D"/>
                <w:sz w:val="19"/>
              </w:rPr>
              <w:t xml:space="preserve">LAYMAN'S ANALOGY: </w:t>
            </w:r>
            <w:r>
              <w:rPr>
                <w:rFonts w:ascii="Calibri" w:hAnsi="Calibri"/>
                <w:color w:val="0F172A"/>
                <w:sz w:val="18"/>
              </w:rPr>
              <w:t>Like a bank vault supervisor who can instantly distinguish between an armored car courier legitimately withdrawing cash and an imposter walking out with duplicate keys.</w:t>
            </w:r>
          </w:p>
        </w:tc>
      </w:tr>
    </w:tbl>
    <w:p>
      <w:pPr>
        <w:spacing w:before="0" w:after="80"/>
      </w:pPr>
    </w:p>
    <w:tbl>
      <w:tblPr>
        <w:tblW w:type="auto" w:w="0"/>
        <w:jc w:val="center"/>
        <w:tblLayout w:type="fixed"/>
        <w:tblLook w:firstColumn="1" w:firstRow="1" w:lastColumn="0" w:lastRow="0" w:noHBand="0" w:noVBand="1" w:val="04A0"/>
      </w:tblPr>
      <w:tblGrid>
        <w:gridCol w:w="5040"/>
        <w:gridCol w:w="5040"/>
      </w:tblGrid>
      <w:tr>
        <w:trPr>
          <w:cantSplit/>
          <w:tblHeader/>
        </w:trPr>
        <w:tc>
          <w:tcPr>
            <w:tcW w:type="dxa" w:w="2880"/>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1B365D"/>
          </w:tcPr>
          <w:p>
            <w:pPr>
              <w:spacing w:before="40" w:after="40"/>
            </w:pPr>
            <w:r>
              <w:rPr>
                <w:rFonts w:ascii="Calibri" w:hAnsi="Calibri"/>
                <w:b/>
                <w:color w:val="FFFFFF"/>
                <w:sz w:val="17"/>
              </w:rPr>
              <w:t>Dimension</w:t>
            </w:r>
          </w:p>
        </w:tc>
        <w:tc>
          <w:tcPr>
            <w:tcW w:type="dxa" w:w="7200"/>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1B365D"/>
          </w:tcPr>
          <w:p>
            <w:pPr>
              <w:spacing w:before="40" w:after="40"/>
            </w:pPr>
            <w:r>
              <w:rPr>
                <w:rFonts w:ascii="Calibri" w:hAnsi="Calibri"/>
                <w:b/>
                <w:color w:val="FFFFFF"/>
                <w:sz w:val="17"/>
              </w:rPr>
              <w:t>Platform Implementation Details</w:t>
            </w:r>
          </w:p>
        </w:tc>
      </w:tr>
      <w:tr>
        <w:trPr>
          <w:cantSplit/>
        </w:trPr>
        <w:tc>
          <w:tcPr>
            <w:tcW w:type="dxa" w:w="2880"/>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FFFFF"/>
          </w:tcPr>
          <w:p>
            <w:pPr>
              <w:spacing w:before="40" w:after="40" w:line="276" w:lineRule="auto"/>
            </w:pPr>
            <w:r>
              <w:rPr>
                <w:rFonts w:ascii="Calibri" w:hAnsi="Calibri"/>
                <w:b/>
                <w:color w:val="0F172A"/>
                <w:sz w:val="16"/>
              </w:rPr>
              <w:t>Deterministic Foundation (Code)</w:t>
            </w:r>
          </w:p>
        </w:tc>
        <w:tc>
          <w:tcPr>
            <w:tcW w:type="dxa" w:w="7200"/>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FFFFF"/>
          </w:tcPr>
          <w:p>
            <w:pPr>
              <w:spacing w:before="40" w:after="40" w:line="276" w:lineRule="auto"/>
            </w:pPr>
            <w:r>
              <w:rPr>
                <w:rFonts w:ascii="Calibri" w:hAnsi="Calibri"/>
                <w:color w:val="0F172A"/>
                <w:sz w:val="16"/>
              </w:rPr>
              <w:t>Collects Imperva DAM database activity logs; checks query execution counts; verifies that database connections use TLS. 100% deterministic logging.</w:t>
            </w:r>
          </w:p>
        </w:tc>
      </w:tr>
      <w:tr>
        <w:trPr>
          <w:cantSplit/>
        </w:trPr>
        <w:tc>
          <w:tcPr>
            <w:tcW w:type="dxa" w:w="2880"/>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8FAFC"/>
          </w:tcPr>
          <w:p>
            <w:pPr>
              <w:spacing w:before="40" w:after="40" w:line="276" w:lineRule="auto"/>
            </w:pPr>
            <w:r>
              <w:rPr>
                <w:rFonts w:ascii="Calibri" w:hAnsi="Calibri"/>
                <w:b/>
                <w:color w:val="0F172A"/>
                <w:sz w:val="16"/>
              </w:rPr>
              <w:t>Cognitive AI Advantage (AIMI)</w:t>
            </w:r>
          </w:p>
        </w:tc>
        <w:tc>
          <w:tcPr>
            <w:tcW w:type="dxa" w:w="7200"/>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8FAFC"/>
          </w:tcPr>
          <w:p>
            <w:pPr>
              <w:spacing w:before="40" w:after="40" w:line="276" w:lineRule="auto"/>
            </w:pPr>
            <w:r>
              <w:rPr>
                <w:rFonts w:ascii="Calibri" w:hAnsi="Calibri"/>
                <w:color w:val="0F172A"/>
                <w:sz w:val="16"/>
              </w:rPr>
              <w:t>Contextual Sensitive Data Ingestion &amp; PII Exfiltration Correlation. Correlates front-end web application parameters with back-end stored procedure calls to identify unauthorized extraction of citizen ID numbers during elevated threat windows.</w:t>
            </w:r>
          </w:p>
        </w:tc>
      </w:tr>
      <w:tr>
        <w:trPr>
          <w:cantSplit/>
        </w:trPr>
        <w:tc>
          <w:tcPr>
            <w:tcW w:type="dxa" w:w="2880"/>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FFFFF"/>
          </w:tcPr>
          <w:p>
            <w:pPr>
              <w:spacing w:before="40" w:after="40" w:line="276" w:lineRule="auto"/>
            </w:pPr>
            <w:r>
              <w:rPr>
                <w:rFonts w:ascii="Calibri" w:hAnsi="Calibri"/>
                <w:b/>
                <w:color w:val="0F172A"/>
                <w:sz w:val="16"/>
              </w:rPr>
              <w:t>Why Code Alone Fails</w:t>
            </w:r>
          </w:p>
        </w:tc>
        <w:tc>
          <w:tcPr>
            <w:tcW w:type="dxa" w:w="7200"/>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FFFFF"/>
          </w:tcPr>
          <w:p>
            <w:pPr>
              <w:spacing w:before="40" w:after="40" w:line="276" w:lineRule="auto"/>
            </w:pPr>
            <w:r>
              <w:rPr>
                <w:rFonts w:ascii="Calibri" w:hAnsi="Calibri"/>
                <w:color w:val="0F172A"/>
                <w:sz w:val="16"/>
              </w:rPr>
              <w:t>Ordinary database logging records queries but cannot understand query intent or recognize semantic evasion tactics used to bypass standard SQL inspection rules.</w:t>
            </w:r>
          </w:p>
        </w:tc>
      </w:tr>
      <w:tr>
        <w:trPr>
          <w:cantSplit/>
        </w:trPr>
        <w:tc>
          <w:tcPr>
            <w:tcW w:type="dxa" w:w="2880"/>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8FAFC"/>
          </w:tcPr>
          <w:p>
            <w:pPr>
              <w:spacing w:before="40" w:after="40" w:line="276" w:lineRule="auto"/>
            </w:pPr>
            <w:r>
              <w:rPr>
                <w:rFonts w:ascii="Calibri" w:hAnsi="Calibri"/>
                <w:b/>
                <w:color w:val="0F172A"/>
                <w:sz w:val="16"/>
              </w:rPr>
              <w:t>Dashboard Screen &amp; Workflow</w:t>
            </w:r>
          </w:p>
        </w:tc>
        <w:tc>
          <w:tcPr>
            <w:tcW w:type="dxa" w:w="7200"/>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8FAFC"/>
          </w:tcPr>
          <w:p>
            <w:pPr>
              <w:spacing w:before="40" w:after="40" w:line="276" w:lineRule="auto"/>
            </w:pPr>
            <w:r>
              <w:rPr>
                <w:rFonts w:ascii="Calibri" w:hAnsi="Calibri"/>
                <w:color w:val="0F172A"/>
                <w:sz w:val="16"/>
              </w:rPr>
              <w:t>DbSecDashboard.tsx. Highlights database queries touching citizen PII when external threat campaigns targeting state registries are active.</w:t>
            </w:r>
          </w:p>
        </w:tc>
      </w:tr>
    </w:tbl>
    <w:p>
      <w:pPr>
        <w:spacing w:after="120"/>
      </w:pPr>
    </w:p>
    <w:p>
      <w:pPr>
        <w:keepNext/>
        <w:spacing w:before="200" w:after="60"/>
      </w:pPr>
      <w:r>
        <w:rPr>
          <w:rFonts w:ascii="Calibri" w:hAnsi="Calibri"/>
          <w:b/>
          <w:color w:val="1B365D"/>
          <w:sz w:val="22"/>
        </w:rPr>
        <w:t>3.5 Governance, Legal &amp; Compliance Officers (Role: 'compliance / legal')</w:t>
      </w:r>
    </w:p>
    <w:tbl>
      <w:tblPr>
        <w:tblW w:type="auto" w:w="0"/>
        <w:jc w:val="center"/>
        <w:tblLayout w:type="fixed"/>
        <w:tblLook w:firstColumn="1" w:firstRow="1" w:lastColumn="0" w:lastRow="0" w:noHBand="0" w:noVBand="1" w:val="04A0"/>
      </w:tblPr>
      <w:tblGrid>
        <w:gridCol w:w="10080"/>
      </w:tblGrid>
      <w:tr>
        <w:tc>
          <w:tcPr>
            <w:tcW w:type="dxa" w:w="10080"/>
            <w:shd w:fill="FFFBEB"/>
            <w:tcMar>
              <w:top w:w="120" w:type="dxa"/>
              <w:bottom w:w="120" w:type="dxa"/>
              <w:left w:w="180" w:type="dxa"/>
              <w:right w:w="180" w:type="dxa"/>
            </w:tcMar>
            <w:tcBorders>
              <w:top w:val="none" w:sz="4" w:space="0" w:color="auto"/>
              <w:left w:val="single" w:sz="24" w:space="0" w:color="D97706"/>
              <w:bottom w:val="none" w:sz="4" w:space="0" w:color="auto"/>
              <w:right w:val="none" w:sz="4" w:space="0" w:color="auto"/>
              <w:insideH w:val="none"/>
              <w:insideV w:val="none"/>
            </w:tcBorders>
          </w:tcPr>
          <w:p>
            <w:pPr>
              <w:spacing w:before="40" w:after="40" w:line="276" w:lineRule="auto"/>
            </w:pPr>
            <w:r>
              <w:rPr>
                <w:rFonts w:ascii="Calibri" w:hAnsi="Calibri"/>
                <w:b/>
                <w:color w:val="1B365D"/>
                <w:sz w:val="19"/>
              </w:rPr>
              <w:t xml:space="preserve">LAYMAN'S ANALOGY: </w:t>
            </w:r>
            <w:r>
              <w:rPr>
                <w:rFonts w:ascii="Calibri" w:hAnsi="Calibri"/>
                <w:color w:val="0F172A"/>
                <w:sz w:val="18"/>
              </w:rPr>
              <w:t>Like having a Senior Advocate specializing in cyber law standing beside the IT team during a suspected data leak, immediately reviewing technical evidence and drafting a legally binding notice to the Information Regulator before deadlines expire.</w:t>
            </w:r>
          </w:p>
        </w:tc>
      </w:tr>
    </w:tbl>
    <w:p>
      <w:pPr>
        <w:spacing w:before="0" w:after="80"/>
      </w:pPr>
    </w:p>
    <w:tbl>
      <w:tblPr>
        <w:tblW w:type="auto" w:w="0"/>
        <w:jc w:val="center"/>
        <w:tblLayout w:type="fixed"/>
        <w:tblLook w:firstColumn="1" w:firstRow="1" w:lastColumn="0" w:lastRow="0" w:noHBand="0" w:noVBand="1" w:val="04A0"/>
      </w:tblPr>
      <w:tblGrid>
        <w:gridCol w:w="5040"/>
        <w:gridCol w:w="5040"/>
      </w:tblGrid>
      <w:tr>
        <w:trPr>
          <w:cantSplit/>
          <w:tblHeader/>
        </w:trPr>
        <w:tc>
          <w:tcPr>
            <w:tcW w:type="dxa" w:w="2880"/>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1B365D"/>
          </w:tcPr>
          <w:p>
            <w:pPr>
              <w:spacing w:before="40" w:after="40"/>
            </w:pPr>
            <w:r>
              <w:rPr>
                <w:rFonts w:ascii="Calibri" w:hAnsi="Calibri"/>
                <w:b/>
                <w:color w:val="FFFFFF"/>
                <w:sz w:val="17"/>
              </w:rPr>
              <w:t>Dimension</w:t>
            </w:r>
          </w:p>
        </w:tc>
        <w:tc>
          <w:tcPr>
            <w:tcW w:type="dxa" w:w="7200"/>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1B365D"/>
          </w:tcPr>
          <w:p>
            <w:pPr>
              <w:spacing w:before="40" w:after="40"/>
            </w:pPr>
            <w:r>
              <w:rPr>
                <w:rFonts w:ascii="Calibri" w:hAnsi="Calibri"/>
                <w:b/>
                <w:color w:val="FFFFFF"/>
                <w:sz w:val="17"/>
              </w:rPr>
              <w:t>Platform Implementation Details</w:t>
            </w:r>
          </w:p>
        </w:tc>
      </w:tr>
      <w:tr>
        <w:trPr>
          <w:cantSplit/>
        </w:trPr>
        <w:tc>
          <w:tcPr>
            <w:tcW w:type="dxa" w:w="2880"/>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FFFFF"/>
          </w:tcPr>
          <w:p>
            <w:pPr>
              <w:spacing w:before="40" w:after="40" w:line="276" w:lineRule="auto"/>
            </w:pPr>
            <w:r>
              <w:rPr>
                <w:rFonts w:ascii="Calibri" w:hAnsi="Calibri"/>
                <w:b/>
                <w:color w:val="0F172A"/>
                <w:sz w:val="16"/>
              </w:rPr>
              <w:t>Deterministic Foundation (Code)</w:t>
            </w:r>
          </w:p>
        </w:tc>
        <w:tc>
          <w:tcPr>
            <w:tcW w:type="dxa" w:w="7200"/>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FFFFF"/>
          </w:tcPr>
          <w:p>
            <w:pPr>
              <w:spacing w:before="40" w:after="40" w:line="276" w:lineRule="auto"/>
            </w:pPr>
            <w:r>
              <w:rPr>
                <w:rFonts w:ascii="Calibri" w:hAnsi="Calibri"/>
                <w:color w:val="0F172A"/>
                <w:sz w:val="16"/>
              </w:rPr>
              <w:t>Evaluates 8 POPIA conditions against available telemetry; generates mathematical compliance scores (0-100); tracks audit checklist completions. 100% deterministic arithmetic.</w:t>
            </w:r>
          </w:p>
        </w:tc>
      </w:tr>
      <w:tr>
        <w:trPr>
          <w:cantSplit/>
        </w:trPr>
        <w:tc>
          <w:tcPr>
            <w:tcW w:type="dxa" w:w="2880"/>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8FAFC"/>
          </w:tcPr>
          <w:p>
            <w:pPr>
              <w:spacing w:before="40" w:after="40" w:line="276" w:lineRule="auto"/>
            </w:pPr>
            <w:r>
              <w:rPr>
                <w:rFonts w:ascii="Calibri" w:hAnsi="Calibri"/>
                <w:b/>
                <w:color w:val="0F172A"/>
                <w:sz w:val="16"/>
              </w:rPr>
              <w:t>Cognitive AI Advantage (AIMI)</w:t>
            </w:r>
          </w:p>
        </w:tc>
        <w:tc>
          <w:tcPr>
            <w:tcW w:type="dxa" w:w="7200"/>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8FAFC"/>
          </w:tcPr>
          <w:p>
            <w:pPr>
              <w:spacing w:before="40" w:after="40" w:line="276" w:lineRule="auto"/>
            </w:pPr>
            <w:r>
              <w:rPr>
                <w:rFonts w:ascii="Calibri" w:hAnsi="Calibri"/>
                <w:color w:val="0F172A"/>
                <w:sz w:val="16"/>
              </w:rPr>
              <w:t>AVP-5 (POPIA Section 22 Statutory Breach Notification Dossier). Applies the statutory legal threshold ('reasonable grounds to believe personal information has been accessed') to technical evidence and drafts the formal statutory notification letter to the Regulator.</w:t>
            </w:r>
          </w:p>
        </w:tc>
      </w:tr>
      <w:tr>
        <w:trPr>
          <w:cantSplit/>
        </w:trPr>
        <w:tc>
          <w:tcPr>
            <w:tcW w:type="dxa" w:w="2880"/>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FFFFF"/>
          </w:tcPr>
          <w:p>
            <w:pPr>
              <w:spacing w:before="40" w:after="40" w:line="276" w:lineRule="auto"/>
            </w:pPr>
            <w:r>
              <w:rPr>
                <w:rFonts w:ascii="Calibri" w:hAnsi="Calibri"/>
                <w:b/>
                <w:color w:val="0F172A"/>
                <w:sz w:val="16"/>
              </w:rPr>
              <w:t>Why Code Alone Fails</w:t>
            </w:r>
          </w:p>
        </w:tc>
        <w:tc>
          <w:tcPr>
            <w:tcW w:type="dxa" w:w="7200"/>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FFFFF"/>
          </w:tcPr>
          <w:p>
            <w:pPr>
              <w:spacing w:before="40" w:after="40" w:line="276" w:lineRule="auto"/>
            </w:pPr>
            <w:r>
              <w:rPr>
                <w:rFonts w:ascii="Calibri" w:hAnsi="Calibri"/>
                <w:color w:val="0F172A"/>
                <w:sz w:val="16"/>
              </w:rPr>
              <w:t>A database cannot interpret statutory legal thresholds. Legal evaluation requires cognitive reasoning over data sensitivity, encryption status, and exfiltration likelihood.</w:t>
            </w:r>
          </w:p>
        </w:tc>
      </w:tr>
      <w:tr>
        <w:trPr>
          <w:cantSplit/>
        </w:trPr>
        <w:tc>
          <w:tcPr>
            <w:tcW w:type="dxa" w:w="2880"/>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8FAFC"/>
          </w:tcPr>
          <w:p>
            <w:pPr>
              <w:spacing w:before="40" w:after="40" w:line="276" w:lineRule="auto"/>
            </w:pPr>
            <w:r>
              <w:rPr>
                <w:rFonts w:ascii="Calibri" w:hAnsi="Calibri"/>
                <w:b/>
                <w:color w:val="0F172A"/>
                <w:sz w:val="16"/>
              </w:rPr>
              <w:t>Dashboard Screen &amp; Workflow</w:t>
            </w:r>
          </w:p>
        </w:tc>
        <w:tc>
          <w:tcPr>
            <w:tcW w:type="dxa" w:w="7200"/>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8FAFC"/>
          </w:tcPr>
          <w:p>
            <w:pPr>
              <w:spacing w:before="40" w:after="40" w:line="276" w:lineRule="auto"/>
            </w:pPr>
            <w:r>
              <w:rPr>
                <w:rFonts w:ascii="Calibri" w:hAnsi="Calibri"/>
                <w:color w:val="0F172A"/>
                <w:sz w:val="16"/>
              </w:rPr>
              <w:t>ComplianceDashboard.tsx &amp; /national/ai (View: avp-5). Renders 'STATUTORY DUTY TRIGGERED' verdict and drafts complete notification letter for legal sign-off.</w:t>
            </w:r>
          </w:p>
        </w:tc>
      </w:tr>
    </w:tbl>
    <w:p>
      <w:pPr>
        <w:spacing w:after="120"/>
      </w:pPr>
    </w:p>
    <w:p>
      <w:pPr>
        <w:keepNext/>
        <w:spacing w:before="200" w:after="60"/>
      </w:pPr>
      <w:r>
        <w:rPr>
          <w:rFonts w:ascii="Calibri" w:hAnsi="Calibri"/>
          <w:b/>
          <w:color w:val="1B365D"/>
          <w:sz w:val="22"/>
        </w:rPr>
        <w:t>3.6 Internal Audit &amp; Platform Administrators (Role: 'admin / operator')</w:t>
      </w:r>
    </w:p>
    <w:tbl>
      <w:tblPr>
        <w:tblW w:type="auto" w:w="0"/>
        <w:jc w:val="center"/>
        <w:tblLayout w:type="fixed"/>
        <w:tblLook w:firstColumn="1" w:firstRow="1" w:lastColumn="0" w:lastRow="0" w:noHBand="0" w:noVBand="1" w:val="04A0"/>
      </w:tblPr>
      <w:tblGrid>
        <w:gridCol w:w="10080"/>
      </w:tblGrid>
      <w:tr>
        <w:tc>
          <w:tcPr>
            <w:tcW w:type="dxa" w:w="10080"/>
            <w:shd w:fill="FFFBEB"/>
            <w:tcMar>
              <w:top w:w="120" w:type="dxa"/>
              <w:bottom w:w="120" w:type="dxa"/>
              <w:left w:w="180" w:type="dxa"/>
              <w:right w:w="180" w:type="dxa"/>
            </w:tcMar>
            <w:tcBorders>
              <w:top w:val="none" w:sz="4" w:space="0" w:color="auto"/>
              <w:left w:val="single" w:sz="24" w:space="0" w:color="D97706"/>
              <w:bottom w:val="none" w:sz="4" w:space="0" w:color="auto"/>
              <w:right w:val="none" w:sz="4" w:space="0" w:color="auto"/>
              <w:insideH w:val="none"/>
              <w:insideV w:val="none"/>
            </w:tcBorders>
          </w:tcPr>
          <w:p>
            <w:pPr>
              <w:spacing w:before="40" w:after="40" w:line="276" w:lineRule="auto"/>
            </w:pPr>
            <w:r>
              <w:rPr>
                <w:rFonts w:ascii="Calibri" w:hAnsi="Calibri"/>
                <w:b/>
                <w:color w:val="1B365D"/>
                <w:sz w:val="19"/>
              </w:rPr>
              <w:t xml:space="preserve">LAYMAN'S ANALOGY: </w:t>
            </w:r>
            <w:r>
              <w:rPr>
                <w:rFonts w:ascii="Calibri" w:hAnsi="Calibri"/>
                <w:color w:val="0F172A"/>
                <w:sz w:val="18"/>
              </w:rPr>
              <w:t>Like an expert forensic investigator who reviews an employee's actions over 60 days, recognizing that while each single action seemed normal on paper, the combined sequence proves they were preparing to embezzle state funds.</w:t>
            </w:r>
          </w:p>
        </w:tc>
      </w:tr>
    </w:tbl>
    <w:p>
      <w:pPr>
        <w:spacing w:before="0" w:after="80"/>
      </w:pPr>
    </w:p>
    <w:tbl>
      <w:tblPr>
        <w:tblW w:type="auto" w:w="0"/>
        <w:jc w:val="center"/>
        <w:tblLayout w:type="fixed"/>
        <w:tblLook w:firstColumn="1" w:firstRow="1" w:lastColumn="0" w:lastRow="0" w:noHBand="0" w:noVBand="1" w:val="04A0"/>
      </w:tblPr>
      <w:tblGrid>
        <w:gridCol w:w="5040"/>
        <w:gridCol w:w="5040"/>
      </w:tblGrid>
      <w:tr>
        <w:trPr>
          <w:cantSplit/>
          <w:tblHeader/>
        </w:trPr>
        <w:tc>
          <w:tcPr>
            <w:tcW w:type="dxa" w:w="2880"/>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1B365D"/>
          </w:tcPr>
          <w:p>
            <w:pPr>
              <w:spacing w:before="40" w:after="40"/>
            </w:pPr>
            <w:r>
              <w:rPr>
                <w:rFonts w:ascii="Calibri" w:hAnsi="Calibri"/>
                <w:b/>
                <w:color w:val="FFFFFF"/>
                <w:sz w:val="17"/>
              </w:rPr>
              <w:t>Dimension</w:t>
            </w:r>
          </w:p>
        </w:tc>
        <w:tc>
          <w:tcPr>
            <w:tcW w:type="dxa" w:w="7200"/>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1B365D"/>
          </w:tcPr>
          <w:p>
            <w:pPr>
              <w:spacing w:before="40" w:after="40"/>
            </w:pPr>
            <w:r>
              <w:rPr>
                <w:rFonts w:ascii="Calibri" w:hAnsi="Calibri"/>
                <w:b/>
                <w:color w:val="FFFFFF"/>
                <w:sz w:val="17"/>
              </w:rPr>
              <w:t>Platform Implementation Details</w:t>
            </w:r>
          </w:p>
        </w:tc>
      </w:tr>
      <w:tr>
        <w:trPr>
          <w:cantSplit/>
        </w:trPr>
        <w:tc>
          <w:tcPr>
            <w:tcW w:type="dxa" w:w="2880"/>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FFFFF"/>
          </w:tcPr>
          <w:p>
            <w:pPr>
              <w:spacing w:before="40" w:after="40" w:line="276" w:lineRule="auto"/>
            </w:pPr>
            <w:r>
              <w:rPr>
                <w:rFonts w:ascii="Calibri" w:hAnsi="Calibri"/>
                <w:b/>
                <w:color w:val="0F172A"/>
                <w:sz w:val="16"/>
              </w:rPr>
              <w:t>Deterministic Foundation (Code)</w:t>
            </w:r>
          </w:p>
        </w:tc>
        <w:tc>
          <w:tcPr>
            <w:tcW w:type="dxa" w:w="7200"/>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FFFFF"/>
          </w:tcPr>
          <w:p>
            <w:pPr>
              <w:spacing w:before="40" w:after="40" w:line="276" w:lineRule="auto"/>
            </w:pPr>
            <w:r>
              <w:rPr>
                <w:rFonts w:ascii="Calibri" w:hAnsi="Calibri"/>
                <w:color w:val="0F172A"/>
                <w:sz w:val="16"/>
              </w:rPr>
              <w:t>Cryptographically logs every administrative API request with ECDSA signatures; checks single-event authorization against RBAC permission tables. 100% deterministic PKI.</w:t>
            </w:r>
          </w:p>
        </w:tc>
      </w:tr>
      <w:tr>
        <w:trPr>
          <w:cantSplit/>
        </w:trPr>
        <w:tc>
          <w:tcPr>
            <w:tcW w:type="dxa" w:w="2880"/>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8FAFC"/>
          </w:tcPr>
          <w:p>
            <w:pPr>
              <w:spacing w:before="40" w:after="40" w:line="276" w:lineRule="auto"/>
            </w:pPr>
            <w:r>
              <w:rPr>
                <w:rFonts w:ascii="Calibri" w:hAnsi="Calibri"/>
                <w:b/>
                <w:color w:val="0F172A"/>
                <w:sz w:val="16"/>
              </w:rPr>
              <w:t>Cognitive AI Advantage (AIMI)</w:t>
            </w:r>
          </w:p>
        </w:tc>
        <w:tc>
          <w:tcPr>
            <w:tcW w:type="dxa" w:w="7200"/>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8FAFC"/>
          </w:tcPr>
          <w:p>
            <w:pPr>
              <w:spacing w:before="40" w:after="40" w:line="276" w:lineRule="auto"/>
            </w:pPr>
            <w:r>
              <w:rPr>
                <w:rFonts w:ascii="Calibri" w:hAnsi="Calibri"/>
                <w:color w:val="0F172A"/>
                <w:sz w:val="16"/>
              </w:rPr>
              <w:t>AVP-11 (Behavioral Sequence Reading &amp; Multi-Step Privilege Abuse Interpretation). Analyzes non-linear sequences across weeks of signed audit logs to detect subtle insider threats (e.g. dormant account reactivation, privilege creep, off-hours staging).</w:t>
            </w:r>
          </w:p>
        </w:tc>
      </w:tr>
      <w:tr>
        <w:trPr>
          <w:cantSplit/>
        </w:trPr>
        <w:tc>
          <w:tcPr>
            <w:tcW w:type="dxa" w:w="2880"/>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FFFFF"/>
          </w:tcPr>
          <w:p>
            <w:pPr>
              <w:spacing w:before="40" w:after="40" w:line="276" w:lineRule="auto"/>
            </w:pPr>
            <w:r>
              <w:rPr>
                <w:rFonts w:ascii="Calibri" w:hAnsi="Calibri"/>
                <w:b/>
                <w:color w:val="0F172A"/>
                <w:sz w:val="16"/>
              </w:rPr>
              <w:t>Why Code Alone Fails</w:t>
            </w:r>
          </w:p>
        </w:tc>
        <w:tc>
          <w:tcPr>
            <w:tcW w:type="dxa" w:w="7200"/>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FFFFF"/>
          </w:tcPr>
          <w:p>
            <w:pPr>
              <w:spacing w:before="40" w:after="40" w:line="276" w:lineRule="auto"/>
            </w:pPr>
            <w:r>
              <w:rPr>
                <w:rFonts w:ascii="Calibri" w:hAnsi="Calibri"/>
                <w:color w:val="0F172A"/>
                <w:sz w:val="16"/>
              </w:rPr>
              <w:t>Rule-based security only evaluates single isolated events ('was user authorized to export?'). It cannot synthesize a 20-step chronological narrative to recognize coordinated insider malice.</w:t>
            </w:r>
          </w:p>
        </w:tc>
      </w:tr>
      <w:tr>
        <w:trPr>
          <w:cantSplit/>
        </w:trPr>
        <w:tc>
          <w:tcPr>
            <w:tcW w:type="dxa" w:w="2880"/>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8FAFC"/>
          </w:tcPr>
          <w:p>
            <w:pPr>
              <w:spacing w:before="40" w:after="40" w:line="276" w:lineRule="auto"/>
            </w:pPr>
            <w:r>
              <w:rPr>
                <w:rFonts w:ascii="Calibri" w:hAnsi="Calibri"/>
                <w:b/>
                <w:color w:val="0F172A"/>
                <w:sz w:val="16"/>
              </w:rPr>
              <w:t>Dashboard Screen &amp; Workflow</w:t>
            </w:r>
          </w:p>
        </w:tc>
        <w:tc>
          <w:tcPr>
            <w:tcW w:type="dxa" w:w="7200"/>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8FAFC"/>
          </w:tcPr>
          <w:p>
            <w:pPr>
              <w:spacing w:before="40" w:after="40" w:line="276" w:lineRule="auto"/>
            </w:pPr>
            <w:r>
              <w:rPr>
                <w:rFonts w:ascii="Calibri" w:hAnsi="Calibri"/>
                <w:color w:val="0F172A"/>
                <w:sz w:val="16"/>
              </w:rPr>
              <w:t>AdminUsersPage.tsx &amp; /national/ai (View: avp-11). Flags non-linear privilege escalation patterns and provides an explainable narrative of insider risk.</w:t>
            </w:r>
          </w:p>
        </w:tc>
      </w:tr>
    </w:tbl>
    <w:p>
      <w:pPr>
        <w:spacing w:after="120"/>
      </w:pPr>
    </w:p>
    <w:p>
      <w:pPr>
        <w:keepNext/>
        <w:spacing w:before="200" w:after="60"/>
      </w:pPr>
      <w:r>
        <w:rPr>
          <w:rFonts w:ascii="Calibri" w:hAnsi="Calibri"/>
          <w:b/>
          <w:color w:val="1B365D"/>
          <w:sz w:val="22"/>
        </w:rPr>
        <w:t>3.7 Site Reliability Engineers &amp; System Operators (Role: 'sre')</w:t>
      </w:r>
    </w:p>
    <w:tbl>
      <w:tblPr>
        <w:tblW w:type="auto" w:w="0"/>
        <w:jc w:val="center"/>
        <w:tblLayout w:type="fixed"/>
        <w:tblLook w:firstColumn="1" w:firstRow="1" w:lastColumn="0" w:lastRow="0" w:noHBand="0" w:noVBand="1" w:val="04A0"/>
      </w:tblPr>
      <w:tblGrid>
        <w:gridCol w:w="10080"/>
      </w:tblGrid>
      <w:tr>
        <w:tc>
          <w:tcPr>
            <w:tcW w:type="dxa" w:w="10080"/>
            <w:shd w:fill="FFFBEB"/>
            <w:tcMar>
              <w:top w:w="120" w:type="dxa"/>
              <w:bottom w:w="120" w:type="dxa"/>
              <w:left w:w="180" w:type="dxa"/>
              <w:right w:w="180" w:type="dxa"/>
            </w:tcMar>
            <w:tcBorders>
              <w:top w:val="none" w:sz="4" w:space="0" w:color="auto"/>
              <w:left w:val="single" w:sz="24" w:space="0" w:color="D97706"/>
              <w:bottom w:val="none" w:sz="4" w:space="0" w:color="auto"/>
              <w:right w:val="none" w:sz="4" w:space="0" w:color="auto"/>
              <w:insideH w:val="none"/>
              <w:insideV w:val="none"/>
            </w:tcBorders>
          </w:tcPr>
          <w:p>
            <w:pPr>
              <w:spacing w:before="40" w:after="40" w:line="276" w:lineRule="auto"/>
            </w:pPr>
            <w:r>
              <w:rPr>
                <w:rFonts w:ascii="Calibri" w:hAnsi="Calibri"/>
                <w:b/>
                <w:color w:val="1B365D"/>
                <w:sz w:val="19"/>
              </w:rPr>
              <w:t xml:space="preserve">LAYMAN'S ANALOGY: </w:t>
            </w:r>
            <w:r>
              <w:rPr>
                <w:rFonts w:ascii="Calibri" w:hAnsi="Calibri"/>
                <w:color w:val="0F172A"/>
                <w:sz w:val="18"/>
              </w:rPr>
              <w:t>Like a master aircraft mechanic who listens to the hum of an engine during flight and tells the pilot exactly which valve is sticking before the emergency light even turns on.</w:t>
            </w:r>
          </w:p>
        </w:tc>
      </w:tr>
    </w:tbl>
    <w:p>
      <w:pPr>
        <w:spacing w:before="0" w:after="80"/>
      </w:pPr>
    </w:p>
    <w:tbl>
      <w:tblPr>
        <w:tblW w:type="auto" w:w="0"/>
        <w:jc w:val="center"/>
        <w:tblLayout w:type="fixed"/>
        <w:tblLook w:firstColumn="1" w:firstRow="1" w:lastColumn="0" w:lastRow="0" w:noHBand="0" w:noVBand="1" w:val="04A0"/>
      </w:tblPr>
      <w:tblGrid>
        <w:gridCol w:w="5040"/>
        <w:gridCol w:w="5040"/>
      </w:tblGrid>
      <w:tr>
        <w:trPr>
          <w:cantSplit/>
          <w:tblHeader/>
        </w:trPr>
        <w:tc>
          <w:tcPr>
            <w:tcW w:type="dxa" w:w="2880"/>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1B365D"/>
          </w:tcPr>
          <w:p>
            <w:pPr>
              <w:spacing w:before="40" w:after="40"/>
            </w:pPr>
            <w:r>
              <w:rPr>
                <w:rFonts w:ascii="Calibri" w:hAnsi="Calibri"/>
                <w:b/>
                <w:color w:val="FFFFFF"/>
                <w:sz w:val="17"/>
              </w:rPr>
              <w:t>Dimension</w:t>
            </w:r>
          </w:p>
        </w:tc>
        <w:tc>
          <w:tcPr>
            <w:tcW w:type="dxa" w:w="7200"/>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1B365D"/>
          </w:tcPr>
          <w:p>
            <w:pPr>
              <w:spacing w:before="40" w:after="40"/>
            </w:pPr>
            <w:r>
              <w:rPr>
                <w:rFonts w:ascii="Calibri" w:hAnsi="Calibri"/>
                <w:b/>
                <w:color w:val="FFFFFF"/>
                <w:sz w:val="17"/>
              </w:rPr>
              <w:t>Platform Implementation Details</w:t>
            </w:r>
          </w:p>
        </w:tc>
      </w:tr>
      <w:tr>
        <w:trPr>
          <w:cantSplit/>
        </w:trPr>
        <w:tc>
          <w:tcPr>
            <w:tcW w:type="dxa" w:w="2880"/>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FFFFF"/>
          </w:tcPr>
          <w:p>
            <w:pPr>
              <w:spacing w:before="40" w:after="40" w:line="276" w:lineRule="auto"/>
            </w:pPr>
            <w:r>
              <w:rPr>
                <w:rFonts w:ascii="Calibri" w:hAnsi="Calibri"/>
                <w:b/>
                <w:color w:val="0F172A"/>
                <w:sz w:val="16"/>
              </w:rPr>
              <w:t>Deterministic Foundation (Code)</w:t>
            </w:r>
          </w:p>
        </w:tc>
        <w:tc>
          <w:tcPr>
            <w:tcW w:type="dxa" w:w="7200"/>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FFFFF"/>
          </w:tcPr>
          <w:p>
            <w:pPr>
              <w:spacing w:before="40" w:after="40" w:line="276" w:lineRule="auto"/>
            </w:pPr>
            <w:r>
              <w:rPr>
                <w:rFonts w:ascii="Calibri" w:hAnsi="Calibri"/>
                <w:color w:val="0F172A"/>
                <w:sz w:val="16"/>
              </w:rPr>
              <w:t>Monitors CPU/RAM container quotas, Prometheus latency metrics, Nginx connection counts, and Docker daemon heartbeats. 100% deterministic telemetry.</w:t>
            </w:r>
          </w:p>
        </w:tc>
      </w:tr>
      <w:tr>
        <w:trPr>
          <w:cantSplit/>
        </w:trPr>
        <w:tc>
          <w:tcPr>
            <w:tcW w:type="dxa" w:w="2880"/>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8FAFC"/>
          </w:tcPr>
          <w:p>
            <w:pPr>
              <w:spacing w:before="40" w:after="40" w:line="276" w:lineRule="auto"/>
            </w:pPr>
            <w:r>
              <w:rPr>
                <w:rFonts w:ascii="Calibri" w:hAnsi="Calibri"/>
                <w:b/>
                <w:color w:val="0F172A"/>
                <w:sz w:val="16"/>
              </w:rPr>
              <w:t>Cognitive AI Advantage (AIMI)</w:t>
            </w:r>
          </w:p>
        </w:tc>
        <w:tc>
          <w:tcPr>
            <w:tcW w:type="dxa" w:w="7200"/>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8FAFC"/>
          </w:tcPr>
          <w:p>
            <w:pPr>
              <w:spacing w:before="40" w:after="40" w:line="276" w:lineRule="auto"/>
            </w:pPr>
            <w:r>
              <w:rPr>
                <w:rFonts w:ascii="Calibri" w:hAnsi="Calibri"/>
                <w:color w:val="0F172A"/>
                <w:sz w:val="16"/>
              </w:rPr>
              <w:t>Grounded Diagnostic Synthesis &amp; Incident Narrative Generation. Synthesizes thousands of disparate container logs, database connection pool exhaustion events, and API queues into concise, actionable root-cause incident briefs.</w:t>
            </w:r>
          </w:p>
        </w:tc>
      </w:tr>
      <w:tr>
        <w:trPr>
          <w:cantSplit/>
        </w:trPr>
        <w:tc>
          <w:tcPr>
            <w:tcW w:type="dxa" w:w="2880"/>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FFFFF"/>
          </w:tcPr>
          <w:p>
            <w:pPr>
              <w:spacing w:before="40" w:after="40" w:line="276" w:lineRule="auto"/>
            </w:pPr>
            <w:r>
              <w:rPr>
                <w:rFonts w:ascii="Calibri" w:hAnsi="Calibri"/>
                <w:b/>
                <w:color w:val="0F172A"/>
                <w:sz w:val="16"/>
              </w:rPr>
              <w:t>Why Code Alone Fails</w:t>
            </w:r>
          </w:p>
        </w:tc>
        <w:tc>
          <w:tcPr>
            <w:tcW w:type="dxa" w:w="7200"/>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FFFFF"/>
          </w:tcPr>
          <w:p>
            <w:pPr>
              <w:spacing w:before="40" w:after="40" w:line="276" w:lineRule="auto"/>
            </w:pPr>
            <w:r>
              <w:rPr>
                <w:rFonts w:ascii="Calibri" w:hAnsi="Calibri"/>
                <w:color w:val="0F172A"/>
                <w:sz w:val="16"/>
              </w:rPr>
              <w:t>Monitoring systems emit alerts for symptoms (e.g., 504 Gateway Timeout). Synthesizing disparate log streams into a coherent English explanation of the root cause requires cognitive text analysis.</w:t>
            </w:r>
          </w:p>
        </w:tc>
      </w:tr>
      <w:tr>
        <w:trPr>
          <w:cantSplit/>
        </w:trPr>
        <w:tc>
          <w:tcPr>
            <w:tcW w:type="dxa" w:w="2880"/>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8FAFC"/>
          </w:tcPr>
          <w:p>
            <w:pPr>
              <w:spacing w:before="40" w:after="40" w:line="276" w:lineRule="auto"/>
            </w:pPr>
            <w:r>
              <w:rPr>
                <w:rFonts w:ascii="Calibri" w:hAnsi="Calibri"/>
                <w:b/>
                <w:color w:val="0F172A"/>
                <w:sz w:val="16"/>
              </w:rPr>
              <w:t>Dashboard Screen &amp; Workflow</w:t>
            </w:r>
          </w:p>
        </w:tc>
        <w:tc>
          <w:tcPr>
            <w:tcW w:type="dxa" w:w="7200"/>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8FAFC"/>
          </w:tcPr>
          <w:p>
            <w:pPr>
              <w:spacing w:before="40" w:after="40" w:line="276" w:lineRule="auto"/>
            </w:pPr>
            <w:r>
              <w:rPr>
                <w:rFonts w:ascii="Calibri" w:hAnsi="Calibri"/>
                <w:color w:val="0F172A"/>
                <w:sz w:val="16"/>
              </w:rPr>
              <w:t>SreDashboard.tsx. Delivers instant 'System Health Diagnostic' cards summarizing connector anomalies and pipeline bottlenecks in plain English.</w:t>
            </w:r>
          </w:p>
        </w:tc>
      </w:tr>
    </w:tbl>
    <w:p>
      <w:pPr>
        <w:spacing w:after="120"/>
      </w:pPr>
    </w:p>
    <w:p>
      <w:r>
        <w:br w:type="page"/>
      </w:r>
    </w:p>
    <w:p>
      <w:pPr>
        <w:keepNext/>
        <w:spacing w:before="280" w:after="80"/>
      </w:pPr>
      <w:r>
        <w:rPr>
          <w:rFonts w:ascii="Calibri" w:hAnsi="Calibri"/>
          <w:b/>
          <w:color w:val="1B365D"/>
          <w:sz w:val="27"/>
        </w:rPr>
        <w:t>4. Consolidated Persona Advantage Matrix</w:t>
      </w:r>
    </w:p>
    <w:p>
      <w:pPr>
        <w:spacing w:after="120"/>
      </w:pPr>
      <w:r>
        <w:rPr>
          <w:rFonts w:ascii="Calibri" w:hAnsi="Calibri"/>
          <w:sz w:val="18"/>
        </w:rPr>
        <w:t>The following master comparison table summarizes the deterministic baseline versus the AI advantage across all roles, including formal requirements alignment and measurable operational efficiency gains:</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cantSplit/>
          <w:tblHeader/>
        </w:trPr>
        <w:tc>
          <w:tcPr>
            <w:tcW w:type="dxa" w:w="1728"/>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1B365D"/>
          </w:tcPr>
          <w:p>
            <w:pPr>
              <w:spacing w:before="40" w:after="40"/>
            </w:pPr>
            <w:r>
              <w:rPr>
                <w:rFonts w:ascii="Calibri" w:hAnsi="Calibri"/>
                <w:b/>
                <w:color w:val="FFFFFF"/>
                <w:sz w:val="17"/>
              </w:rPr>
              <w:t>Platform Role</w:t>
            </w:r>
          </w:p>
        </w:tc>
        <w:tc>
          <w:tcPr>
            <w:tcW w:type="dxa" w:w="2160"/>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1B365D"/>
          </w:tcPr>
          <w:p>
            <w:pPr>
              <w:spacing w:before="40" w:after="40"/>
            </w:pPr>
            <w:r>
              <w:rPr>
                <w:rFonts w:ascii="Calibri" w:hAnsi="Calibri"/>
                <w:b/>
                <w:color w:val="FFFFFF"/>
                <w:sz w:val="17"/>
              </w:rPr>
              <w:t>Deterministic Baseline</w:t>
            </w:r>
          </w:p>
        </w:tc>
        <w:tc>
          <w:tcPr>
            <w:tcW w:type="dxa" w:w="2592"/>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1B365D"/>
          </w:tcPr>
          <w:p>
            <w:pPr>
              <w:spacing w:before="40" w:after="40"/>
            </w:pPr>
            <w:r>
              <w:rPr>
                <w:rFonts w:ascii="Calibri" w:hAnsi="Calibri"/>
                <w:b/>
                <w:color w:val="FFFFFF"/>
                <w:sz w:val="17"/>
              </w:rPr>
              <w:t>AI Cognitive Advantage</w:t>
            </w:r>
          </w:p>
        </w:tc>
        <w:tc>
          <w:tcPr>
            <w:tcW w:type="dxa" w:w="1728"/>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1B365D"/>
          </w:tcPr>
          <w:p>
            <w:pPr>
              <w:spacing w:before="40" w:after="40"/>
            </w:pPr>
            <w:r>
              <w:rPr>
                <w:rFonts w:ascii="Calibri" w:hAnsi="Calibri"/>
                <w:b/>
                <w:color w:val="FFFFFF"/>
                <w:sz w:val="17"/>
              </w:rPr>
              <w:t>Requirement Met</w:t>
            </w:r>
          </w:p>
        </w:tc>
        <w:tc>
          <w:tcPr>
            <w:tcW w:type="dxa" w:w="1872"/>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1B365D"/>
          </w:tcPr>
          <w:p>
            <w:pPr>
              <w:spacing w:before="40" w:after="40"/>
            </w:pPr>
            <w:r>
              <w:rPr>
                <w:rFonts w:ascii="Calibri" w:hAnsi="Calibri"/>
                <w:b/>
                <w:color w:val="FFFFFF"/>
                <w:sz w:val="17"/>
              </w:rPr>
              <w:t>Operational Gain</w:t>
            </w:r>
          </w:p>
        </w:tc>
      </w:tr>
      <w:tr>
        <w:trPr>
          <w:cantSplit/>
        </w:trPr>
        <w:tc>
          <w:tcPr>
            <w:tcW w:type="dxa" w:w="1728"/>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FFFFF"/>
          </w:tcPr>
          <w:p>
            <w:pPr>
              <w:spacing w:before="40" w:after="40" w:line="276" w:lineRule="auto"/>
            </w:pPr>
            <w:r>
              <w:rPr>
                <w:rFonts w:ascii="Calibri" w:hAnsi="Calibri"/>
                <w:b/>
                <w:color w:val="0F172A"/>
                <w:sz w:val="16"/>
              </w:rPr>
              <w:t>Executive</w:t>
              <w:br/>
              <w:t>('exec')</w:t>
            </w:r>
          </w:p>
        </w:tc>
        <w:tc>
          <w:tcPr>
            <w:tcW w:type="dxa" w:w="2160"/>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FFFFF"/>
          </w:tcPr>
          <w:p>
            <w:pPr>
              <w:spacing w:before="40" w:after="40" w:line="276" w:lineRule="auto"/>
            </w:pPr>
            <w:r>
              <w:rPr>
                <w:rFonts w:ascii="Calibri" w:hAnsi="Calibri"/>
                <w:color w:val="0F172A"/>
                <w:sz w:val="16"/>
              </w:rPr>
              <w:t>Mathematical score calculation (58 - 42 = +16); static line charts.</w:t>
            </w:r>
          </w:p>
        </w:tc>
        <w:tc>
          <w:tcPr>
            <w:tcW w:type="dxa" w:w="2592"/>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FFFFF"/>
          </w:tcPr>
          <w:p>
            <w:pPr>
              <w:spacing w:before="40" w:after="40" w:line="276" w:lineRule="auto"/>
            </w:pPr>
            <w:r>
              <w:rPr>
                <w:rFonts w:ascii="Calibri" w:hAnsi="Calibri"/>
                <w:color w:val="0F172A"/>
                <w:sz w:val="16"/>
              </w:rPr>
              <w:t>AVP-8: Causal attribution linking geopolitical threat campaigns to estate defects.</w:t>
            </w:r>
          </w:p>
        </w:tc>
        <w:tc>
          <w:tcPr>
            <w:tcW w:type="dxa" w:w="1728"/>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FFFFF"/>
          </w:tcPr>
          <w:p>
            <w:pPr>
              <w:spacing w:before="40" w:after="40" w:line="276" w:lineRule="auto"/>
            </w:pPr>
            <w:r>
              <w:rPr>
                <w:rFonts w:ascii="Calibri" w:hAnsi="Calibri"/>
                <w:color w:val="0F172A"/>
                <w:sz w:val="16"/>
              </w:rPr>
              <w:t>AI-01 to AI-05</w:t>
              <w:br/>
              <w:t>(Outcome 1)</w:t>
            </w:r>
          </w:p>
        </w:tc>
        <w:tc>
          <w:tcPr>
            <w:tcW w:type="dxa" w:w="1872"/>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FFFFF"/>
          </w:tcPr>
          <w:p>
            <w:pPr>
              <w:spacing w:before="40" w:after="40" w:line="276" w:lineRule="auto"/>
            </w:pPr>
            <w:r>
              <w:rPr>
                <w:rFonts w:ascii="Calibri" w:hAnsi="Calibri"/>
                <w:color w:val="0F172A"/>
                <w:sz w:val="16"/>
              </w:rPr>
              <w:t>Cuts briefing prep from 3 days to 8 seconds; real-time board defensibility.</w:t>
            </w:r>
          </w:p>
        </w:tc>
      </w:tr>
      <w:tr>
        <w:trPr>
          <w:cantSplit/>
        </w:trPr>
        <w:tc>
          <w:tcPr>
            <w:tcW w:type="dxa" w:w="1728"/>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8FAFC"/>
          </w:tcPr>
          <w:p>
            <w:pPr>
              <w:spacing w:before="40" w:after="40" w:line="276" w:lineRule="auto"/>
            </w:pPr>
            <w:r>
              <w:rPr>
                <w:rFonts w:ascii="Calibri" w:hAnsi="Calibri"/>
                <w:b/>
                <w:color w:val="0F172A"/>
                <w:sz w:val="16"/>
              </w:rPr>
              <w:t>SOC Analyst</w:t>
              <w:br/>
              <w:t>('soc')</w:t>
            </w:r>
          </w:p>
        </w:tc>
        <w:tc>
          <w:tcPr>
            <w:tcW w:type="dxa" w:w="2160"/>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8FAFC"/>
          </w:tcPr>
          <w:p>
            <w:pPr>
              <w:spacing w:before="40" w:after="40" w:line="276" w:lineRule="auto"/>
            </w:pPr>
            <w:r>
              <w:rPr>
                <w:rFonts w:ascii="Calibri" w:hAnsi="Calibri"/>
                <w:color w:val="0F172A"/>
                <w:sz w:val="16"/>
              </w:rPr>
              <w:t>Ingestion of 15,000 daily WAF/scanner logs; IP/port filtering.</w:t>
            </w:r>
          </w:p>
        </w:tc>
        <w:tc>
          <w:tcPr>
            <w:tcW w:type="dxa" w:w="2592"/>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8FAFC"/>
          </w:tcPr>
          <w:p>
            <w:pPr>
              <w:spacing w:before="40" w:after="40" w:line="276" w:lineRule="auto"/>
            </w:pPr>
            <w:r>
              <w:rPr>
                <w:rFonts w:ascii="Calibri" w:hAnsi="Calibri"/>
                <w:color w:val="0F172A"/>
                <w:sz w:val="16"/>
              </w:rPr>
              <w:t>AVP-3: Natural-language threat report ingestion; automatic MITRE TTP correlation.</w:t>
            </w:r>
          </w:p>
        </w:tc>
        <w:tc>
          <w:tcPr>
            <w:tcW w:type="dxa" w:w="1728"/>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8FAFC"/>
          </w:tcPr>
          <w:p>
            <w:pPr>
              <w:spacing w:before="40" w:after="40" w:line="276" w:lineRule="auto"/>
            </w:pPr>
            <w:r>
              <w:rPr>
                <w:rFonts w:ascii="Calibri" w:hAnsi="Calibri"/>
                <w:color w:val="0F172A"/>
                <w:sz w:val="16"/>
              </w:rPr>
              <w:t>AI-23 to AI-26</w:t>
              <w:br/>
              <w:t>(Outcome 6)</w:t>
            </w:r>
          </w:p>
        </w:tc>
        <w:tc>
          <w:tcPr>
            <w:tcW w:type="dxa" w:w="1872"/>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8FAFC"/>
          </w:tcPr>
          <w:p>
            <w:pPr>
              <w:spacing w:before="40" w:after="40" w:line="276" w:lineRule="auto"/>
            </w:pPr>
            <w:r>
              <w:rPr>
                <w:rFonts w:ascii="Calibri" w:hAnsi="Calibri"/>
                <w:color w:val="0F172A"/>
                <w:sz w:val="16"/>
              </w:rPr>
              <w:t>Reduces investigation from 6 hours to 45 seconds; prioritizes high-impact threats.</w:t>
            </w:r>
          </w:p>
        </w:tc>
      </w:tr>
      <w:tr>
        <w:trPr>
          <w:cantSplit/>
        </w:trPr>
        <w:tc>
          <w:tcPr>
            <w:tcW w:type="dxa" w:w="1728"/>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FFFFF"/>
          </w:tcPr>
          <w:p>
            <w:pPr>
              <w:spacing w:before="40" w:after="40" w:line="276" w:lineRule="auto"/>
            </w:pPr>
            <w:r>
              <w:rPr>
                <w:rFonts w:ascii="Calibri" w:hAnsi="Calibri"/>
                <w:b/>
                <w:color w:val="0F172A"/>
                <w:sz w:val="16"/>
              </w:rPr>
              <w:t>AppSec</w:t>
              <w:br/>
              <w:t>('appsec')</w:t>
            </w:r>
          </w:p>
        </w:tc>
        <w:tc>
          <w:tcPr>
            <w:tcW w:type="dxa" w:w="2160"/>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FFFFF"/>
          </w:tcPr>
          <w:p>
            <w:pPr>
              <w:spacing w:before="40" w:after="40" w:line="276" w:lineRule="auto"/>
            </w:pPr>
            <w:r>
              <w:rPr>
                <w:rFonts w:ascii="Calibri" w:hAnsi="Calibri"/>
                <w:color w:val="0F172A"/>
                <w:sz w:val="16"/>
              </w:rPr>
              <w:t>Listing 69 CWE scan defects; URL sinks; line numbers.</w:t>
            </w:r>
          </w:p>
        </w:tc>
        <w:tc>
          <w:tcPr>
            <w:tcW w:type="dxa" w:w="2592"/>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FFFFF"/>
          </w:tcPr>
          <w:p>
            <w:pPr>
              <w:spacing w:before="40" w:after="40" w:line="276" w:lineRule="auto"/>
            </w:pPr>
            <w:r>
              <w:rPr>
                <w:rFonts w:ascii="Calibri" w:hAnsi="Calibri"/>
                <w:color w:val="0F172A"/>
                <w:sz w:val="16"/>
              </w:rPr>
              <w:t>AVP-2: Synthesizes valid YAML alert rules adhering to SITA schema.</w:t>
            </w:r>
          </w:p>
        </w:tc>
        <w:tc>
          <w:tcPr>
            <w:tcW w:type="dxa" w:w="1728"/>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FFFFF"/>
          </w:tcPr>
          <w:p>
            <w:pPr>
              <w:spacing w:before="40" w:after="40" w:line="276" w:lineRule="auto"/>
            </w:pPr>
            <w:r>
              <w:rPr>
                <w:rFonts w:ascii="Calibri" w:hAnsi="Calibri"/>
                <w:color w:val="0F172A"/>
                <w:sz w:val="16"/>
              </w:rPr>
              <w:t>AIR-R2</w:t>
              <w:br/>
              <w:t>(Rule Authoring)</w:t>
            </w:r>
          </w:p>
        </w:tc>
        <w:tc>
          <w:tcPr>
            <w:tcW w:type="dxa" w:w="1872"/>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FFFFF"/>
          </w:tcPr>
          <w:p>
            <w:pPr>
              <w:spacing w:before="40" w:after="40" w:line="276" w:lineRule="auto"/>
            </w:pPr>
            <w:r>
              <w:rPr>
                <w:rFonts w:ascii="Calibri" w:hAnsi="Calibri"/>
                <w:color w:val="0F172A"/>
                <w:sz w:val="16"/>
              </w:rPr>
              <w:t>Rule deployment drops from 48h to 2 min; 0 schema syntax errors.</w:t>
            </w:r>
          </w:p>
        </w:tc>
      </w:tr>
      <w:tr>
        <w:trPr>
          <w:cantSplit/>
        </w:trPr>
        <w:tc>
          <w:tcPr>
            <w:tcW w:type="dxa" w:w="1728"/>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8FAFC"/>
          </w:tcPr>
          <w:p>
            <w:pPr>
              <w:spacing w:before="40" w:after="40" w:line="276" w:lineRule="auto"/>
            </w:pPr>
            <w:r>
              <w:rPr>
                <w:rFonts w:ascii="Calibri" w:hAnsi="Calibri"/>
                <w:b/>
                <w:color w:val="0F172A"/>
                <w:sz w:val="16"/>
              </w:rPr>
              <w:t>DB Security</w:t>
              <w:br/>
              <w:t>('dbsec')</w:t>
            </w:r>
          </w:p>
        </w:tc>
        <w:tc>
          <w:tcPr>
            <w:tcW w:type="dxa" w:w="2160"/>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8FAFC"/>
          </w:tcPr>
          <w:p>
            <w:pPr>
              <w:spacing w:before="40" w:after="40" w:line="276" w:lineRule="auto"/>
            </w:pPr>
            <w:r>
              <w:rPr>
                <w:rFonts w:ascii="Calibri" w:hAnsi="Calibri"/>
                <w:color w:val="0F172A"/>
                <w:sz w:val="16"/>
              </w:rPr>
              <w:t>DAM connection logging; query count metrics.</w:t>
            </w:r>
          </w:p>
        </w:tc>
        <w:tc>
          <w:tcPr>
            <w:tcW w:type="dxa" w:w="2592"/>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8FAFC"/>
          </w:tcPr>
          <w:p>
            <w:pPr>
              <w:spacing w:before="40" w:after="40" w:line="276" w:lineRule="auto"/>
            </w:pPr>
            <w:r>
              <w:rPr>
                <w:rFonts w:ascii="Calibri" w:hAnsi="Calibri"/>
                <w:color w:val="0F172A"/>
                <w:sz w:val="16"/>
              </w:rPr>
              <w:t>Contextual PII intent scoring; web-to-database anomaly correlation.</w:t>
            </w:r>
          </w:p>
        </w:tc>
        <w:tc>
          <w:tcPr>
            <w:tcW w:type="dxa" w:w="1728"/>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8FAFC"/>
          </w:tcPr>
          <w:p>
            <w:pPr>
              <w:spacing w:before="40" w:after="40" w:line="276" w:lineRule="auto"/>
            </w:pPr>
            <w:r>
              <w:rPr>
                <w:rFonts w:ascii="Calibri" w:hAnsi="Calibri"/>
                <w:color w:val="0F172A"/>
                <w:sz w:val="16"/>
              </w:rPr>
              <w:t>AIR-R4</w:t>
              <w:br/>
              <w:t>(Data Privacy)</w:t>
            </w:r>
          </w:p>
        </w:tc>
        <w:tc>
          <w:tcPr>
            <w:tcW w:type="dxa" w:w="1872"/>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8FAFC"/>
          </w:tcPr>
          <w:p>
            <w:pPr>
              <w:spacing w:before="40" w:after="40" w:line="276" w:lineRule="auto"/>
            </w:pPr>
            <w:r>
              <w:rPr>
                <w:rFonts w:ascii="Calibri" w:hAnsi="Calibri"/>
                <w:color w:val="0F172A"/>
                <w:sz w:val="16"/>
              </w:rPr>
              <w:t>Stops silent exfiltration of citizen registries; POPIA data protection.</w:t>
            </w:r>
          </w:p>
        </w:tc>
      </w:tr>
      <w:tr>
        <w:trPr>
          <w:cantSplit/>
        </w:trPr>
        <w:tc>
          <w:tcPr>
            <w:tcW w:type="dxa" w:w="1728"/>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FFFFF"/>
          </w:tcPr>
          <w:p>
            <w:pPr>
              <w:spacing w:before="40" w:after="40" w:line="276" w:lineRule="auto"/>
            </w:pPr>
            <w:r>
              <w:rPr>
                <w:rFonts w:ascii="Calibri" w:hAnsi="Calibri"/>
                <w:b/>
                <w:color w:val="0F172A"/>
                <w:sz w:val="16"/>
              </w:rPr>
              <w:t>Compliance</w:t>
              <w:br/>
              <w:t>('compliance')</w:t>
            </w:r>
          </w:p>
        </w:tc>
        <w:tc>
          <w:tcPr>
            <w:tcW w:type="dxa" w:w="2160"/>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FFFFF"/>
          </w:tcPr>
          <w:p>
            <w:pPr>
              <w:spacing w:before="40" w:after="40" w:line="276" w:lineRule="auto"/>
            </w:pPr>
            <w:r>
              <w:rPr>
                <w:rFonts w:ascii="Calibri" w:hAnsi="Calibri"/>
                <w:color w:val="0F172A"/>
                <w:sz w:val="16"/>
              </w:rPr>
              <w:t>Formula calculation of 8 POPIA conditions; checklist tracking.</w:t>
            </w:r>
          </w:p>
        </w:tc>
        <w:tc>
          <w:tcPr>
            <w:tcW w:type="dxa" w:w="2592"/>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FFFFF"/>
          </w:tcPr>
          <w:p>
            <w:pPr>
              <w:spacing w:before="40" w:after="40" w:line="276" w:lineRule="auto"/>
            </w:pPr>
            <w:r>
              <w:rPr>
                <w:rFonts w:ascii="Calibri" w:hAnsi="Calibri"/>
                <w:color w:val="0F172A"/>
                <w:sz w:val="16"/>
              </w:rPr>
              <w:t>AVP-5: Evaluates POPIA s.22 legal thresholds; drafts statutory disclosure letter.</w:t>
            </w:r>
          </w:p>
        </w:tc>
        <w:tc>
          <w:tcPr>
            <w:tcW w:type="dxa" w:w="1728"/>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FFFFF"/>
          </w:tcPr>
          <w:p>
            <w:pPr>
              <w:spacing w:before="40" w:after="40" w:line="276" w:lineRule="auto"/>
            </w:pPr>
            <w:r>
              <w:rPr>
                <w:rFonts w:ascii="Calibri" w:hAnsi="Calibri"/>
                <w:color w:val="0F172A"/>
                <w:sz w:val="16"/>
              </w:rPr>
              <w:t>Outcome 7</w:t>
              <w:br/>
              <w:t>(POPIA Dossier)</w:t>
            </w:r>
          </w:p>
        </w:tc>
        <w:tc>
          <w:tcPr>
            <w:tcW w:type="dxa" w:w="1872"/>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FFFFF"/>
          </w:tcPr>
          <w:p>
            <w:pPr>
              <w:spacing w:before="40" w:after="40" w:line="276" w:lineRule="auto"/>
            </w:pPr>
            <w:r>
              <w:rPr>
                <w:rFonts w:ascii="Calibri" w:hAnsi="Calibri"/>
                <w:color w:val="0F172A"/>
                <w:sz w:val="16"/>
              </w:rPr>
              <w:t>Guarantees statutory reporting in window; prevents R10M regulatory fines.</w:t>
            </w:r>
          </w:p>
        </w:tc>
      </w:tr>
      <w:tr>
        <w:trPr>
          <w:cantSplit/>
        </w:trPr>
        <w:tc>
          <w:tcPr>
            <w:tcW w:type="dxa" w:w="1728"/>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8FAFC"/>
          </w:tcPr>
          <w:p>
            <w:pPr>
              <w:spacing w:before="40" w:after="40" w:line="276" w:lineRule="auto"/>
            </w:pPr>
            <w:r>
              <w:rPr>
                <w:rFonts w:ascii="Calibri" w:hAnsi="Calibri"/>
                <w:b/>
                <w:color w:val="0F172A"/>
                <w:sz w:val="16"/>
              </w:rPr>
              <w:t>Internal Audit</w:t>
              <w:br/>
              <w:t>('admin')</w:t>
            </w:r>
          </w:p>
        </w:tc>
        <w:tc>
          <w:tcPr>
            <w:tcW w:type="dxa" w:w="2160"/>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8FAFC"/>
          </w:tcPr>
          <w:p>
            <w:pPr>
              <w:spacing w:before="40" w:after="40" w:line="276" w:lineRule="auto"/>
            </w:pPr>
            <w:r>
              <w:rPr>
                <w:rFonts w:ascii="Calibri" w:hAnsi="Calibri"/>
                <w:color w:val="0F172A"/>
                <w:sz w:val="16"/>
              </w:rPr>
              <w:t>Single-event ECDSA cryptographic request signing.</w:t>
            </w:r>
          </w:p>
        </w:tc>
        <w:tc>
          <w:tcPr>
            <w:tcW w:type="dxa" w:w="2592"/>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8FAFC"/>
          </w:tcPr>
          <w:p>
            <w:pPr>
              <w:spacing w:before="40" w:after="40" w:line="276" w:lineRule="auto"/>
            </w:pPr>
            <w:r>
              <w:rPr>
                <w:rFonts w:ascii="Calibri" w:hAnsi="Calibri"/>
                <w:color w:val="0F172A"/>
                <w:sz w:val="16"/>
              </w:rPr>
              <w:t>AVP-11: Multi-day behavioral sequence reading across audit logs.</w:t>
            </w:r>
          </w:p>
        </w:tc>
        <w:tc>
          <w:tcPr>
            <w:tcW w:type="dxa" w:w="1728"/>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8FAFC"/>
          </w:tcPr>
          <w:p>
            <w:pPr>
              <w:spacing w:before="40" w:after="40" w:line="276" w:lineRule="auto"/>
            </w:pPr>
            <w:r>
              <w:rPr>
                <w:rFonts w:ascii="Calibri" w:hAnsi="Calibri"/>
                <w:color w:val="0F172A"/>
                <w:sz w:val="16"/>
              </w:rPr>
              <w:t>Outcome 5</w:t>
              <w:br/>
              <w:t>(Auditability)</w:t>
            </w:r>
          </w:p>
        </w:tc>
        <w:tc>
          <w:tcPr>
            <w:tcW w:type="dxa" w:w="1872"/>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8FAFC"/>
          </w:tcPr>
          <w:p>
            <w:pPr>
              <w:spacing w:before="40" w:after="40" w:line="276" w:lineRule="auto"/>
            </w:pPr>
            <w:r>
              <w:rPr>
                <w:rFonts w:ascii="Calibri" w:hAnsi="Calibri"/>
                <w:color w:val="0F172A"/>
                <w:sz w:val="16"/>
              </w:rPr>
              <w:t>Catches slow insider threats; ensures clean Auditor-General audit.</w:t>
            </w:r>
          </w:p>
        </w:tc>
      </w:tr>
      <w:tr>
        <w:trPr>
          <w:cantSplit/>
        </w:trPr>
        <w:tc>
          <w:tcPr>
            <w:tcW w:type="dxa" w:w="1728"/>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FFFFF"/>
          </w:tcPr>
          <w:p>
            <w:pPr>
              <w:spacing w:before="40" w:after="40" w:line="276" w:lineRule="auto"/>
            </w:pPr>
            <w:r>
              <w:rPr>
                <w:rFonts w:ascii="Calibri" w:hAnsi="Calibri"/>
                <w:b/>
                <w:color w:val="0F172A"/>
                <w:sz w:val="16"/>
              </w:rPr>
              <w:t>Site Ops</w:t>
              <w:br/>
              <w:t>('sre')</w:t>
            </w:r>
          </w:p>
        </w:tc>
        <w:tc>
          <w:tcPr>
            <w:tcW w:type="dxa" w:w="2160"/>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FFFFF"/>
          </w:tcPr>
          <w:p>
            <w:pPr>
              <w:spacing w:before="40" w:after="40" w:line="276" w:lineRule="auto"/>
            </w:pPr>
            <w:r>
              <w:rPr>
                <w:rFonts w:ascii="Calibri" w:hAnsi="Calibri"/>
                <w:color w:val="0F172A"/>
                <w:sz w:val="16"/>
              </w:rPr>
              <w:t>CPU/RAM quotas, latency bounds, and container heartbeats.</w:t>
            </w:r>
          </w:p>
        </w:tc>
        <w:tc>
          <w:tcPr>
            <w:tcW w:type="dxa" w:w="2592"/>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FFFFF"/>
          </w:tcPr>
          <w:p>
            <w:pPr>
              <w:spacing w:before="40" w:after="40" w:line="276" w:lineRule="auto"/>
            </w:pPr>
            <w:r>
              <w:rPr>
                <w:rFonts w:ascii="Calibri" w:hAnsi="Calibri"/>
                <w:color w:val="0F172A"/>
                <w:sz w:val="16"/>
              </w:rPr>
              <w:t>Log synthesis into plain-English root-cause diagnostics; breaker monitoring.</w:t>
            </w:r>
          </w:p>
        </w:tc>
        <w:tc>
          <w:tcPr>
            <w:tcW w:type="dxa" w:w="1728"/>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FFFFF"/>
          </w:tcPr>
          <w:p>
            <w:pPr>
              <w:spacing w:before="40" w:after="40" w:line="276" w:lineRule="auto"/>
            </w:pPr>
            <w:r>
              <w:rPr>
                <w:rFonts w:ascii="Calibri" w:hAnsi="Calibri"/>
                <w:color w:val="0F172A"/>
                <w:sz w:val="16"/>
              </w:rPr>
              <w:t>Outcome 4</w:t>
              <w:br/>
              <w:t>(Availability)</w:t>
            </w:r>
          </w:p>
        </w:tc>
        <w:tc>
          <w:tcPr>
            <w:tcW w:type="dxa" w:w="1872"/>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FFFFF"/>
          </w:tcPr>
          <w:p>
            <w:pPr>
              <w:spacing w:before="40" w:after="40" w:line="276" w:lineRule="auto"/>
            </w:pPr>
            <w:r>
              <w:rPr>
                <w:rFonts w:ascii="Calibri" w:hAnsi="Calibri"/>
                <w:color w:val="0F172A"/>
                <w:sz w:val="16"/>
              </w:rPr>
              <w:t>Reduces MTTR by 70%; prevents server crashes during national grant deadlines.</w:t>
            </w:r>
          </w:p>
        </w:tc>
      </w:tr>
    </w:tbl>
    <w:p>
      <w:pPr>
        <w:keepNext/>
        <w:spacing w:before="280" w:after="80"/>
      </w:pPr>
      <w:r>
        <w:rPr>
          <w:rFonts w:ascii="Calibri" w:hAnsi="Calibri"/>
          <w:b/>
          <w:color w:val="1B365D"/>
          <w:sz w:val="27"/>
        </w:rPr>
        <w:t>5. Requirements Traceability: Fulfilling SITA's Formal Mandate</w:t>
      </w:r>
    </w:p>
    <w:p>
      <w:pPr>
        <w:spacing w:after="120"/>
      </w:pPr>
      <w:r>
        <w:rPr>
          <w:rFonts w:ascii="Calibri" w:hAnsi="Calibri"/>
          <w:sz w:val="18"/>
        </w:rPr>
        <w:t>SITA's AI initiative was formally defined across two foundational specifications: Document D0 (Outcomes 1-7, AI-01 to AI-28) and Document AIR-R1 (Capabilities R1-R5). Below is the conclusive proof of how this architecture fulfills each outcome:</w:t>
      </w:r>
    </w:p>
    <w:tbl>
      <w:tblPr>
        <w:tblW w:type="auto" w:w="0"/>
        <w:jc w:val="center"/>
        <w:tblLayout w:type="fixed"/>
        <w:tblLook w:firstColumn="1" w:firstRow="1" w:lastColumn="0" w:lastRow="0" w:noHBand="0" w:noVBand="1" w:val="04A0"/>
      </w:tblPr>
      <w:tblGrid>
        <w:gridCol w:w="2520"/>
        <w:gridCol w:w="2520"/>
        <w:gridCol w:w="2520"/>
        <w:gridCol w:w="2520"/>
      </w:tblGrid>
      <w:tr>
        <w:trPr>
          <w:cantSplit/>
          <w:tblHeader/>
        </w:trPr>
        <w:tc>
          <w:tcPr>
            <w:tcW w:type="dxa" w:w="1728"/>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1B365D"/>
          </w:tcPr>
          <w:p>
            <w:pPr>
              <w:spacing w:before="40" w:after="40"/>
            </w:pPr>
            <w:r>
              <w:rPr>
                <w:rFonts w:ascii="Calibri" w:hAnsi="Calibri"/>
                <w:b/>
                <w:color w:val="FFFFFF"/>
                <w:sz w:val="17"/>
              </w:rPr>
              <w:t>Mandate ID</w:t>
            </w:r>
          </w:p>
        </w:tc>
        <w:tc>
          <w:tcPr>
            <w:tcW w:type="dxa" w:w="2592"/>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1B365D"/>
          </w:tcPr>
          <w:p>
            <w:pPr>
              <w:spacing w:before="40" w:after="40"/>
            </w:pPr>
            <w:r>
              <w:rPr>
                <w:rFonts w:ascii="Calibri" w:hAnsi="Calibri"/>
                <w:b/>
                <w:color w:val="FFFFFF"/>
                <w:sz w:val="17"/>
              </w:rPr>
              <w:t>Formal Requirement</w:t>
            </w:r>
          </w:p>
        </w:tc>
        <w:tc>
          <w:tcPr>
            <w:tcW w:type="dxa" w:w="3168"/>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1B365D"/>
          </w:tcPr>
          <w:p>
            <w:pPr>
              <w:spacing w:before="40" w:after="40"/>
            </w:pPr>
            <w:r>
              <w:rPr>
                <w:rFonts w:ascii="Calibri" w:hAnsi="Calibri"/>
                <w:b/>
                <w:color w:val="FFFFFF"/>
                <w:sz w:val="17"/>
              </w:rPr>
              <w:t>How Traditional Code Fails</w:t>
            </w:r>
          </w:p>
        </w:tc>
        <w:tc>
          <w:tcPr>
            <w:tcW w:type="dxa" w:w="2592"/>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1B365D"/>
          </w:tcPr>
          <w:p>
            <w:pPr>
              <w:spacing w:before="40" w:after="40"/>
            </w:pPr>
            <w:r>
              <w:rPr>
                <w:rFonts w:ascii="Calibri" w:hAnsi="Calibri"/>
                <w:b/>
                <w:color w:val="FFFFFF"/>
                <w:sz w:val="17"/>
              </w:rPr>
              <w:t>Delivered Solution on SITA Platform</w:t>
            </w:r>
          </w:p>
        </w:tc>
      </w:tr>
      <w:tr>
        <w:trPr>
          <w:cantSplit/>
        </w:trPr>
        <w:tc>
          <w:tcPr>
            <w:tcW w:type="dxa" w:w="1728"/>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FFFFF"/>
          </w:tcPr>
          <w:p>
            <w:pPr>
              <w:spacing w:before="40" w:after="40" w:line="276" w:lineRule="auto"/>
            </w:pPr>
            <w:r>
              <w:rPr>
                <w:rFonts w:ascii="Calibri" w:hAnsi="Calibri"/>
                <w:b/>
                <w:color w:val="0F172A"/>
                <w:sz w:val="16"/>
              </w:rPr>
              <w:t>AI-01 to AI-05</w:t>
              <w:br/>
              <w:t>(Outcome 1)</w:t>
            </w:r>
          </w:p>
        </w:tc>
        <w:tc>
          <w:tcPr>
            <w:tcW w:type="dxa" w:w="2592"/>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FFFFF"/>
          </w:tcPr>
          <w:p>
            <w:pPr>
              <w:spacing w:before="40" w:after="40" w:line="276" w:lineRule="auto"/>
            </w:pPr>
            <w:r>
              <w:rPr>
                <w:rFonts w:ascii="Calibri" w:hAnsi="Calibri"/>
                <w:color w:val="0F172A"/>
                <w:sz w:val="16"/>
              </w:rPr>
              <w:t>On-demand plain-language security narratives for executives.</w:t>
            </w:r>
          </w:p>
        </w:tc>
        <w:tc>
          <w:tcPr>
            <w:tcW w:type="dxa" w:w="3168"/>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FFFFF"/>
          </w:tcPr>
          <w:p>
            <w:pPr>
              <w:spacing w:before="40" w:after="40" w:line="276" w:lineRule="auto"/>
            </w:pPr>
            <w:r>
              <w:rPr>
                <w:rFonts w:ascii="Calibri" w:hAnsi="Calibri"/>
                <w:color w:val="0F172A"/>
                <w:sz w:val="16"/>
              </w:rPr>
              <w:t>Code can only fill static placeholders, resulting in robotic and repetitive text.</w:t>
            </w:r>
          </w:p>
        </w:tc>
        <w:tc>
          <w:tcPr>
            <w:tcW w:type="dxa" w:w="2592"/>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FFFFF"/>
          </w:tcPr>
          <w:p>
            <w:pPr>
              <w:spacing w:before="40" w:after="40" w:line="276" w:lineRule="auto"/>
            </w:pPr>
            <w:r>
              <w:rPr>
                <w:rFonts w:ascii="Calibri" w:hAnsi="Calibri"/>
                <w:color w:val="0F172A"/>
                <w:sz w:val="16"/>
              </w:rPr>
              <w:t>AIMI synthesizes contextual, board-ready briefings in under 8s via AI Report Studio.</w:t>
            </w:r>
          </w:p>
        </w:tc>
      </w:tr>
      <w:tr>
        <w:trPr>
          <w:cantSplit/>
        </w:trPr>
        <w:tc>
          <w:tcPr>
            <w:tcW w:type="dxa" w:w="1728"/>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8FAFC"/>
          </w:tcPr>
          <w:p>
            <w:pPr>
              <w:spacing w:before="40" w:after="40" w:line="276" w:lineRule="auto"/>
            </w:pPr>
            <w:r>
              <w:rPr>
                <w:rFonts w:ascii="Calibri" w:hAnsi="Calibri"/>
                <w:b/>
                <w:color w:val="0F172A"/>
                <w:sz w:val="16"/>
              </w:rPr>
              <w:t>AI-06 to AI-10</w:t>
              <w:br/>
              <w:t>(Outcome 2)</w:t>
            </w:r>
          </w:p>
        </w:tc>
        <w:tc>
          <w:tcPr>
            <w:tcW w:type="dxa" w:w="2592"/>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8FAFC"/>
          </w:tcPr>
          <w:p>
            <w:pPr>
              <w:spacing w:before="40" w:after="40" w:line="276" w:lineRule="auto"/>
            </w:pPr>
            <w:r>
              <w:rPr>
                <w:rFonts w:ascii="Calibri" w:hAnsi="Calibri"/>
                <w:color w:val="0F172A"/>
                <w:sz w:val="16"/>
              </w:rPr>
              <w:t>Tenancy scoping and zero cross-department data leakage across 14 roles.</w:t>
            </w:r>
          </w:p>
        </w:tc>
        <w:tc>
          <w:tcPr>
            <w:tcW w:type="dxa" w:w="3168"/>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8FAFC"/>
          </w:tcPr>
          <w:p>
            <w:pPr>
              <w:spacing w:before="40" w:after="40" w:line="276" w:lineRule="auto"/>
            </w:pPr>
            <w:r>
              <w:rPr>
                <w:rFonts w:ascii="Calibri" w:hAnsi="Calibri"/>
                <w:color w:val="0F172A"/>
                <w:sz w:val="16"/>
              </w:rPr>
              <w:t>Standard LLMs share prompt context and cannot enforce multi-tier isolation.</w:t>
            </w:r>
          </w:p>
        </w:tc>
        <w:tc>
          <w:tcPr>
            <w:tcW w:type="dxa" w:w="2592"/>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8FAFC"/>
          </w:tcPr>
          <w:p>
            <w:pPr>
              <w:spacing w:before="40" w:after="40" w:line="276" w:lineRule="auto"/>
            </w:pPr>
            <w:r>
              <w:rPr>
                <w:rFonts w:ascii="Calibri" w:hAnsi="Calibri"/>
                <w:color w:val="0F172A"/>
                <w:sz w:val="16"/>
              </w:rPr>
              <w:t>SITA Tenancy Tree prunes unauthorized rows before prompt generation. Zero leak.</w:t>
            </w:r>
          </w:p>
        </w:tc>
      </w:tr>
      <w:tr>
        <w:trPr>
          <w:cantSplit/>
        </w:trPr>
        <w:tc>
          <w:tcPr>
            <w:tcW w:type="dxa" w:w="1728"/>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FFFFF"/>
          </w:tcPr>
          <w:p>
            <w:pPr>
              <w:spacing w:before="40" w:after="40" w:line="276" w:lineRule="auto"/>
            </w:pPr>
            <w:r>
              <w:rPr>
                <w:rFonts w:ascii="Calibri" w:hAnsi="Calibri"/>
                <w:b/>
                <w:color w:val="0F172A"/>
                <w:sz w:val="16"/>
              </w:rPr>
              <w:t>AI-11 to AI-14</w:t>
              <w:br/>
              <w:t>(Outcome 3)</w:t>
            </w:r>
          </w:p>
        </w:tc>
        <w:tc>
          <w:tcPr>
            <w:tcW w:type="dxa" w:w="2592"/>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FFFFF"/>
          </w:tcPr>
          <w:p>
            <w:pPr>
              <w:spacing w:before="40" w:after="40" w:line="276" w:lineRule="auto"/>
            </w:pPr>
            <w:r>
              <w:rPr>
                <w:rFonts w:ascii="Calibri" w:hAnsi="Calibri"/>
                <w:color w:val="0F172A"/>
                <w:sz w:val="16"/>
              </w:rPr>
              <w:t>100% data verifiability; zero hallucinations; citation linking.</w:t>
            </w:r>
          </w:p>
        </w:tc>
        <w:tc>
          <w:tcPr>
            <w:tcW w:type="dxa" w:w="3168"/>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FFFFF"/>
          </w:tcPr>
          <w:p>
            <w:pPr>
              <w:spacing w:before="40" w:after="40" w:line="276" w:lineRule="auto"/>
            </w:pPr>
            <w:r>
              <w:rPr>
                <w:rFonts w:ascii="Calibri" w:hAnsi="Calibri"/>
                <w:color w:val="0F172A"/>
                <w:sz w:val="16"/>
              </w:rPr>
              <w:t>Generic LLMs fabricate plausible-sounding dates, counts, and incidents.</w:t>
            </w:r>
          </w:p>
        </w:tc>
        <w:tc>
          <w:tcPr>
            <w:tcW w:type="dxa" w:w="2592"/>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FFFFF"/>
          </w:tcPr>
          <w:p>
            <w:pPr>
              <w:spacing w:before="40" w:after="40" w:line="276" w:lineRule="auto"/>
            </w:pPr>
            <w:r>
              <w:rPr>
                <w:rFonts w:ascii="Calibri" w:hAnsi="Calibri"/>
                <w:color w:val="0F172A"/>
                <w:sz w:val="16"/>
              </w:rPr>
              <w:t>Grounding Verifier matches every number against SQL warehouse; discards bad claims.</w:t>
            </w:r>
          </w:p>
        </w:tc>
      </w:tr>
      <w:tr>
        <w:trPr>
          <w:cantSplit/>
        </w:trPr>
        <w:tc>
          <w:tcPr>
            <w:tcW w:type="dxa" w:w="1728"/>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8FAFC"/>
          </w:tcPr>
          <w:p>
            <w:pPr>
              <w:spacing w:before="40" w:after="40" w:line="276" w:lineRule="auto"/>
            </w:pPr>
            <w:r>
              <w:rPr>
                <w:rFonts w:ascii="Calibri" w:hAnsi="Calibri"/>
                <w:b/>
                <w:color w:val="0F172A"/>
                <w:sz w:val="16"/>
              </w:rPr>
              <w:t>AI-15 to AI-18</w:t>
              <w:br/>
              <w:t>(Outcome 4)</w:t>
            </w:r>
          </w:p>
        </w:tc>
        <w:tc>
          <w:tcPr>
            <w:tcW w:type="dxa" w:w="2592"/>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8FAFC"/>
          </w:tcPr>
          <w:p>
            <w:pPr>
              <w:spacing w:before="40" w:after="40" w:line="276" w:lineRule="auto"/>
            </w:pPr>
            <w:r>
              <w:rPr>
                <w:rFonts w:ascii="Calibri" w:hAnsi="Calibri"/>
                <w:color w:val="0F172A"/>
                <w:sz w:val="16"/>
              </w:rPr>
              <w:t>Guaranteed platform availability during cloud AI model outages.</w:t>
            </w:r>
          </w:p>
        </w:tc>
        <w:tc>
          <w:tcPr>
            <w:tcW w:type="dxa" w:w="3168"/>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8FAFC"/>
          </w:tcPr>
          <w:p>
            <w:pPr>
              <w:spacing w:before="40" w:after="40" w:line="276" w:lineRule="auto"/>
            </w:pPr>
            <w:r>
              <w:rPr>
                <w:rFonts w:ascii="Calibri" w:hAnsi="Calibri"/>
                <w:color w:val="0F172A"/>
                <w:sz w:val="16"/>
              </w:rPr>
              <w:t>Applications dependent on cloud models crash or display blank screens on outage.</w:t>
            </w:r>
          </w:p>
        </w:tc>
        <w:tc>
          <w:tcPr>
            <w:tcW w:type="dxa" w:w="2592"/>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8FAFC"/>
          </w:tcPr>
          <w:p>
            <w:pPr>
              <w:spacing w:before="40" w:after="40" w:line="276" w:lineRule="auto"/>
            </w:pPr>
            <w:r>
              <w:rPr>
                <w:rFonts w:ascii="Calibri" w:hAnsi="Calibri"/>
                <w:color w:val="0F172A"/>
                <w:sz w:val="16"/>
              </w:rPr>
              <w:t>Circuit-breaker trips instantly, serving verified deterministic Jinja2 templates.</w:t>
            </w:r>
          </w:p>
        </w:tc>
      </w:tr>
      <w:tr>
        <w:trPr>
          <w:cantSplit/>
        </w:trPr>
        <w:tc>
          <w:tcPr>
            <w:tcW w:type="dxa" w:w="1728"/>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FFFFF"/>
          </w:tcPr>
          <w:p>
            <w:pPr>
              <w:spacing w:before="40" w:after="40" w:line="276" w:lineRule="auto"/>
            </w:pPr>
            <w:r>
              <w:rPr>
                <w:rFonts w:ascii="Calibri" w:hAnsi="Calibri"/>
                <w:b/>
                <w:color w:val="0F172A"/>
                <w:sz w:val="16"/>
              </w:rPr>
              <w:t>AI-19 to AI-22</w:t>
              <w:br/>
              <w:t>(Outcome 5)</w:t>
            </w:r>
          </w:p>
        </w:tc>
        <w:tc>
          <w:tcPr>
            <w:tcW w:type="dxa" w:w="2592"/>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FFFFF"/>
          </w:tcPr>
          <w:p>
            <w:pPr>
              <w:spacing w:before="40" w:after="40" w:line="276" w:lineRule="auto"/>
            </w:pPr>
            <w:r>
              <w:rPr>
                <w:rFonts w:ascii="Calibri" w:hAnsi="Calibri"/>
                <w:color w:val="0F172A"/>
                <w:sz w:val="16"/>
              </w:rPr>
              <w:t>Complete auditability, model version hashing, and human sign-off.</w:t>
            </w:r>
          </w:p>
        </w:tc>
        <w:tc>
          <w:tcPr>
            <w:tcW w:type="dxa" w:w="3168"/>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FFFFF"/>
          </w:tcPr>
          <w:p>
            <w:pPr>
              <w:spacing w:before="40" w:after="40" w:line="276" w:lineRule="auto"/>
            </w:pPr>
            <w:r>
              <w:rPr>
                <w:rFonts w:ascii="Calibri" w:hAnsi="Calibri"/>
                <w:color w:val="0F172A"/>
                <w:sz w:val="16"/>
              </w:rPr>
              <w:t>Ad-hoc AI queries lack reproducible audit records required by Auditor-General.</w:t>
            </w:r>
          </w:p>
        </w:tc>
        <w:tc>
          <w:tcPr>
            <w:tcW w:type="dxa" w:w="2592"/>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FFFFF"/>
          </w:tcPr>
          <w:p>
            <w:pPr>
              <w:spacing w:before="40" w:after="40" w:line="276" w:lineRule="auto"/>
            </w:pPr>
            <w:r>
              <w:rPr>
                <w:rFonts w:ascii="Calibri" w:hAnsi="Calibri"/>
                <w:color w:val="0F172A"/>
                <w:sz w:val="16"/>
              </w:rPr>
              <w:t>Every generation is immutably logged with model hash, dataset, and approving officer.</w:t>
            </w:r>
          </w:p>
        </w:tc>
      </w:tr>
      <w:tr>
        <w:trPr>
          <w:cantSplit/>
        </w:trPr>
        <w:tc>
          <w:tcPr>
            <w:tcW w:type="dxa" w:w="1728"/>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8FAFC"/>
          </w:tcPr>
          <w:p>
            <w:pPr>
              <w:spacing w:before="40" w:after="40" w:line="276" w:lineRule="auto"/>
            </w:pPr>
            <w:r>
              <w:rPr>
                <w:rFonts w:ascii="Calibri" w:hAnsi="Calibri"/>
                <w:b/>
                <w:color w:val="0F172A"/>
                <w:sz w:val="16"/>
              </w:rPr>
              <w:t>AI-23 to AI-26</w:t>
              <w:br/>
              <w:t>(Outcome 6)</w:t>
            </w:r>
          </w:p>
        </w:tc>
        <w:tc>
          <w:tcPr>
            <w:tcW w:type="dxa" w:w="2592"/>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8FAFC"/>
          </w:tcPr>
          <w:p>
            <w:pPr>
              <w:spacing w:before="40" w:after="40" w:line="276" w:lineRule="auto"/>
            </w:pPr>
            <w:r>
              <w:rPr>
                <w:rFonts w:ascii="Calibri" w:hAnsi="Calibri"/>
                <w:color w:val="0F172A"/>
                <w:sz w:val="16"/>
              </w:rPr>
              <w:t>Custom user-steered narratives without privilege escalation.</w:t>
            </w:r>
          </w:p>
        </w:tc>
        <w:tc>
          <w:tcPr>
            <w:tcW w:type="dxa" w:w="3168"/>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8FAFC"/>
          </w:tcPr>
          <w:p>
            <w:pPr>
              <w:spacing w:before="40" w:after="40" w:line="276" w:lineRule="auto"/>
            </w:pPr>
            <w:r>
              <w:rPr>
                <w:rFonts w:ascii="Calibri" w:hAnsi="Calibri"/>
                <w:color w:val="0F172A"/>
                <w:sz w:val="16"/>
              </w:rPr>
              <w:t>Freeform user prompting risks prompt injection and unauthorized database access.</w:t>
            </w:r>
          </w:p>
        </w:tc>
        <w:tc>
          <w:tcPr>
            <w:tcW w:type="dxa" w:w="2592"/>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8FAFC"/>
          </w:tcPr>
          <w:p>
            <w:pPr>
              <w:spacing w:before="40" w:after="40" w:line="276" w:lineRule="auto"/>
            </w:pPr>
            <w:r>
              <w:rPr>
                <w:rFonts w:ascii="Calibri" w:hAnsi="Calibri"/>
                <w:color w:val="0F172A"/>
                <w:sz w:val="16"/>
              </w:rPr>
              <w:t>User steering operates as a semantic filter strictly over pre-authorized rows.</w:t>
            </w:r>
          </w:p>
        </w:tc>
      </w:tr>
      <w:tr>
        <w:trPr>
          <w:cantSplit/>
        </w:trPr>
        <w:tc>
          <w:tcPr>
            <w:tcW w:type="dxa" w:w="1728"/>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FFFFF"/>
          </w:tcPr>
          <w:p>
            <w:pPr>
              <w:spacing w:before="40" w:after="40" w:line="276" w:lineRule="auto"/>
            </w:pPr>
            <w:r>
              <w:rPr>
                <w:rFonts w:ascii="Calibri" w:hAnsi="Calibri"/>
                <w:b/>
                <w:color w:val="0F172A"/>
                <w:sz w:val="16"/>
              </w:rPr>
              <w:t>AI-27 to AI-28</w:t>
              <w:br/>
              <w:t>(Outcome 7)</w:t>
            </w:r>
          </w:p>
        </w:tc>
        <w:tc>
          <w:tcPr>
            <w:tcW w:type="dxa" w:w="2592"/>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FFFFF"/>
          </w:tcPr>
          <w:p>
            <w:pPr>
              <w:spacing w:before="40" w:after="40" w:line="276" w:lineRule="auto"/>
            </w:pPr>
            <w:r>
              <w:rPr>
                <w:rFonts w:ascii="Calibri" w:hAnsi="Calibri"/>
                <w:color w:val="0F172A"/>
                <w:sz w:val="16"/>
              </w:rPr>
              <w:t>Instant export of generated briefings to DOCX, PDF, and CSV formats.</w:t>
            </w:r>
          </w:p>
        </w:tc>
        <w:tc>
          <w:tcPr>
            <w:tcW w:type="dxa" w:w="3168"/>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FFFFF"/>
          </w:tcPr>
          <w:p>
            <w:pPr>
              <w:spacing w:before="40" w:after="40" w:line="276" w:lineRule="auto"/>
            </w:pPr>
            <w:r>
              <w:rPr>
                <w:rFonts w:ascii="Calibri" w:hAnsi="Calibri"/>
                <w:color w:val="0F172A"/>
                <w:sz w:val="16"/>
              </w:rPr>
              <w:t>Compiling executive briefings takes days of copy-pasting tables and charts.</w:t>
            </w:r>
          </w:p>
        </w:tc>
        <w:tc>
          <w:tcPr>
            <w:tcW w:type="dxa" w:w="2592"/>
            <w:vAlign w:val="center"/>
            <w:tcMar>
              <w:top w:w="90" w:type="dxa"/>
              <w:bottom w:w="90" w:type="dxa"/>
              <w:left w:w="120" w:type="dxa"/>
              <w:right w:w="120" w:type="dxa"/>
            </w:tcMar>
            <w:tcBorders>
              <w:top w:val="single" w:sz="4" w:space="0" w:color="CBD5E1"/>
              <w:left w:val="none" w:sz="4" w:space="0" w:color="auto"/>
              <w:bottom w:val="single" w:sz="4" w:space="0" w:color="CBD5E1"/>
              <w:right w:val="none" w:sz="4" w:space="0" w:color="auto"/>
              <w:insideH w:val="none"/>
              <w:insideV w:val="none"/>
            </w:tcBorders>
            <w:shd w:fill="FFFFFF"/>
          </w:tcPr>
          <w:p>
            <w:pPr>
              <w:spacing w:before="40" w:after="40" w:line="276" w:lineRule="auto"/>
            </w:pPr>
            <w:r>
              <w:rPr>
                <w:rFonts w:ascii="Calibri" w:hAnsi="Calibri"/>
                <w:color w:val="0F172A"/>
                <w:sz w:val="16"/>
              </w:rPr>
              <w:t>1-click export from /national/ai and /dept/ai into branded Word and PDF reports.</w:t>
            </w:r>
          </w:p>
        </w:tc>
      </w:tr>
    </w:tbl>
    <w:p>
      <w:pPr>
        <w:keepNext/>
        <w:spacing w:before="280" w:after="80"/>
      </w:pPr>
      <w:r>
        <w:rPr>
          <w:rFonts w:ascii="Calibri" w:hAnsi="Calibri"/>
          <w:b/>
          <w:color w:val="1B365D"/>
          <w:sz w:val="27"/>
        </w:rPr>
        <w:t>6. Engineering Sign-Off &amp; Verification Certificate</w:t>
      </w:r>
    </w:p>
    <w:p>
      <w:pPr>
        <w:spacing w:before="80" w:after="160"/>
      </w:pPr>
      <w:r>
        <w:rPr>
          <w:rFonts w:ascii="Calibri" w:hAnsi="Calibri"/>
          <w:i/>
          <w:sz w:val="17"/>
        </w:rPr>
        <w:t>I hereby certify that this document accurately reflects the architectural division of labor and operational value of the AI implementation within the SITA Consolidated Security Reporting Platform. All deterministic functions operate autonomously in local code, while cognitive AI tasks provide advisory-only enhancement strictly grounded in verifiable system facts.</w:t>
      </w:r>
    </w:p>
    <w:tbl>
      <w:tblPr>
        <w:tblW w:type="auto" w:w="0"/>
        <w:jc w:val="center"/>
        <w:tblLayout w:type="fixed"/>
        <w:tblLook w:firstColumn="1" w:firstRow="1" w:lastColumn="0" w:lastRow="0" w:noHBand="0" w:noVBand="1" w:val="04A0"/>
      </w:tblPr>
      <w:tblGrid>
        <w:gridCol w:w="5040"/>
        <w:gridCol w:w="5040"/>
      </w:tblGrid>
      <w:tr>
        <w:tc>
          <w:tcPr>
            <w:tcW w:type="dxa" w:w="4968"/>
            <w:shd w:fill="F8FAFC"/>
            <w:tcMar>
              <w:top w:w="120" w:type="dxa"/>
              <w:bottom w:w="120" w:type="dxa"/>
              <w:left w:w="150" w:type="dxa"/>
              <w:right w:w="150" w:type="dxa"/>
            </w:tcMar>
            <w:tcBorders>
              <w:top w:val="single" w:sz="8" w:space="0" w:color="1B365D"/>
              <w:left w:val="single" w:sz="4" w:space="0" w:color="CBD5E1"/>
              <w:bottom w:val="single" w:sz="4" w:space="0" w:color="CBD5E1"/>
              <w:right w:val="single" w:sz="4" w:space="0" w:color="CBD5E1"/>
              <w:insideH w:val="none"/>
              <w:insideV w:val="none"/>
            </w:tcBorders>
          </w:tcPr>
          <w:p>
            <w:pPr>
              <w:spacing w:before="0" w:after="40"/>
            </w:pPr>
            <w:r>
              <w:rPr>
                <w:rFonts w:ascii="Calibri" w:hAnsi="Calibri"/>
                <w:b/>
                <w:color w:val="1B365D"/>
                <w:sz w:val="16"/>
              </w:rPr>
              <w:t>LEAD PLATFORM ENGINEER</w:t>
              <w:br/>
            </w:r>
            <w:r>
              <w:rPr>
                <w:rFonts w:ascii="Calibri" w:hAnsi="Calibri"/>
                <w:b/>
                <w:color w:val="0F172A"/>
                <w:sz w:val="20"/>
              </w:rPr>
              <w:t>Takawira Mazando</w:t>
              <w:br/>
            </w:r>
            <w:r>
              <w:rPr>
                <w:rFonts w:ascii="Calibri" w:hAnsi="Calibri"/>
                <w:color w:val="475569"/>
                <w:sz w:val="16"/>
              </w:rPr>
              <w:t>Lead Architect — SITA Platform Engineering</w:t>
              <w:br/>
              <w:br/>
            </w:r>
            <w:r>
              <w:rPr>
                <w:rFonts w:ascii="Calibri" w:hAnsi="Calibri"/>
                <w:color w:val="0F172A"/>
                <w:sz w:val="17"/>
              </w:rPr>
              <w:t>Signature: ___________________________</w:t>
              <w:br/>
            </w:r>
            <w:r>
              <w:rPr>
                <w:rFonts w:ascii="Calibri" w:hAnsi="Calibri"/>
                <w:color w:val="0F172A"/>
                <w:sz w:val="17"/>
              </w:rPr>
              <w:t>Date: 22 October 2026</w:t>
            </w:r>
          </w:p>
        </w:tc>
        <w:tc>
          <w:tcPr>
            <w:tcW w:type="dxa" w:w="4968"/>
            <w:shd w:fill="F8FAFC"/>
            <w:tcMar>
              <w:top w:w="120" w:type="dxa"/>
              <w:bottom w:w="120" w:type="dxa"/>
              <w:left w:w="150" w:type="dxa"/>
              <w:right w:w="150" w:type="dxa"/>
            </w:tcMar>
            <w:tcBorders>
              <w:top w:val="single" w:sz="8" w:space="0" w:color="1B365D"/>
              <w:left w:val="single" w:sz="4" w:space="0" w:color="CBD5E1"/>
              <w:bottom w:val="single" w:sz="4" w:space="0" w:color="CBD5E1"/>
              <w:right w:val="single" w:sz="4" w:space="0" w:color="CBD5E1"/>
              <w:insideH w:val="none"/>
              <w:insideV w:val="none"/>
            </w:tcBorders>
          </w:tcPr>
          <w:p>
            <w:pPr>
              <w:spacing w:before="0" w:after="40"/>
            </w:pPr>
            <w:r>
              <w:rPr>
                <w:rFonts w:ascii="Calibri" w:hAnsi="Calibri"/>
                <w:b/>
                <w:color w:val="1B365D"/>
                <w:sz w:val="16"/>
              </w:rPr>
              <w:t>EXECUTIVE AUTHORITY / SECURITY OFFICE</w:t>
              <w:br/>
            </w:r>
            <w:r>
              <w:rPr>
                <w:rFonts w:ascii="Calibri" w:hAnsi="Calibri"/>
                <w:b/>
                <w:color w:val="0F172A"/>
                <w:sz w:val="20"/>
              </w:rPr>
              <w:t>Senior Security Authority / CISO</w:t>
              <w:br/>
            </w:r>
            <w:r>
              <w:rPr>
                <w:rFonts w:ascii="Calibri" w:hAnsi="Calibri"/>
                <w:color w:val="475569"/>
                <w:sz w:val="16"/>
              </w:rPr>
              <w:t>State Information Technology Agency (SITA)</w:t>
              <w:br/>
              <w:br/>
            </w:r>
            <w:r>
              <w:rPr>
                <w:rFonts w:ascii="Calibri" w:hAnsi="Calibri"/>
                <w:color w:val="0F172A"/>
                <w:sz w:val="17"/>
              </w:rPr>
              <w:t>Signature: ___________________________</w:t>
              <w:br/>
            </w:r>
            <w:r>
              <w:rPr>
                <w:rFonts w:ascii="Calibri" w:hAnsi="Calibri"/>
                <w:color w:val="0F172A"/>
                <w:sz w:val="17"/>
              </w:rPr>
              <w:t>Date: Pending Counter-Signature</w:t>
            </w:r>
          </w:p>
        </w:tc>
      </w:tr>
    </w:tbl>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475569"/>
        <w:sz w:val="17"/>
      </w:rPr>
      <w:t>OFFICIAL (ARCHITECTURAL AUDIT) — SITA-AI-ROLE-ADVANTAGE-2026-V1.0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75569"/>
        <w:sz w:val="17"/>
      </w:rPr>
      <w:t>SITA Consolidated Security Reporting Platform | AI Role-Based Advantage Matrix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