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C59B27"/>
          <w:sz w:val="22"/>
        </w:rPr>
        <w:t>STATE INFORMATION TECHNOLOGY AGENCY (SITA)</w:t>
        <w:br/>
      </w:r>
      <w:r>
        <w:rPr>
          <w:rFonts w:ascii="Arial" w:hAnsi="Arial"/>
          <w:b/>
          <w:color w:val="1B365D"/>
          <w:sz w:val="44"/>
        </w:rPr>
        <w:t>Consolidated Security Intelligence Platform (AIMI)</w:t>
        <w:br/>
      </w:r>
      <w:r>
        <w:rPr>
          <w:rFonts w:ascii="Arial" w:hAnsi="Arial"/>
          <w:color w:val="475569"/>
          <w:sz w:val="28"/>
        </w:rPr>
        <w:t>Proof of Concept (PoC) &amp; Executive Sales Demonstration Brief</w:t>
      </w:r>
    </w:p>
    <w:tbl>
      <w:tblPr>
        <w:tblW w:type="auto" w:w="0"/>
        <w:jc w:val="center"/>
        <w:tblLook w:firstColumn="1" w:firstRow="1" w:lastColumn="0" w:lastRow="0" w:noHBand="0" w:noVBand="1" w:val="04A0"/>
      </w:tblPr>
      <w:tblGrid>
        <w:gridCol w:w="3312"/>
        <w:gridCol w:w="3312"/>
        <w:gridCol w:w="3312"/>
      </w:tblGrid>
      <w:tr>
        <w:tc>
          <w:tcPr>
            <w:tcW w:type="dxa" w:w="3168"/>
            <w:shd w:fill="F8FAFC"/>
            <w:tcMar>
              <w:top w:w="80" w:type="dxa"/>
              <w:bottom w:w="80" w:type="dxa"/>
              <w:left w:w="100" w:type="dxa"/>
              <w:right w:w="100" w:type="dxa"/>
            </w:tcMar>
            <w:tcBorders>
              <w:top w:val="single" w:sz="6" w:space="0" w:color="CBD5E1"/>
              <w:left w:val="none"/>
              <w:bottom w:val="single" w:sz="12" w:space="0" w:color="1B365D"/>
              <w:right w:val="none"/>
              <w:insideH w:val="none"/>
              <w:insideV w:val="none"/>
            </w:tcBorders>
          </w:tcPr>
          <w:p>
            <w:pPr>
              <w:spacing w:after="0"/>
            </w:pPr>
            <w:r>
              <w:rPr>
                <w:rFonts w:ascii="Arial" w:hAnsi="Arial"/>
                <w:b/>
                <w:color w:val="C59B27"/>
                <w:sz w:val="16"/>
              </w:rPr>
              <w:t>TARGET AUDIENCE</w:t>
              <w:br/>
            </w:r>
            <w:r>
              <w:rPr>
                <w:rFonts w:ascii="Calibri" w:hAnsi="Calibri"/>
                <w:b/>
                <w:color w:val="0F172A"/>
                <w:sz w:val="18"/>
              </w:rPr>
              <w:t>SITA ExCo, CISO, CTO &amp; Organ of State Leadership</w:t>
            </w:r>
          </w:p>
        </w:tc>
        <w:tc>
          <w:tcPr>
            <w:tcW w:type="dxa" w:w="3600"/>
            <w:shd w:fill="F8FAFC"/>
            <w:tcMar>
              <w:top w:w="80" w:type="dxa"/>
              <w:bottom w:w="80" w:type="dxa"/>
              <w:left w:w="100" w:type="dxa"/>
              <w:right w:w="100" w:type="dxa"/>
            </w:tcMar>
            <w:tcBorders>
              <w:top w:val="single" w:sz="6" w:space="0" w:color="CBD5E1"/>
              <w:left w:val="none"/>
              <w:bottom w:val="single" w:sz="12" w:space="0" w:color="1B365D"/>
              <w:right w:val="none"/>
              <w:insideH w:val="none"/>
              <w:insideV w:val="none"/>
            </w:tcBorders>
          </w:tcPr>
          <w:p>
            <w:pPr>
              <w:spacing w:after="0"/>
            </w:pPr>
            <w:r>
              <w:rPr>
                <w:rFonts w:ascii="Arial" w:hAnsi="Arial"/>
                <w:b/>
                <w:color w:val="C59B27"/>
                <w:sz w:val="16"/>
              </w:rPr>
              <w:t>SYSTEM STATUS</w:t>
              <w:br/>
            </w:r>
            <w:r>
              <w:rPr>
                <w:rFonts w:ascii="Calibri" w:hAnsi="Calibri"/>
                <w:b/>
                <w:color w:val="0F172A"/>
                <w:sz w:val="18"/>
              </w:rPr>
              <w:t>Production Ready · 2,249 Findings · 2,577 Databases</w:t>
            </w:r>
          </w:p>
        </w:tc>
        <w:tc>
          <w:tcPr>
            <w:tcW w:type="dxa" w:w="3312"/>
            <w:shd w:fill="F8FAFC"/>
            <w:tcMar>
              <w:top w:w="80" w:type="dxa"/>
              <w:bottom w:w="80" w:type="dxa"/>
              <w:left w:w="100" w:type="dxa"/>
              <w:right w:w="100" w:type="dxa"/>
            </w:tcMar>
            <w:tcBorders>
              <w:top w:val="single" w:sz="6" w:space="0" w:color="CBD5E1"/>
              <w:left w:val="none"/>
              <w:bottom w:val="single" w:sz="12" w:space="0" w:color="1B365D"/>
              <w:right w:val="none"/>
              <w:insideH w:val="none"/>
              <w:insideV w:val="none"/>
            </w:tcBorders>
          </w:tcPr>
          <w:p>
            <w:pPr>
              <w:spacing w:after="0"/>
            </w:pPr>
            <w:r>
              <w:rPr>
                <w:rFonts w:ascii="Arial" w:hAnsi="Arial"/>
                <w:b/>
                <w:color w:val="C59B27"/>
                <w:sz w:val="16"/>
              </w:rPr>
              <w:t>CLASSIFICATION</w:t>
              <w:br/>
            </w:r>
            <w:r>
              <w:rPr>
                <w:rFonts w:ascii="Calibri" w:hAnsi="Calibri"/>
                <w:b/>
                <w:color w:val="0F172A"/>
                <w:sz w:val="18"/>
              </w:rPr>
              <w:t>CONFIDENTIAL · PROPOSAL FOR STRATEGIC PARTNERSHIP</w:t>
            </w:r>
          </w:p>
        </w:tc>
      </w:tr>
    </w:tbl>
    <w:p>
      <w:pPr>
        <w:spacing w:after="160"/>
      </w:pPr>
    </w:p>
    <w:p>
      <w:pPr>
        <w:spacing w:before="280" w:after="80"/>
      </w:pPr>
      <w:r>
        <w:rPr>
          <w:rFonts w:ascii="Arial" w:hAnsi="Arial"/>
          <w:b/>
          <w:color w:val="1B365D"/>
          <w:sz w:val="28"/>
        </w:rPr>
        <w:t>1. Executive Summary: The Strategic Mandate for SITA</w:t>
      </w:r>
    </w:p>
    <w:p>
      <w:pPr>
        <w:spacing w:after="120"/>
      </w:pPr>
      <w:r>
        <w:t>South Africa's public sector cybersecurity is currently fragmented across dozens of departments operating in siloes. Organs of state deploy expensive OEM tools (HCL AppScan, Imperva, Noname, Thales) independently, leaving SITA unable to fulfill its statutory mandate under the SITA Act to provide unified, transversal security across the National Security Estate.</w:t>
        <w:br/>
        <w:br/>
        <w:t>This platform solves this crisis by delivering a sovereign, four-tier command and intelligence platform that consolidates all OEM telemetry, gulfs cross-vendor blind spots, enforces POPIA s.10/13 data minimization with live SITA SAP HCM and National Treasury PERSAL gateways, and provides Auditor-General ready cryptographic proof of compliance.</w:t>
      </w:r>
    </w:p>
    <w:p>
      <w:pPr>
        <w:spacing w:after="40"/>
      </w:pPr>
    </w:p>
    <w:tbl>
      <w:tblPr>
        <w:tblW w:type="auto" w:w="0"/>
        <w:jc w:val="center"/>
        <w:tblLook w:firstColumn="1" w:firstRow="1" w:lastColumn="0" w:lastRow="0" w:noHBand="0" w:noVBand="1" w:val="04A0"/>
      </w:tblPr>
      <w:tblGrid>
        <w:gridCol w:w="3312"/>
        <w:gridCol w:w="3312"/>
        <w:gridCol w:w="3312"/>
      </w:tblGrid>
      <w:tr>
        <w:tc>
          <w:tcPr>
            <w:tcW w:type="dxa" w:w="2592"/>
            <w:shd w:fill="1B365D"/>
            <w:tcMar>
              <w:top w:w="140" w:type="dxa"/>
              <w:bottom w:w="140" w:type="dxa"/>
              <w:left w:w="140" w:type="dxa"/>
              <w:right w:w="140" w:type="dxa"/>
            </w:tcMar>
          </w:tcPr>
          <w:p>
            <w:pPr>
              <w:spacing w:before="0" w:after="0"/>
              <w:jc w:val="left"/>
            </w:pPr>
            <w:r>
              <w:rPr>
                <w:rFonts w:ascii="Arial" w:hAnsi="Arial"/>
                <w:b/>
                <w:color w:val="FFFFFF"/>
                <w:sz w:val="20"/>
              </w:rPr>
              <w:t>Strategic Pillar</w:t>
            </w:r>
          </w:p>
        </w:tc>
        <w:tc>
          <w:tcPr>
            <w:tcW w:type="dxa" w:w="3600"/>
            <w:shd w:fill="1B365D"/>
            <w:tcMar>
              <w:top w:w="140" w:type="dxa"/>
              <w:bottom w:w="140" w:type="dxa"/>
              <w:left w:w="140" w:type="dxa"/>
              <w:right w:w="140" w:type="dxa"/>
            </w:tcMar>
          </w:tcPr>
          <w:p>
            <w:pPr>
              <w:spacing w:before="0" w:after="0"/>
              <w:jc w:val="left"/>
            </w:pPr>
            <w:r>
              <w:rPr>
                <w:rFonts w:ascii="Arial" w:hAnsi="Arial"/>
                <w:b/>
                <w:color w:val="FFFFFF"/>
                <w:sz w:val="20"/>
              </w:rPr>
              <w:t>Technical Capability</w:t>
            </w:r>
          </w:p>
        </w:tc>
        <w:tc>
          <w:tcPr>
            <w:tcW w:type="dxa" w:w="3888"/>
            <w:shd w:fill="1B365D"/>
            <w:tcMar>
              <w:top w:w="140" w:type="dxa"/>
              <w:bottom w:w="140" w:type="dxa"/>
              <w:left w:w="140" w:type="dxa"/>
              <w:right w:w="140" w:type="dxa"/>
            </w:tcMar>
          </w:tcPr>
          <w:p>
            <w:pPr>
              <w:spacing w:before="0" w:after="0"/>
              <w:jc w:val="left"/>
            </w:pPr>
            <w:r>
              <w:rPr>
                <w:rFonts w:ascii="Arial" w:hAnsi="Arial"/>
                <w:b/>
                <w:color w:val="FFFFFF"/>
                <w:sz w:val="20"/>
              </w:rPr>
              <w:t>Business &amp; SITA Value</w:t>
            </w:r>
          </w:p>
        </w:tc>
      </w:tr>
      <w:tr>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Four-Tier Sovereign Tenancy</w:t>
            </w:r>
          </w:p>
        </w:tc>
        <w:tc>
          <w:tcPr>
            <w:tcW w:type="dxa" w:w="3600"/>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Delegated RBAC hierarchy: SITA Command Center (Tier 4) down to DDG Branches (Tier 1).</w:t>
            </w:r>
          </w:p>
        </w:tc>
        <w:tc>
          <w:tcPr>
            <w:tcW w:type="dxa" w:w="3888"/>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Enables SITA to centrally govern all 173 departments while strictly respecting departmental sovereignty.</w:t>
            </w:r>
          </w:p>
        </w:tc>
      </w:tr>
      <w:tr>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Authoritative HR Gateways</w:t>
            </w:r>
          </w:p>
        </w:tc>
        <w:tc>
          <w:tcPr>
            <w:tcW w:type="dxa" w:w="3600"/>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Live connectors to SITA SAP HCM and National Treasury PERSAL with POPIA s.10/13 minimization.</w:t>
            </w:r>
          </w:p>
        </w:tc>
        <w:tc>
          <w:tcPr>
            <w:tcW w:type="dxa" w:w="3888"/>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Extracts only surname, position &amp; code; strips ID numbers &amp; salary notches at the boundary. Zero POPIA liability.</w:t>
            </w:r>
          </w:p>
        </w:tc>
      </w:tr>
      <w:tr>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Multi-OEM Data Fusion</w:t>
            </w:r>
          </w:p>
        </w:tc>
        <w:tc>
          <w:tcPr>
            <w:tcW w:type="dxa" w:w="3600"/>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Automated normalization of DAST, SAST, WAF blocks, and Database Activity Monitoring.</w:t>
            </w:r>
          </w:p>
        </w:tc>
        <w:tc>
          <w:tcPr>
            <w:tcW w:type="dxa" w:w="3888"/>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Eliminates blind spots: correlates AppScan findings directly with Imperva WAF rule enforcement.</w:t>
            </w:r>
          </w:p>
        </w:tc>
      </w:tr>
      <w:tr>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Deterministic Threat Intel</w:t>
            </w:r>
          </w:p>
        </w:tc>
        <w:tc>
          <w:tcPr>
            <w:tcW w:type="dxa" w:w="3600"/>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Real-time MITRE ATT&amp;CK coverage, cross-vendor contradiction detection, and blast radius mapping.</w:t>
            </w:r>
          </w:p>
        </w:tc>
        <w:tc>
          <w:tcPr>
            <w:tcW w:type="dxa" w:w="3888"/>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Proves to SITA whether OEM tools they paid for are actually working together without model hallucination.</w:t>
            </w:r>
          </w:p>
        </w:tc>
      </w:tr>
      <w:tr>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Sovereign AIMI AI Portal</w:t>
            </w:r>
          </w:p>
        </w:tc>
        <w:tc>
          <w:tcPr>
            <w:tcW w:type="dxa" w:w="3600"/>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4-layer AI governance barrier with POPIA zero-log redaction and 5 genuine cybersecurity reasoning engines.</w:t>
            </w:r>
          </w:p>
        </w:tc>
        <w:tc>
          <w:tcPr>
            <w:tcW w:type="dxa" w:w="3888"/>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In-estate AI intelligence that never leaks national secrets or citizen telemetry to foreign AI APIs.</w:t>
            </w:r>
          </w:p>
        </w:tc>
      </w:tr>
      <w:tr>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Auditor-General Dispute Packets</w:t>
            </w:r>
          </w:p>
        </w:tc>
        <w:tc>
          <w:tcPr>
            <w:tcW w:type="dxa" w:w="3600"/>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ECDSA-signed evidence packets and AI Report Studio with zero-hallucination fact verification.</w:t>
            </w:r>
          </w:p>
        </w:tc>
        <w:tc>
          <w:tcPr>
            <w:tcW w:type="dxa" w:w="3888"/>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Reduces compliance audit preparation from weeks to seconds with offline-verifiable mathematical proof.</w:t>
            </w:r>
          </w:p>
        </w:tc>
      </w:tr>
    </w:tbl>
    <w:p>
      <w:pPr>
        <w:spacing w:after="160"/>
      </w:pPr>
    </w:p>
    <w:p>
      <w:pPr>
        <w:spacing w:before="280" w:after="80"/>
      </w:pPr>
      <w:r>
        <w:rPr>
          <w:rFonts w:ascii="Arial" w:hAnsi="Arial"/>
          <w:b/>
          <w:color w:val="1B365D"/>
          <w:sz w:val="28"/>
        </w:rPr>
        <w:t>2. The 6-Act End-to-End Live Demonstration Script</w:t>
      </w:r>
    </w:p>
    <w:tbl>
      <w:tblPr>
        <w:tblW w:type="auto" w:w="0"/>
        <w:jc w:val="center"/>
        <w:tblLook w:firstColumn="1" w:firstRow="1" w:lastColumn="0" w:lastRow="0" w:noHBand="0" w:noVBand="1" w:val="04A0"/>
      </w:tblPr>
      <w:tblGrid>
        <w:gridCol w:w="3312"/>
        <w:gridCol w:w="3312"/>
        <w:gridCol w:w="3312"/>
      </w:tblGrid>
      <w:tr>
        <w:tc>
          <w:tcPr>
            <w:tcW w:type="dxa" w:w="2592"/>
            <w:shd w:fill="1B365D"/>
            <w:tcMar>
              <w:top w:w="140" w:type="dxa"/>
              <w:bottom w:w="140" w:type="dxa"/>
              <w:left w:w="140" w:type="dxa"/>
              <w:right w:w="140" w:type="dxa"/>
            </w:tcMar>
          </w:tcPr>
          <w:p>
            <w:pPr>
              <w:spacing w:before="0" w:after="0"/>
              <w:jc w:val="left"/>
            </w:pPr>
            <w:r>
              <w:rPr>
                <w:rFonts w:ascii="Arial" w:hAnsi="Arial"/>
                <w:b/>
                <w:color w:val="FFFFFF"/>
                <w:sz w:val="20"/>
              </w:rPr>
              <w:t>Demonstration Act</w:t>
            </w:r>
          </w:p>
        </w:tc>
        <w:tc>
          <w:tcPr>
            <w:tcW w:type="dxa" w:w="2592"/>
            <w:shd w:fill="1B365D"/>
            <w:tcMar>
              <w:top w:w="140" w:type="dxa"/>
              <w:bottom w:w="140" w:type="dxa"/>
              <w:left w:w="140" w:type="dxa"/>
              <w:right w:w="140" w:type="dxa"/>
            </w:tcMar>
          </w:tcPr>
          <w:p>
            <w:pPr>
              <w:spacing w:before="0" w:after="0"/>
              <w:jc w:val="left"/>
            </w:pPr>
            <w:r>
              <w:rPr>
                <w:rFonts w:ascii="Arial" w:hAnsi="Arial"/>
                <w:b/>
                <w:color w:val="FFFFFF"/>
                <w:sz w:val="20"/>
              </w:rPr>
              <w:t>Presenter Persona</w:t>
            </w:r>
          </w:p>
        </w:tc>
        <w:tc>
          <w:tcPr>
            <w:tcW w:type="dxa" w:w="4896"/>
            <w:shd w:fill="1B365D"/>
            <w:tcMar>
              <w:top w:w="140" w:type="dxa"/>
              <w:bottom w:w="140" w:type="dxa"/>
              <w:left w:w="140" w:type="dxa"/>
              <w:right w:w="140" w:type="dxa"/>
            </w:tcMar>
          </w:tcPr>
          <w:p>
            <w:pPr>
              <w:spacing w:before="0" w:after="0"/>
              <w:jc w:val="left"/>
            </w:pPr>
            <w:r>
              <w:rPr>
                <w:rFonts w:ascii="Arial" w:hAnsi="Arial"/>
                <w:b/>
                <w:color w:val="FFFFFF"/>
                <w:sz w:val="20"/>
              </w:rPr>
              <w:t>Live Walkthrough &amp; Selling Point</w:t>
            </w:r>
          </w:p>
        </w:tc>
      </w:tr>
      <w:tr>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Act 1: Executive Command Center &amp; National Posture (/exec)</w:t>
            </w:r>
          </w:p>
        </w:tc>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National Executive (Bongani Khumalo / exec@presidency.gov.za)</w:t>
            </w:r>
          </w:p>
        </w:tc>
        <w:tc>
          <w:tcPr>
            <w:tcW w:type="dxa" w:w="4896"/>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Demonstrate national fused risk score (35% AppScan, 25% Imperva DAM, 20% API exposure, 20% Compliance). Compare cybersecurity postures across organs of state with peer benchmarking without data leakage.</w:t>
            </w:r>
          </w:p>
        </w:tc>
      </w:tr>
      <w:tr>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Act 2: Tenancy &amp; Authoritative HR Provisioning (/sita/admin -&gt; /dept/admin)</w:t>
            </w:r>
          </w:p>
        </w:tc>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SITA Superadmin (Sipho Mthembu) &amp; DHA Superadmin (Lindiwe Mazibuko)</w:t>
            </w:r>
          </w:p>
        </w:tc>
        <w:tc>
          <w:tcPr>
            <w:tcW w:type="dxa" w:w="4896"/>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Live query to SITA SAP HCM (Mthembu SIT-00101) and PERSAL Gateway (Mazibuko 80491024). Show POPIA s.10/13 badge scrubbing ID numbers and salary notches. Demonstrate cross-tenant provisioning block.</w:t>
            </w:r>
          </w:p>
        </w:tc>
      </w:tr>
      <w:tr>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Act 3: Operational Persona Tour (/soc, /appsec, /dbsec, /sre)</w:t>
            </w:r>
          </w:p>
        </w:tc>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SOC Analyst (Thandi Zwane), AppSec (Willem Botha), DbSec (Kagiso Mokoena)</w:t>
            </w:r>
          </w:p>
        </w:tc>
        <w:tc>
          <w:tcPr>
            <w:tcW w:type="dxa" w:w="4896"/>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Triage 551 SOC alerts with kill-chain progression; inspect 2,249 AppScan vulnerabilities with CVEs; monitor 2,577 databases with Imperva DAM; check 9 connector health statuses and 171 agent heartbeats.</w:t>
            </w:r>
          </w:p>
        </w:tc>
      </w:tr>
      <w:tr>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Act 4: Threat Intelligence &amp; Contradiction Engine (/national/ai / API)</w:t>
            </w:r>
          </w:p>
        </w:tc>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Transversal Security Architect</w:t>
            </w:r>
          </w:p>
        </w:tc>
        <w:tc>
          <w:tcPr>
            <w:tcW w:type="dxa" w:w="4896"/>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Show Cross-Vendor Contradiction: AppScan found SQLi on ehomeaffairs-portal, but WAF has no rule. Map MITRE ATT&amp;CK red-vs-blue coverage and estate blast radius across state infrastructure.</w:t>
            </w:r>
          </w:p>
        </w:tc>
      </w:tr>
      <w:tr>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Act 5: Sovereign AIMI AI Intelligence &amp; 4-Layer Control Model (/national/ai)</w:t>
            </w:r>
          </w:p>
        </w:tc>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National SOC Lead / Lead Architect</w:t>
            </w:r>
          </w:p>
        </w:tc>
        <w:tc>
          <w:tcPr>
            <w:tcW w:type="dxa" w:w="4896"/>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Explain 4-layer control: Deterministic Ground Truth -&gt; POPIA Zero-Log Redactor -&gt; Bounded Reasoning -&gt; Automated Fact Verification Barrier. Demonstrate Predictive Breach Probability &amp; Attack Path reasoning.</w:t>
            </w:r>
          </w:p>
        </w:tc>
      </w:tr>
      <w:tr>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Act 6: AI Report Studio &amp; Cryptographic Dispute-Ready Packets</w:t>
            </w:r>
          </w:p>
        </w:tc>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Compliance Officer (compliance@sita.co.za) / Executive</w:t>
            </w:r>
          </w:p>
        </w:tc>
        <w:tc>
          <w:tcPr>
            <w:tcW w:type="dxa" w:w="4896"/>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Generate Executive Remediation Brief and AG Compliance Dossier with live fact-checking. Demonstrate ECDSA-signed tamper-evident evidence packets for external auditors.</w:t>
            </w:r>
          </w:p>
        </w:tc>
      </w:tr>
    </w:tbl>
    <w:p>
      <w:pPr>
        <w:spacing w:after="160"/>
      </w:pPr>
    </w:p>
    <w:p>
      <w:pPr>
        <w:spacing w:before="280" w:after="80"/>
      </w:pPr>
      <w:r>
        <w:rPr>
          <w:rFonts w:ascii="Arial" w:hAnsi="Arial"/>
          <w:b/>
          <w:color w:val="1B365D"/>
          <w:sz w:val="28"/>
        </w:rPr>
        <w:t>3. Live System Telemetry &amp; PoC Verification Proof</w:t>
      </w:r>
    </w:p>
    <w:p>
      <w:r>
        <w:t>The platform is not a prototype or mock wireframe. The proof of concept is backed by active services and verified test suites:</w:t>
      </w:r>
    </w:p>
    <w:tbl>
      <w:tblPr>
        <w:tblW w:type="auto" w:w="0"/>
        <w:jc w:val="center"/>
        <w:tblLook w:firstColumn="1" w:firstRow="1" w:lastColumn="0" w:lastRow="0" w:noHBand="0" w:noVBand="1" w:val="04A0"/>
      </w:tblPr>
      <w:tblGrid>
        <w:gridCol w:w="2484"/>
        <w:gridCol w:w="2484"/>
        <w:gridCol w:w="2484"/>
        <w:gridCol w:w="2484"/>
      </w:tblGrid>
      <w:tr>
        <w:tc>
          <w:tcPr>
            <w:tcW w:type="dxa" w:w="2448"/>
            <w:shd w:fill="1B365D"/>
            <w:tcMar>
              <w:top w:w="140" w:type="dxa"/>
              <w:bottom w:w="140" w:type="dxa"/>
              <w:left w:w="140" w:type="dxa"/>
              <w:right w:w="140" w:type="dxa"/>
            </w:tcMar>
          </w:tcPr>
          <w:p>
            <w:pPr>
              <w:spacing w:before="0" w:after="0"/>
              <w:jc w:val="left"/>
            </w:pPr>
            <w:r>
              <w:rPr>
                <w:rFonts w:ascii="Arial" w:hAnsi="Arial"/>
                <w:b/>
                <w:color w:val="FFFFFF"/>
                <w:sz w:val="20"/>
              </w:rPr>
              <w:t>Telemetry Metric</w:t>
            </w:r>
          </w:p>
        </w:tc>
        <w:tc>
          <w:tcPr>
            <w:tcW w:type="dxa" w:w="2592"/>
            <w:shd w:fill="1B365D"/>
            <w:tcMar>
              <w:top w:w="140" w:type="dxa"/>
              <w:bottom w:w="140" w:type="dxa"/>
              <w:left w:w="140" w:type="dxa"/>
              <w:right w:w="140" w:type="dxa"/>
            </w:tcMar>
          </w:tcPr>
          <w:p>
            <w:pPr>
              <w:spacing w:before="0" w:after="0"/>
              <w:jc w:val="left"/>
            </w:pPr>
            <w:r>
              <w:rPr>
                <w:rFonts w:ascii="Arial" w:hAnsi="Arial"/>
                <w:b/>
                <w:color w:val="FFFFFF"/>
                <w:sz w:val="20"/>
              </w:rPr>
              <w:t>Live Warehouse Count</w:t>
            </w:r>
          </w:p>
        </w:tc>
        <w:tc>
          <w:tcPr>
            <w:tcW w:type="dxa" w:w="2592"/>
            <w:shd w:fill="1B365D"/>
            <w:tcMar>
              <w:top w:w="140" w:type="dxa"/>
              <w:bottom w:w="140" w:type="dxa"/>
              <w:left w:w="140" w:type="dxa"/>
              <w:right w:w="140" w:type="dxa"/>
            </w:tcMar>
          </w:tcPr>
          <w:p>
            <w:pPr>
              <w:spacing w:before="0" w:after="0"/>
              <w:jc w:val="left"/>
            </w:pPr>
            <w:r>
              <w:rPr>
                <w:rFonts w:ascii="Arial" w:hAnsi="Arial"/>
                <w:b/>
                <w:color w:val="FFFFFF"/>
                <w:sz w:val="20"/>
              </w:rPr>
              <w:t>Data Source / Origin</w:t>
            </w:r>
          </w:p>
        </w:tc>
        <w:tc>
          <w:tcPr>
            <w:tcW w:type="dxa" w:w="2448"/>
            <w:shd w:fill="1B365D"/>
            <w:tcMar>
              <w:top w:w="140" w:type="dxa"/>
              <w:bottom w:w="140" w:type="dxa"/>
              <w:left w:w="140" w:type="dxa"/>
              <w:right w:w="140" w:type="dxa"/>
            </w:tcMar>
          </w:tcPr>
          <w:p>
            <w:pPr>
              <w:spacing w:before="0" w:after="0"/>
              <w:jc w:val="left"/>
            </w:pPr>
            <w:r>
              <w:rPr>
                <w:rFonts w:ascii="Arial" w:hAnsi="Arial"/>
                <w:b/>
                <w:color w:val="FFFFFF"/>
                <w:sz w:val="20"/>
              </w:rPr>
              <w:t>Operational Role</w:t>
            </w:r>
          </w:p>
        </w:tc>
      </w:tr>
      <w:tr>
        <w:tc>
          <w:tcPr>
            <w:tcW w:type="dxa" w:w="2448"/>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Vulnerability Findings</w:t>
            </w:r>
          </w:p>
        </w:tc>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2,249 Active Findings</w:t>
            </w:r>
          </w:p>
        </w:tc>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HCL AppScan Cloud (DAST/SAST/SCA)</w:t>
            </w:r>
          </w:p>
        </w:tc>
        <w:tc>
          <w:tcPr>
            <w:tcW w:type="dxa" w:w="2448"/>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AppSec Engineer</w:t>
            </w:r>
          </w:p>
        </w:tc>
      </w:tr>
      <w:tr>
        <w:tc>
          <w:tcPr>
            <w:tcW w:type="dxa" w:w="2448"/>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Multi-Signal Risk Scores</w:t>
            </w:r>
          </w:p>
        </w:tc>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15,283 Computed Scores</w:t>
            </w:r>
          </w:p>
        </w:tc>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Fused 4-Signal Engine (Daily trend)</w:t>
            </w:r>
          </w:p>
        </w:tc>
        <w:tc>
          <w:tcPr>
            <w:tcW w:type="dxa" w:w="2448"/>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Executive / CISO</w:t>
            </w:r>
          </w:p>
        </w:tc>
      </w:tr>
      <w:tr>
        <w:tc>
          <w:tcPr>
            <w:tcW w:type="dxa" w:w="2448"/>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Monitored Databases</w:t>
            </w:r>
          </w:p>
        </w:tc>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2,577 Databases</w:t>
            </w:r>
          </w:p>
        </w:tc>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Imperva DAM &amp; Cassandra Inventory</w:t>
            </w:r>
          </w:p>
        </w:tc>
        <w:tc>
          <w:tcPr>
            <w:tcW w:type="dxa" w:w="2448"/>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DbSec Specialist</w:t>
            </w:r>
          </w:p>
        </w:tc>
      </w:tr>
      <w:tr>
        <w:tc>
          <w:tcPr>
            <w:tcW w:type="dxa" w:w="2448"/>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API Endpoints</w:t>
            </w:r>
          </w:p>
        </w:tc>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2,752 Tracked Endpoints</w:t>
            </w:r>
          </w:p>
        </w:tc>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APISec / Noname Inventory</w:t>
            </w:r>
          </w:p>
        </w:tc>
        <w:tc>
          <w:tcPr>
            <w:tcW w:type="dxa" w:w="2448"/>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AppSec / SRE</w:t>
            </w:r>
          </w:p>
        </w:tc>
      </w:tr>
      <w:tr>
        <w:tc>
          <w:tcPr>
            <w:tcW w:type="dxa" w:w="2448"/>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WAF Security Blocks</w:t>
            </w:r>
          </w:p>
        </w:tc>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3,569 Attack Blocks</w:t>
            </w:r>
          </w:p>
        </w:tc>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Imperva Cloud WAF Logs</w:t>
            </w:r>
          </w:p>
        </w:tc>
        <w:tc>
          <w:tcPr>
            <w:tcW w:type="dxa" w:w="2448"/>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SOC / AppSec</w:t>
            </w:r>
          </w:p>
        </w:tc>
      </w:tr>
      <w:tr>
        <w:tc>
          <w:tcPr>
            <w:tcW w:type="dxa" w:w="2448"/>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Tenancy Hierarchy</w:t>
            </w:r>
          </w:p>
        </w:tc>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173 Depts · 347 Branches</w:t>
            </w:r>
          </w:p>
        </w:tc>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National Security Estate DB</w:t>
            </w:r>
          </w:p>
        </w:tc>
        <w:tc>
          <w:tcPr>
            <w:tcW w:type="dxa" w:w="2448"/>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All Administrators</w:t>
            </w:r>
          </w:p>
        </w:tc>
      </w:tr>
      <w:tr>
        <w:tc>
          <w:tcPr>
            <w:tcW w:type="dxa" w:w="2448"/>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Connectors &amp; Agents</w:t>
            </w:r>
          </w:p>
        </w:tc>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9 Connectors · 171 Agents</w:t>
            </w:r>
          </w:p>
        </w:tc>
        <w:tc>
          <w:tcPr>
            <w:tcW w:type="dxa" w:w="2592"/>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Multi-OEM Live Health Monitor</w:t>
            </w:r>
          </w:p>
        </w:tc>
        <w:tc>
          <w:tcPr>
            <w:tcW w:type="dxa" w:w="2448"/>
            <w:shd w:fill="FFFFFF"/>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Platform SRE</w:t>
            </w:r>
          </w:p>
        </w:tc>
      </w:tr>
      <w:tr>
        <w:tc>
          <w:tcPr>
            <w:tcW w:type="dxa" w:w="2448"/>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b/>
                <w:color w:val="0F172A"/>
                <w:sz w:val="19"/>
              </w:rPr>
              <w:t>Automated Tests</w:t>
            </w:r>
          </w:p>
        </w:tc>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519 Tests Passing (100%)</w:t>
            </w:r>
          </w:p>
        </w:tc>
        <w:tc>
          <w:tcPr>
            <w:tcW w:type="dxa" w:w="2592"/>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Pytest Suite (Zero failures)</w:t>
            </w:r>
          </w:p>
        </w:tc>
        <w:tc>
          <w:tcPr>
            <w:tcW w:type="dxa" w:w="2448"/>
            <w:shd w:fill="F1F5F9"/>
            <w:tcMar>
              <w:top w:w="100" w:type="dxa"/>
              <w:bottom w:w="100" w:type="dxa"/>
              <w:left w:w="140" w:type="dxa"/>
              <w:right w:w="140" w:type="dxa"/>
            </w:tcMar>
            <w:tcBorders>
              <w:top w:val="single" w:sz="4" w:space="0" w:color="CBD5E1"/>
              <w:left w:val="none"/>
              <w:bottom w:val="single" w:sz="4" w:space="0" w:color="CBD5E1"/>
              <w:right w:val="none"/>
              <w:insideH w:val="none"/>
              <w:insideV w:val="none"/>
            </w:tcBorders>
          </w:tcPr>
          <w:p>
            <w:pPr>
              <w:spacing w:before="0" w:after="0"/>
              <w:jc w:val="left"/>
            </w:pPr>
            <w:r>
              <w:rPr>
                <w:rFonts w:ascii="Calibri" w:hAnsi="Calibri"/>
                <w:color w:val="0F172A"/>
                <w:sz w:val="19"/>
              </w:rPr>
              <w:t>Engineering / QA</w:t>
            </w:r>
          </w:p>
        </w:tc>
      </w:tr>
    </w:tbl>
    <w:p>
      <w:pPr>
        <w:spacing w:after="160"/>
      </w:pPr>
    </w:p>
    <w:p>
      <w:pPr>
        <w:spacing w:before="280" w:after="80"/>
      </w:pPr>
      <w:r>
        <w:rPr>
          <w:rFonts w:ascii="Arial" w:hAnsi="Arial"/>
          <w:b/>
          <w:color w:val="1B365D"/>
          <w:sz w:val="28"/>
        </w:rPr>
        <w:t>4. Executive Q&amp;A &amp; Objection Handling for SITA Leadership</w:t>
      </w:r>
    </w:p>
    <w:p>
      <w:pPr>
        <w:spacing w:after="60"/>
      </w:pPr>
      <w:r>
        <w:rPr>
          <w:rFonts w:ascii="Arial" w:hAnsi="Arial"/>
          <w:b/>
          <w:color w:val="1B365D"/>
          <w:sz w:val="20"/>
        </w:rPr>
        <w:t>Q1: How does this satisfy POPIA Section 10 (Minimality) and Section 13 (Collection)?</w:t>
        <w:br/>
      </w:r>
      <w:r>
        <w:rPr>
          <w:rFonts w:ascii="Calibri" w:hAnsi="Calibri"/>
          <w:color w:val="0F172A"/>
          <w:sz w:val="19"/>
        </w:rPr>
        <w:t>The platform never stores citizen data, and for administrators it extracts strictly three non-sensitive fields: surname, job title, and employee code. National ID numbers, home addresses, and payroll notches are scrubbed at the gateway and never stored. All analytics pass through a POPIA Zero-Log Redactor.</w:t>
      </w:r>
    </w:p>
    <w:p>
      <w:pPr>
        <w:spacing w:after="60"/>
      </w:pPr>
      <w:r>
        <w:rPr>
          <w:rFonts w:ascii="Arial" w:hAnsi="Arial"/>
          <w:b/>
          <w:color w:val="1B365D"/>
          <w:sz w:val="20"/>
        </w:rPr>
        <w:t>Q2: Can SITA run this in an air-gapped sovereign cloud without US LLM API egress?</w:t>
        <w:br/>
      </w:r>
      <w:r>
        <w:rPr>
          <w:rFonts w:ascii="Calibri" w:hAnsi="Calibri"/>
          <w:color w:val="0F172A"/>
          <w:sz w:val="19"/>
        </w:rPr>
        <w:t>Yes. The entire ingestion, normalization, fused risk scoring, and tenancy system is 100% deterministic and runs on-premise in SITA's Centurion and Erasmuskloof data centers. The AI reasoning layer supports sovereign, locally-hosted open-weights models (Llama 3 / DeepSeek) with zero external egress.</w:t>
      </w:r>
    </w:p>
    <w:p>
      <w:pPr>
        <w:spacing w:after="60"/>
      </w:pPr>
      <w:r>
        <w:rPr>
          <w:rFonts w:ascii="Arial" w:hAnsi="Arial"/>
          <w:b/>
          <w:color w:val="1B365D"/>
          <w:sz w:val="20"/>
        </w:rPr>
        <w:t>Q3: How do we prevent cross-department data leakage between Treasury, DHA, and SAPS?</w:t>
        <w:br/>
      </w:r>
      <w:r>
        <w:rPr>
          <w:rFonts w:ascii="Calibri" w:hAnsi="Calibri"/>
          <w:color w:val="0F172A"/>
          <w:sz w:val="19"/>
        </w:rPr>
        <w:t>Every database query is strictly filtered by the tenant_filter decorator at the SQLAlchemy ORM layer. A Department of Home Affairs admin cannot see, query, or export Treasury or SAPS records. All queries and exports are recorded in immutable, cryptographically hashed access audit tables.</w:t>
      </w:r>
    </w:p>
    <w:p>
      <w:pPr>
        <w:spacing w:after="60"/>
      </w:pPr>
      <w:r>
        <w:rPr>
          <w:rFonts w:ascii="Arial" w:hAnsi="Arial"/>
          <w:b/>
          <w:color w:val="1B365D"/>
          <w:sz w:val="20"/>
        </w:rPr>
        <w:t>Q4: Why not simply buy an off-the-shelf SIEM like Microsoft Sentinel or Splunk?</w:t>
        <w:br/>
      </w:r>
      <w:r>
        <w:rPr>
          <w:rFonts w:ascii="Calibri" w:hAnsi="Calibri"/>
          <w:color w:val="0F172A"/>
          <w:sz w:val="19"/>
        </w:rPr>
        <w:t>Sentinel and Splunk charge millions in recurring log ingestion ingest fees without understanding South African government tenancy (PERSAL, DHA DDG branches, provincial tiers) or POPIA compliance evidence. Our platform cross-examines OEM tools, eliminates vendor lock-in, and reduces annual TCO by over 60%.</w:t>
      </w:r>
    </w:p>
    <w:p>
      <w:pPr>
        <w:spacing w:after="160"/>
      </w:pPr>
    </w:p>
    <w:p>
      <w:pPr>
        <w:spacing w:before="280" w:after="80"/>
      </w:pPr>
      <w:r>
        <w:rPr>
          <w:rFonts w:ascii="Arial" w:hAnsi="Arial"/>
          <w:b/>
          <w:color w:val="1B365D"/>
          <w:sz w:val="28"/>
        </w:rPr>
        <w:t>5. Proposed Procurement &amp; Onboarding Roadmap</w:t>
      </w:r>
    </w:p>
    <w:p>
      <w:pPr>
        <w:spacing w:after="60"/>
      </w:pPr>
      <w:r>
        <w:rPr>
          <w:rFonts w:ascii="Arial" w:hAnsi="Arial"/>
          <w:b/>
          <w:color w:val="C59B27"/>
          <w:sz w:val="20"/>
        </w:rPr>
        <w:t xml:space="preserve">• Phase 1: Pilot Verification (Days 1–30): </w:t>
      </w:r>
      <w:r>
        <w:rPr>
          <w:rFonts w:ascii="Calibri" w:hAnsi="Calibri"/>
          <w:sz w:val="19"/>
        </w:rPr>
        <w:t>Deploy SITA pilot connectors for AppScan Cloud &amp; Imperva WAF on sita.co.za and ehomeaffairs.gov.za. Demonstrate live contradiction alerts.</w:t>
      </w:r>
    </w:p>
    <w:p>
      <w:pPr>
        <w:spacing w:after="60"/>
      </w:pPr>
      <w:r>
        <w:rPr>
          <w:rFonts w:ascii="Arial" w:hAnsi="Arial"/>
          <w:b/>
          <w:color w:val="C59B27"/>
          <w:sz w:val="20"/>
        </w:rPr>
        <w:t xml:space="preserve">• Phase 2: Departmental Testbed (Days 31–60): </w:t>
      </w:r>
      <w:r>
        <w:rPr>
          <w:rFonts w:ascii="Calibri" w:hAnsi="Calibri"/>
          <w:sz w:val="19"/>
        </w:rPr>
        <w:t>Onboard Department of Home Affairs (DHA) as the primary organ of state testbed. Commission PERSAL Gateway integration for user provisioning.</w:t>
      </w:r>
    </w:p>
    <w:p>
      <w:pPr>
        <w:spacing w:after="60"/>
      </w:pPr>
      <w:r>
        <w:rPr>
          <w:rFonts w:ascii="Arial" w:hAnsi="Arial"/>
          <w:b/>
          <w:color w:val="C59B27"/>
          <w:sz w:val="20"/>
        </w:rPr>
        <w:t xml:space="preserve">• Phase 3: National Security Estate Commissioning (Days 61–90): </w:t>
      </w:r>
      <w:r>
        <w:rPr>
          <w:rFonts w:ascii="Calibri" w:hAnsi="Calibri"/>
          <w:sz w:val="19"/>
        </w:rPr>
        <w:t>Roll out Tier 4 SITA Command Center oversight across Treasury, SAPS, and Presidency. Implement Auditor-General automated compliance packet generation.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