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SITA Consolidated Security Reporting</w:t>
      </w:r>
    </w:p>
    <w:p>
      <w:pPr>
        <w:spacing w:after="200"/>
      </w:pPr>
      <w:r>
        <w:rPr>
          <w:color w:val="595959"/>
          <w:sz w:val="26"/>
        </w:rPr>
        <w:t>One national security picture. Four vendor consoles. One login.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Platform authority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SITA National Security Command Center (Tier 4)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Designated pilot</w:t>
            </w:r>
          </w:p>
        </w:tc>
        <w:tc>
          <w:tcPr>
            <w:tcW w:type="dxa" w:w="4968"/>
          </w:tcPr>
          <w:p>
            <w:r>
              <w:t>Department of Home Affairs — 8 DDG operational branches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68"/>
          </w:tcPr>
          <w:p>
            <w:r>
              <w:t>Operational end-to-end · 166/166 automated tests passing</w:t>
            </w:r>
          </w:p>
        </w:tc>
      </w:tr>
    </w:tbl>
    <w:p>
      <w:pPr>
        <w:spacing w:after="40"/>
      </w:pPr>
    </w:p>
    <w:p>
      <w:pPr>
        <w:spacing w:after="40"/>
        <w:pBdr>
          <w:bottom w:val="single" w:sz="6" w:color="BFBFBF"/>
        </w:pBdr>
      </w:pPr>
    </w:p>
    <w:p>
      <w:pPr>
        <w:pStyle w:val="Heading2"/>
      </w:pPr>
      <w:r>
        <w:t>The problem: a reconciliation shortage, not a signal shortage</w:t>
      </w:r>
    </w:p>
    <w:p>
      <w:r>
        <w:t xml:space="preserve">Government security teams are not short of data. They are short of </w:t>
      </w:r>
      <w:r>
        <w:rPr>
          <w:b/>
        </w:rPr>
        <w:t>reconciliation</w:t>
      </w:r>
      <w:r>
        <w:t>.</w:t>
      </w:r>
    </w:p>
    <w:p>
      <w:r>
        <w:t>Application security, database security, the WAF and API exposure each report into a separate console — separate logins, separate severity vocabularies, separate opinions on the same incident. Before every executive briefing, somebody manually stitches those views together.</w:t>
      </w:r>
    </w:p>
    <w:p>
      <w:r>
        <w:t>That manual step is the single point of failure in the current process. It is slow, unauditable, and impossible to repeat twice the same way.</w:t>
      </w:r>
    </w:p>
    <w:p>
      <w:r>
        <w:rPr>
          <w:b/>
        </w:rPr>
        <w:t>This platform replaces it with an automated, continuously recomputed, fully auditable posture number.</w:t>
      </w:r>
    </w:p>
    <w:p>
      <w:pPr>
        <w:pStyle w:val="Heading2"/>
      </w:pPr>
      <w:r>
        <w:t>What we have built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4968"/>
          </w:tcPr>
          <w:p>
            <w:r>
              <w:rPr>
                <w:b/>
              </w:rPr>
              <w:t>Proof point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Multi-source ingestion</w:t>
            </w:r>
          </w:p>
        </w:tc>
        <w:tc>
          <w:tcPr>
            <w:tcW w:type="dxa" w:w="4968"/>
          </w:tcPr>
          <w:p>
            <w:r>
              <w:t>Five security and compliance sources normalised into one schema — AppScan, Imperva DAM, Imperva WAF, API Security, Thales DAM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One fused risk score</w:t>
            </w:r>
          </w:p>
        </w:tc>
        <w:tc>
          <w:tcPr>
            <w:tcW w:type="dxa" w:w="4968"/>
          </w:tcPr>
          <w:p>
            <w:r>
              <w:t>15,283 weighted 0–100 scores per application, recomputed every 5 minutes, with every component weight visible and exportable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Estate-wide visibility</w:t>
            </w:r>
          </w:p>
        </w:tc>
        <w:tc>
          <w:tcPr>
            <w:tcW w:type="dxa" w:w="4968"/>
          </w:tcPr>
          <w:p>
            <w:r>
              <w:t>2,244 findings (405 critical, 530 high) across 389 applications, 2,577 databases, 2,752 API endpoints and 3,569 WAF blocks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Four-tier delegated tenancy</w:t>
            </w:r>
          </w:p>
        </w:tc>
        <w:tc>
          <w:tcPr>
            <w:tcW w:type="dxa" w:w="4968"/>
          </w:tcPr>
          <w:p>
            <w:r>
              <w:t>173 national departments · 9 provinces · 347 branches · 32 ministries · 113 provincial departments — with enforced row-level isolation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Branch-level depth</w:t>
            </w:r>
          </w:p>
        </w:tc>
        <w:tc>
          <w:tcPr>
            <w:tcW w:type="dxa" w:w="4968"/>
          </w:tcPr>
          <w:p>
            <w:r>
              <w:t>Subtree isolation proven to the individual branch, not just the department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Auditor-General ready</w:t>
            </w:r>
          </w:p>
        </w:tc>
        <w:tc>
          <w:tcPr>
            <w:tcW w:type="dxa" w:w="4968"/>
          </w:tcPr>
          <w:p>
            <w:r>
              <w:t>Aggregation-only compliance export bound to a SHA-256 integrity hash, written to an immutable audit trail and independently verifiable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Continuous compliance</w:t>
            </w:r>
          </w:p>
        </w:tc>
        <w:tc>
          <w:tcPr>
            <w:tcW w:type="dxa" w:w="4968"/>
          </w:tcPr>
          <w:p>
            <w:r>
              <w:t>228 tracked gaps, with 228 daily posture snapshots each for POPIA and ISO 27001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Operational alerting</w:t>
            </w:r>
          </w:p>
        </w:tc>
        <w:tc>
          <w:tcPr>
            <w:tcW w:type="dxa" w:w="4968"/>
          </w:tcPr>
          <w:p>
            <w:r>
              <w:t>551 severity-gated alerts routed to email, Teams and PagerDuty with app ownership attached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Pipeline resilience</w:t>
            </w:r>
          </w:p>
        </w:tc>
        <w:tc>
          <w:tcPr>
            <w:tcW w:type="dxa" w:w="4968"/>
          </w:tcPr>
          <w:p>
            <w:r>
              <w:t>Circuit breakers, rate limiting, retry-with-backoff and a dead-letter queue — 8/8 connectors healthy, queue empty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Assurance</w:t>
            </w:r>
          </w:p>
        </w:tc>
        <w:tc>
          <w:tcPr>
            <w:tcW w:type="dxa" w:w="4968"/>
          </w:tcPr>
          <w:p>
            <w:r>
              <w:t>166 automated tests green, including 84 dedicated tenancy-isolation tests</w:t>
            </w:r>
          </w:p>
        </w:tc>
      </w:tr>
    </w:tbl>
    <w:p>
      <w:pPr>
        <w:spacing w:after="40"/>
      </w:pPr>
    </w:p>
    <w:p>
      <w:pPr>
        <w:pStyle w:val="Heading2"/>
      </w:pPr>
      <w:r>
        <w:t>Why an executive can rely on it</w:t>
      </w:r>
    </w:p>
    <w:p>
      <w:pPr>
        <w:pStyle w:val="ListBullet"/>
      </w:pPr>
      <w:r>
        <w:rPr>
          <w:b/>
        </w:rPr>
        <w:t>Nothing is hardcoded in the reporting layer.</w:t>
      </w:r>
      <w:r>
        <w:t xml:space="preserve"> Every figure on every dashboard is read from PostgreSQL through a typed API. The interface cannot silently disagree with the warehouse.</w:t>
      </w:r>
    </w:p>
    <w:p>
      <w:pPr>
        <w:pStyle w:val="ListBullet"/>
      </w:pPr>
      <w:r>
        <w:rPr>
          <w:b/>
        </w:rPr>
        <w:t>The scoring is explainable, not a black box.</w:t>
      </w:r>
      <w:r>
        <w:t xml:space="preserve"> Four published weights — AppScan 35%, Imperva 25%, API exposure 20%, compliance 20%. Anyone can answer *"why did this score move?"*</w:t>
      </w:r>
    </w:p>
    <w:p>
      <w:pPr>
        <w:pStyle w:val="ListBullet"/>
      </w:pPr>
      <w:r>
        <w:rPr>
          <w:b/>
        </w:rPr>
        <w:t>Least privilege by default.</w:t>
      </w:r>
      <w:r>
        <w:t xml:space="preserve"> Broad access is requested and logged, never assumed — down to department, branch or province.</w:t>
      </w:r>
    </w:p>
    <w:p>
      <w:pPr>
        <w:pStyle w:val="ListBullet"/>
      </w:pPr>
      <w:r>
        <w:rPr>
          <w:b/>
        </w:rPr>
        <w:t>The scope boundary is provable, not asserted.</w:t>
      </w:r>
      <w:r>
        <w:t xml:space="preserve"> Tenant isolation is enforced at query time and covered by 84 dedicated tests.</w:t>
      </w:r>
    </w:p>
    <w:p>
      <w:pPr>
        <w:pStyle w:val="Heading2"/>
      </w:pPr>
      <w:r>
        <w:t>Why it wins</w:t>
      </w:r>
    </w:p>
    <w:p>
      <w:r>
        <w:t xml:space="preserve">Consolidating vendor consoles is not the differentiator — every tool claims it. The differentiators here are </w:t>
      </w:r>
      <w:r>
        <w:rPr>
          <w:b/>
        </w:rPr>
        <w:t>fused scoring</w:t>
      </w:r>
      <w:r>
        <w:t xml:space="preserve">, </w:t>
      </w:r>
      <w:r>
        <w:rPr>
          <w:b/>
        </w:rPr>
        <w:t>four-tier delegated tenancy across the public estate</w:t>
      </w:r>
      <w:r>
        <w:t xml:space="preserve">, and </w:t>
      </w:r>
      <w:r>
        <w:rPr>
          <w:b/>
        </w:rPr>
        <w:t>cryptographically verifiable reporting</w:t>
      </w:r>
      <w:r>
        <w:t>. Together they let a national authority see the whole posture, a department see only its own, and an auditor verify what was reported.</w:t>
      </w:r>
    </w:p>
    <w:p>
      <w:pPr>
        <w:spacing w:after="40"/>
        <w:pBdr>
          <w:bottom w:val="single" w:sz="6" w:color="BFBFBF"/>
        </w:pBdr>
      </w:pPr>
    </w:p>
    <w:p>
      <w:r>
        <w:rPr>
          <w:b/>
        </w:rPr>
        <w:t>Bottom line:</w:t>
      </w:r>
      <w:r>
        <w:t xml:space="preserve"> the hard engineering — multi-tenancy, isolation, score fusion, auditability — is built, integrated and tested. What remains is credential cutover. The platform is ready to demonstrate today and ready to run as a governed national capability the moment live credentials land.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SITA Consolidated Security Reporting · Proof of Concept · 30 September 2026 · Internal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