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90" w:line="380"/>
      </w:pPr>
      <w:r>
        <w:rPr>
          <w:rFonts w:ascii="Microsoft YaHei" w:cs="Microsoft YaHei" w:eastAsia="Microsoft YaHei" w:hAnsi="Microsoft YaHei"/>
          <w:b/>
          <w:bCs/>
          <w:color w:val="233541"/>
          <w:sz w:val="34"/>
          <w:szCs w:val="34"/>
        </w:rPr>
        <w:t xml:space="preserve">材料三乙　报告怎样说明审查理由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原报告接着写道：“我们”指报告者全国人大常委会法工委。</w:t>
      </w:r>
    </w:p>
    <w:p>
      <w:pPr>
        <w:widowControl/>
        <w:shd w:fill="F2F5F3" w:val="clear"/>
        <w:spacing w:after="100" w:line="320"/>
        <w:ind w:left="180" w:right="15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我们审查认为，地方性法规对某些特种行业设定较为严格的从业资格条件，对维护公共安全有积极作用，但在法律、行政法规没有规定从业限制的领域，地方性法规作出相关从业限制规定时，不宜规定“终身禁止”，建议制定机关调整完善相关规定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口头讨论：下面哪句话得到报告支持？请指出原文依据。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甲：只要规定有助于公共安全，就可以不加限制地设置任何禁业条件。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乙：公共安全目的与限制措施的具体设定，应当分别说明理由。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请再找出审查理由所限定的上位法条件，将关键词填回案例四格卡。</w:t>
      </w:r>
    </w:p>
    <w:p>
      <w:pPr>
        <w:pStyle w:val="Heading2"/>
        <w:keepNext/>
        <w:widowControl/>
        <w:spacing w:after="90" w:before="110" w:line="320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教师提示后的拓展思考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宪法第42条规定公民有劳动的权利和义务。口头说明：把本案与劳动权联系起来，有助于提出哪些分析问题？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这个联系属于：□ 本段报告明文作出的认定　□ 课堂结合宪法进行的分析</w:t>
      </w:r>
    </w:p>
    <w:p>
      <w:pPr>
        <w:widowControl/>
        <w:spacing w:after="80" w:line="29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1"/>
          <w:szCs w:val="21"/>
        </w:rPr>
        <w:t xml:space="preserve">阅读提示：案例甲、乙是报告节录。教师的关联分析应与报告的原有理由区分。</w:t>
      </w:r>
    </w:p>
    <w:sectPr>
      <w:footerReference w:type="default" r:id="rId7"/>
      <w:pgSz w:w="11906" w:h="16838" w:orient="portrait"/>
      <w:pgMar w:top="900" w:right="1240" w:bottom="9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宪法学 · 第八讲　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33541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材料三乙　报告怎样说明审查理由</dc:title>
  <dc:creator>宪法学课程教学组</dc:creator>
  <cp:lastModifiedBy>Un-named</cp:lastModifiedBy>
  <cp:revision>1</cp:revision>
  <dcterms:created xsi:type="dcterms:W3CDTF">2026-09-26T16:31:22.429Z</dcterms:created>
  <dcterms:modified xsi:type="dcterms:W3CDTF">2026-09-26T16:31:22.429Z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