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90" w:line="380"/>
      </w:pPr>
      <w:r>
        <w:rPr>
          <w:rFonts w:ascii="Microsoft YaHei" w:cs="Microsoft YaHei" w:eastAsia="Microsoft YaHei" w:hAnsi="Microsoft YaHei"/>
          <w:b/>
          <w:bCs/>
          <w:color w:val="233541"/>
          <w:sz w:val="34"/>
          <w:szCs w:val="34"/>
        </w:rPr>
        <w:t xml:space="preserve">第八讲　教师讲评与参考答案</w:t>
      </w:r>
    </w:p>
    <w:p>
      <w:pPr>
        <w:widowControl/>
        <w:spacing w:after="80" w:line="290"/>
      </w:pPr>
      <w:r>
        <w:rPr>
          <w:rFonts w:ascii="Microsoft YaHei" w:cs="Microsoft YaHei" w:eastAsia="Microsoft YaHei" w:hAnsi="Microsoft YaHei"/>
          <w:b w:val="false"/>
          <w:bCs w:val="false"/>
          <w:color w:val="233541"/>
          <w:sz w:val="21"/>
          <w:szCs w:val="21"/>
        </w:rPr>
        <w:t xml:space="preserve">与《第8讲教学设计》《学生课堂材料》配套。以下答案给出可以肯定的判断及其依据；学生表达不必逐字一致。课堂反馈看定位、理由和结论，不把术语数量当理解程度。</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一、任务一A：通过立法实施宪法</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参考答案</w:t>
      </w:r>
    </w:p>
    <w:p>
      <w:pPr>
        <w:widowControl/>
        <w:spacing w:after="80" w:line="290"/>
      </w:pPr>
      <w:r>
        <w:rPr>
          <w:rFonts w:ascii="Microsoft YaHei" w:cs="Microsoft YaHei" w:eastAsia="Microsoft YaHei" w:hAnsi="Microsoft YaHei"/>
          <w:b w:val="false"/>
          <w:bCs w:val="false"/>
          <w:color w:val="233541"/>
          <w:sz w:val="21"/>
          <w:szCs w:val="21"/>
        </w:rPr>
        <w:t xml:space="preserve">宪法第46条确认公民受教育的权利和义务。《教育法》第1条表明该法根据宪法制定，第9条除确认受教育权利义务外，还规定不同民族、种族、性别、职业、财产状况、宗教信仰等公民依法享有平等受教育机会。因此可以说，立法把宪法的权利要求在教育领域作进一步落实和展开。</w:t>
      </w:r>
    </w:p>
    <w:p>
      <w:pPr>
        <w:widowControl/>
        <w:spacing w:after="80" w:line="290"/>
      </w:pPr>
      <w:r>
        <w:rPr>
          <w:rFonts w:ascii="Microsoft YaHei" w:cs="Microsoft YaHei" w:eastAsia="Microsoft YaHei" w:hAnsi="Microsoft YaHei"/>
          <w:b w:val="false"/>
          <w:bCs w:val="false"/>
          <w:color w:val="233541"/>
          <w:sz w:val="21"/>
          <w:szCs w:val="21"/>
        </w:rPr>
        <w:t xml:space="preserve">“教育法制定之前宪法没有效力”不成立。宪法序言末段和第5条已经确立最高法律效力和遵守义务。另一方面，仅凭三段条文也不能证明某个学校的每一项招生安排都合法，具体行为仍须核对事实和适用规范。</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讲评追问</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学生只答“教育法根据宪法制定”：追问第9条比“根据宪法”这个起首句多说明了什么。</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学生把实施等同纠错：请其指出这个例子在没有争议发生时也已包含哪项制度落实。</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学生说“宪法必须通过普通法才有用”：让其回看宪法自身的最高效力，并区分效力与具体实现方式。</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二、任务一B：职责配对</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100"/>
        <w:gridCol w:w="3650"/>
        <w:gridCol w:w="3676"/>
      </w:tblGrid>
      <w:tr>
        <w:trPr>
          <w:cantSplit/>
          <w:tblHeader/>
        </w:trPr>
        <w:tc>
          <w:tcPr>
            <w:tcW w:type="dxa" w:w="2100"/>
            <w:tcBorders>
              <w:top w:val="single" w:color="CBD3D6" w:sz="4"/>
              <w:left w:val="single" w:color="CBD3D6" w:sz="4"/>
              <w:bottom w:val="single" w:color="CBD3D6" w:sz="4"/>
              <w:right w:val="single" w:color="CBD3D6" w:sz="4"/>
            </w:tcBorders>
            <w:shd w:fill="E9EEEC" w:val="clear"/>
            <w:tcMar>
              <w:top w:type="dxa" w:w="90"/>
              <w:left w:type="dxa" w:w="110"/>
              <w:bottom w:type="dxa" w:w="90"/>
              <w:right w:type="dxa" w:w="110"/>
            </w:tcMar>
          </w:tcPr>
          <w:p>
            <w:pPr>
              <w:keepNext/>
              <w:widowControl/>
              <w:spacing w:after="25" w:line="280"/>
            </w:pPr>
            <w:r>
              <w:rPr>
                <w:rFonts w:ascii="Microsoft YaHei" w:cs="Microsoft YaHei" w:eastAsia="Microsoft YaHei" w:hAnsi="Microsoft YaHei"/>
                <w:b/>
                <w:bCs/>
                <w:color w:val="233541"/>
                <w:sz w:val="20"/>
                <w:szCs w:val="20"/>
              </w:rPr>
              <w:t xml:space="preserve">任务</w:t>
            </w:r>
          </w:p>
        </w:tc>
        <w:tc>
          <w:tcPr>
            <w:tcW w:type="dxa" w:w="3650"/>
            <w:tcBorders>
              <w:top w:val="single" w:color="CBD3D6" w:sz="4"/>
              <w:left w:val="single" w:color="CBD3D6" w:sz="4"/>
              <w:bottom w:val="single" w:color="CBD3D6" w:sz="4"/>
              <w:right w:val="single" w:color="CBD3D6" w:sz="4"/>
            </w:tcBorders>
            <w:shd w:fill="E9EEEC" w:val="clear"/>
            <w:tcMar>
              <w:top w:type="dxa" w:w="90"/>
              <w:left w:type="dxa" w:w="110"/>
              <w:bottom w:type="dxa" w:w="90"/>
              <w:right w:type="dxa" w:w="110"/>
            </w:tcMar>
          </w:tcPr>
          <w:p>
            <w:pPr>
              <w:keepNext/>
              <w:widowControl/>
              <w:spacing w:after="25" w:line="280"/>
            </w:pPr>
            <w:r>
              <w:rPr>
                <w:rFonts w:ascii="Microsoft YaHei" w:cs="Microsoft YaHei" w:eastAsia="Microsoft YaHei" w:hAnsi="Microsoft YaHei"/>
                <w:b/>
                <w:bCs/>
                <w:color w:val="233541"/>
                <w:sz w:val="20"/>
                <w:szCs w:val="20"/>
              </w:rPr>
              <w:t xml:space="preserve">参考主体与依据</w:t>
            </w:r>
          </w:p>
        </w:tc>
        <w:tc>
          <w:tcPr>
            <w:tcW w:type="dxa" w:w="3676"/>
            <w:tcBorders>
              <w:top w:val="single" w:color="CBD3D6" w:sz="4"/>
              <w:left w:val="single" w:color="CBD3D6" w:sz="4"/>
              <w:bottom w:val="single" w:color="CBD3D6" w:sz="4"/>
              <w:right w:val="single" w:color="CBD3D6" w:sz="4"/>
            </w:tcBorders>
            <w:shd w:fill="E9EEEC" w:val="clear"/>
            <w:tcMar>
              <w:top w:type="dxa" w:w="90"/>
              <w:left w:type="dxa" w:w="110"/>
              <w:bottom w:type="dxa" w:w="90"/>
              <w:right w:type="dxa" w:w="110"/>
            </w:tcMar>
          </w:tcPr>
          <w:p>
            <w:pPr>
              <w:keepNext/>
              <w:widowControl/>
              <w:spacing w:after="25" w:line="280"/>
            </w:pPr>
            <w:r>
              <w:rPr>
                <w:rFonts w:ascii="Microsoft YaHei" w:cs="Microsoft YaHei" w:eastAsia="Microsoft YaHei" w:hAnsi="Microsoft YaHei"/>
                <w:b/>
                <w:bCs/>
                <w:color w:val="233541"/>
                <w:sz w:val="20"/>
                <w:szCs w:val="20"/>
              </w:rPr>
              <w:t xml:space="preserve">讲评重点</w:t>
            </w:r>
          </w:p>
        </w:tc>
      </w:tr>
      <w:tr>
        <w:trPr>
          <w:cantSplit/>
          <w:tblHeader w:val="false"/>
        </w:trPr>
        <w:tc>
          <w:tcPr>
            <w:tcW w:type="dxa" w:w="210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修改宪法文本</w:t>
            </w:r>
          </w:p>
        </w:tc>
        <w:tc>
          <w:tcPr>
            <w:tcW w:type="dxa" w:w="36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全国人大；宪法62条第1项、64条。</w:t>
            </w:r>
          </w:p>
        </w:tc>
        <w:tc>
          <w:tcPr>
            <w:tcW w:type="dxa" w:w="36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与第二讲修宪程序衔接，其他主体提出建议或提议不等于完成修改。</w:t>
            </w:r>
          </w:p>
        </w:tc>
      </w:tr>
      <w:tr>
        <w:trPr>
          <w:cantSplit/>
          <w:tblHeader w:val="false"/>
        </w:trPr>
        <w:tc>
          <w:tcPr>
            <w:tcW w:type="dxa" w:w="210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正式行使宪法解释职权</w:t>
            </w:r>
          </w:p>
        </w:tc>
        <w:tc>
          <w:tcPr>
            <w:tcW w:type="dxa" w:w="36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全国人大常委会；宪法67条第1项。</w:t>
            </w:r>
          </w:p>
        </w:tc>
        <w:tc>
          <w:tcPr>
            <w:tcW w:type="dxa" w:w="36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教师学理分析、工作机构研究意见不能直接改称正式宪法解释。</w:t>
            </w:r>
          </w:p>
        </w:tc>
      </w:tr>
      <w:tr>
        <w:trPr>
          <w:cantSplit/>
          <w:tblHeader w:val="false"/>
        </w:trPr>
        <w:tc>
          <w:tcPr>
            <w:tcW w:type="dxa" w:w="210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监督宪法实施</w:t>
            </w:r>
          </w:p>
        </w:tc>
        <w:tc>
          <w:tcPr>
            <w:tcW w:type="dxa" w:w="36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全国人大与全国人大常委会；宪法62条第2项、67条第1项。</w:t>
            </w:r>
          </w:p>
        </w:tc>
        <w:tc>
          <w:tcPr>
            <w:tcW w:type="dxa" w:w="36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两个主体均需写出，避免只记常委会。</w:t>
            </w:r>
          </w:p>
        </w:tc>
      </w:tr>
      <w:tr>
        <w:trPr>
          <w:cantSplit/>
          <w:tblHeader w:val="false"/>
        </w:trPr>
        <w:tc>
          <w:tcPr>
            <w:tcW w:type="dxa" w:w="210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承担推动实施、开展解释等工作</w:t>
            </w:r>
          </w:p>
        </w:tc>
        <w:tc>
          <w:tcPr>
            <w:tcW w:type="dxa" w:w="36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宪法和法律委员会；全国人大组织法39条。</w:t>
            </w:r>
          </w:p>
        </w:tc>
        <w:tc>
          <w:tcPr>
            <w:tcW w:type="dxa" w:w="36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依法承担工作与拥有常委会最终职权是两回事。</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补充说明：本案报告中的“我们”是报告者全国人大常委会法工委，报告写明审查理由和调整建议。后文只说“经沟通”，未明示具体沟通者。不能因报告用了“审查认为”就把其表述当作常委会正式宣告违宪或撤销规范的决定。</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三、任务二：主案例四格卡</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50"/>
        <w:gridCol w:w="6976"/>
      </w:tblGrid>
      <w:tr>
        <w:trPr>
          <w:cantSplit/>
          <w:tblHeader/>
        </w:trPr>
        <w:tc>
          <w:tcPr>
            <w:tcW w:type="dxa" w:w="2450"/>
            <w:tcBorders>
              <w:top w:val="single" w:color="CBD3D6" w:sz="4"/>
              <w:left w:val="single" w:color="CBD3D6" w:sz="4"/>
              <w:bottom w:val="single" w:color="CBD3D6" w:sz="4"/>
              <w:right w:val="single" w:color="CBD3D6" w:sz="4"/>
            </w:tcBorders>
            <w:shd w:fill="E9EEEC" w:val="clear"/>
            <w:tcMar>
              <w:top w:type="dxa" w:w="90"/>
              <w:left w:type="dxa" w:w="110"/>
              <w:bottom w:type="dxa" w:w="90"/>
              <w:right w:type="dxa" w:w="110"/>
            </w:tcMar>
          </w:tcPr>
          <w:p>
            <w:pPr>
              <w:keepNext/>
              <w:widowControl/>
              <w:spacing w:after="25" w:line="280"/>
            </w:pPr>
            <w:r>
              <w:rPr>
                <w:rFonts w:ascii="Microsoft YaHei" w:cs="Microsoft YaHei" w:eastAsia="Microsoft YaHei" w:hAnsi="Microsoft YaHei"/>
                <w:b/>
                <w:bCs/>
                <w:color w:val="233541"/>
                <w:sz w:val="20"/>
                <w:szCs w:val="20"/>
              </w:rPr>
              <w:t xml:space="preserve">格子</w:t>
            </w:r>
          </w:p>
        </w:tc>
        <w:tc>
          <w:tcPr>
            <w:tcW w:type="dxa" w:w="6976"/>
            <w:tcBorders>
              <w:top w:val="single" w:color="CBD3D6" w:sz="4"/>
              <w:left w:val="single" w:color="CBD3D6" w:sz="4"/>
              <w:bottom w:val="single" w:color="CBD3D6" w:sz="4"/>
              <w:right w:val="single" w:color="CBD3D6" w:sz="4"/>
            </w:tcBorders>
            <w:shd w:fill="E9EEEC" w:val="clear"/>
            <w:tcMar>
              <w:top w:type="dxa" w:w="90"/>
              <w:left w:type="dxa" w:w="110"/>
              <w:bottom w:type="dxa" w:w="90"/>
              <w:right w:type="dxa" w:w="110"/>
            </w:tcMar>
          </w:tcPr>
          <w:p>
            <w:pPr>
              <w:keepNext/>
              <w:widowControl/>
              <w:spacing w:after="25" w:line="280"/>
            </w:pPr>
            <w:r>
              <w:rPr>
                <w:rFonts w:ascii="Microsoft YaHei" w:cs="Microsoft YaHei" w:eastAsia="Microsoft YaHei" w:hAnsi="Microsoft YaHei"/>
                <w:b/>
                <w:bCs/>
                <w:color w:val="233541"/>
                <w:sz w:val="20"/>
                <w:szCs w:val="20"/>
              </w:rPr>
              <w:t xml:space="preserve">参考答案</w:t>
            </w:r>
          </w:p>
        </w:tc>
      </w:tr>
      <w:tr>
        <w:trPr>
          <w:cantSplit/>
          <w:tblHeader w:val="false"/>
        </w:trPr>
        <w:tc>
          <w:tcPr>
            <w:tcW w:type="dxa" w:w="24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规范类型与内容</w:t>
            </w:r>
          </w:p>
        </w:tc>
        <w:tc>
          <w:tcPr>
            <w:tcW w:type="dxa" w:w="69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地方性法规中的规定；对利用行业便利违法且受行政或刑事处罚的有关特种行业人员设置终身禁业。报告未公布法规名称和地区。</w:t>
            </w:r>
          </w:p>
        </w:tc>
      </w:tr>
      <w:tr>
        <w:trPr>
          <w:cantSplit/>
          <w:tblHeader w:val="false"/>
        </w:trPr>
        <w:tc>
          <w:tcPr>
            <w:tcW w:type="dxa" w:w="24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主要审查理由</w:t>
            </w:r>
          </w:p>
        </w:tc>
        <w:tc>
          <w:tcPr>
            <w:tcW w:type="dxa" w:w="69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较严格从业条件可能有公共安全作用；但在法律、行政法规没有规定从业限制的领域，地方性法规不宜规定终身禁止。应保留这个限定条件。</w:t>
            </w:r>
          </w:p>
        </w:tc>
      </w:tr>
      <w:tr>
        <w:trPr>
          <w:cantSplit/>
          <w:tblHeader w:val="false"/>
        </w:trPr>
        <w:tc>
          <w:tcPr>
            <w:tcW w:type="dxa" w:w="24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哪个机关做了什么</w:t>
            </w:r>
          </w:p>
        </w:tc>
        <w:tc>
          <w:tcPr>
            <w:tcW w:type="dxa" w:w="69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有公民提出建议；全国人大常委会法工委在报告中提出调整意见；报告记载经沟通，制定机关修改调整。具体沟通者未明示，不能补写。</w:t>
            </w:r>
          </w:p>
        </w:tc>
      </w:tr>
      <w:tr>
        <w:trPr>
          <w:cantSplit/>
          <w:tblHeader w:val="false"/>
        </w:trPr>
        <w:tc>
          <w:tcPr>
            <w:tcW w:type="dxa" w:w="2450"/>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实际结果</w:t>
            </w:r>
          </w:p>
        </w:tc>
        <w:tc>
          <w:tcPr>
            <w:tcW w:type="dxa" w:w="6976"/>
            <w:tcBorders>
              <w:top w:val="single" w:color="CBD3D6" w:sz="4"/>
              <w:left w:val="single" w:color="CBD3D6" w:sz="4"/>
              <w:bottom w:val="single" w:color="CBD3D6" w:sz="4"/>
              <w:right w:val="single" w:color="CBD3D6" w:sz="4"/>
            </w:tcBorders>
            <w:tcMar>
              <w:top w:type="dxa" w:w="90"/>
              <w:left w:type="dxa" w:w="110"/>
              <w:bottom w:type="dxa" w:w="9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制定机关已对相关规定修改调整。报告没有给出修后条文或具体期限。</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对材料乙的讲评</w:t>
      </w:r>
    </w:p>
    <w:p>
      <w:pPr>
        <w:widowControl/>
        <w:spacing w:after="80" w:line="290"/>
      </w:pPr>
      <w:r>
        <w:rPr>
          <w:rFonts w:ascii="Microsoft YaHei" w:cs="Microsoft YaHei" w:eastAsia="Microsoft YaHei" w:hAnsi="Microsoft YaHei"/>
          <w:b w:val="false"/>
          <w:bCs w:val="false"/>
          <w:color w:val="233541"/>
          <w:sz w:val="21"/>
          <w:szCs w:val="21"/>
        </w:rPr>
        <w:t xml:space="preserve">应选择乙句：目的与具体措施的设定需要分别说明。报告认可公共安全目的，但没有据此认可无限制的手段；报告也没有宣布所有从业限制都不允许。这里的教学收获是完整读出理由中的“肯定部分、限定条件、调整意见”。</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对材料丙三句话的判断</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“相关规定已经修改调整”：能支持，报告结尾明确记载。</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“所有特种行业的从业限制都被禁止”：不能支持，报告认可一定严格条件的作用，且有明确的上位法前提。</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“常委会正式宣告违宪并撤销整部法规”：不能支持，报告记载的是经沟通修改调整，没有这样的正式决定信息。</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劳动权联系如何讲</w:t>
      </w:r>
    </w:p>
    <w:p>
      <w:pPr>
        <w:widowControl/>
        <w:spacing w:after="80" w:line="290"/>
      </w:pPr>
      <w:r>
        <w:rPr>
          <w:rFonts w:ascii="Microsoft YaHei" w:cs="Microsoft YaHei" w:eastAsia="Microsoft YaHei" w:hAnsi="Microsoft YaHei"/>
          <w:b w:val="false"/>
          <w:bCs w:val="false"/>
          <w:color w:val="233541"/>
          <w:sz w:val="21"/>
          <w:szCs w:val="21"/>
        </w:rPr>
        <w:t xml:space="preserve">联系宪法第42条是课堂分析。可以追问从业限制对劳动机会产生何种影响、公共安全目的与限制强度怎样说明，但不能把这些追问写成2021年报告明文援引第42条并作正式违宪认定。2025年官方回顾的小标题与所引报告正文强度不同，本课优先使用原报告的“修改调整”。</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为什么选这个案例</w:t>
      </w:r>
    </w:p>
    <w:p>
      <w:pPr>
        <w:widowControl/>
        <w:spacing w:after="80" w:line="290"/>
      </w:pPr>
      <w:r>
        <w:rPr>
          <w:rFonts w:ascii="Microsoft YaHei" w:cs="Microsoft YaHei" w:eastAsia="Microsoft YaHei" w:hAnsi="Microsoft YaHei"/>
          <w:b w:val="false"/>
          <w:bCs w:val="false"/>
          <w:color w:val="233541"/>
          <w:sz w:val="21"/>
          <w:szCs w:val="21"/>
        </w:rPr>
        <w:t xml:space="preserve">该例与公安行业管理相邻，法规对象清楚、审查理由有条件、结果有记载，适合学生练习完整读报告。它主要承担备案审查纠正的例证；合宪性审查在法律草案阶段的依据另用立法法23、36、58条说明，不强求一个案例包办所有概念。</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四、制度卡：解释流程时要保留分支</w:t>
      </w:r>
    </w:p>
    <w:p>
      <w:pPr>
        <w:widowControl/>
        <w:spacing w:after="80" w:line="290"/>
      </w:pPr>
      <w:r>
        <w:rPr>
          <w:rFonts w:ascii="Microsoft YaHei" w:cs="Microsoft YaHei" w:eastAsia="Microsoft YaHei" w:hAnsi="Microsoft YaHei"/>
          <w:b w:val="false"/>
          <w:bCs w:val="false"/>
          <w:color w:val="233541"/>
          <w:sz w:val="21"/>
          <w:szCs w:val="21"/>
        </w:rPr>
        <w:t xml:space="preserve">以法定范围内地方性法规为例，公民等可以提出审查建议。工作机构进行初步审查，认为有法定问题情形的依法启动审查。随后可能通过研究沟通、制定机关提出处理计划并完成修改等途径纠正；没有按要求纠正的，再依法进入进一步处理程序。审查情况按规定反馈。</w:t>
      </w:r>
    </w:p>
    <w:p>
      <w:pPr>
        <w:widowControl/>
        <w:spacing w:after="80" w:line="290"/>
      </w:pPr>
      <w:r>
        <w:rPr>
          <w:rFonts w:ascii="Microsoft YaHei" w:cs="Microsoft YaHei" w:eastAsia="Microsoft YaHei" w:hAnsi="Microsoft YaHei"/>
          <w:b w:val="false"/>
          <w:bCs w:val="false"/>
          <w:color w:val="233541"/>
          <w:sz w:val="21"/>
          <w:szCs w:val="21"/>
        </w:rPr>
        <w:t xml:space="preserve">学生应掌握三个区别：提交与启动不同；审查意见与最终法律处理不同；有处理计划与已经完成修改不同。还应知道依申请审查不是唯一方式，立法法111条另有主动审查和专项审查。学生材料所附第58条要求法律草案说明包含涉及合宪性问题的意见，发生在法律案提出阶段；这足以说明合宪性问题也可能在公布前处理。</w:t>
      </w:r>
    </w:p>
    <w:p>
      <w:pPr>
        <w:widowControl/>
        <w:spacing w:after="80" w:line="290"/>
      </w:pPr>
      <w:r>
        <w:rPr>
          <w:rFonts w:ascii="Microsoft YaHei" w:cs="Microsoft YaHei" w:eastAsia="Microsoft YaHei" w:hAnsi="Microsoft YaHei"/>
          <w:b w:val="false"/>
          <w:bCs w:val="false"/>
          <w:color w:val="233541"/>
          <w:sz w:val="21"/>
          <w:szCs w:val="21"/>
        </w:rPr>
        <w:t xml:space="preserve">合宪性审查看符合宪法与否，备案审查是一组按对象和职权开展的审查安排，还涉及合法性、权限、程序等标准。用“标准”和“制度路径”作教学帮助，不要把二者画成互不相干或严格一对一的分类。</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五、任务三：规范与行为</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参考答案</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甲的对象：省人大常委会制定的地方性法规条款，属于规范问题。</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乙的对象：行政机关针对李某作出的不予许可决定，属于具体行政行为问题。</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甲的入口：可查立法法110条审查建议制度及112—113条处理、反馈安排；题设已经明确地方性法规，不能把它随意改称政府通知。</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乙的处理：如果要改变该决定，需要另依具体行为的事实、权限、程序和法定救济规则处理。不能把向人大提出审查建议当作乙已经撤销。</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可肯定的结论：甲、乙是两个不同对象，提出针对甲的建议不是作出撤销乙的决定。</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不能凭题目确定的结论：甲必然违宪、乙必然违法，或者李某已经取得许可。题目没有给出完整规范和事实。</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教师程序法备注</w:t>
      </w:r>
    </w:p>
    <w:p>
      <w:pPr>
        <w:widowControl/>
        <w:spacing w:after="80" w:line="290"/>
      </w:pPr>
      <w:r>
        <w:rPr>
          <w:rFonts w:ascii="Microsoft YaHei" w:cs="Microsoft YaHei" w:eastAsia="Microsoft YaHei" w:hAnsi="Microsoft YaHei"/>
          <w:b w:val="false"/>
          <w:bCs w:val="false"/>
          <w:color w:val="233541"/>
          <w:sz w:val="21"/>
          <w:szCs w:val="21"/>
        </w:rPr>
        <w:t xml:space="preserve">行政复议法13条和行政诉讼法53条对行政规范性文件附带审查有具体范围，并明确不含规章。地方性法规不能当作这些条款中的普通行政规范性文件；行政诉讼法63条还规定地方性法规的审判依据地位。本题因此不能答“起诉乙时法院就按53条撤销甲法规”。</w:t>
      </w:r>
    </w:p>
    <w:p>
      <w:pPr>
        <w:widowControl/>
        <w:spacing w:after="80" w:line="290"/>
      </w:pPr>
      <w:r>
        <w:rPr>
          <w:rFonts w:ascii="Microsoft YaHei" w:cs="Microsoft YaHei" w:eastAsia="Microsoft YaHei" w:hAnsi="Microsoft YaHei"/>
          <w:b w:val="false"/>
          <w:bCs w:val="false"/>
          <w:color w:val="233541"/>
          <w:sz w:val="21"/>
          <w:szCs w:val="21"/>
        </w:rPr>
        <w:t xml:space="preserve">这不是说规范问题与行为审查毫无联系，也不是穷尽法院处理规范冲突的所有方法。本课只要求学生先准确识别文件类型和争议对象；具体管辖、期限、前置程序不列为本题考点。</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六、课末三句参考</w:t>
      </w:r>
    </w:p>
    <w:p>
      <w:pPr>
        <w:pStyle w:val="ListParagraph"/>
        <w:widowControl/>
        <w:numPr>
          <w:ilvl w:val="0"/>
          <w:numId w:val="4"/>
        </w:numPr>
        <w:spacing w:after="80" w:line="290"/>
      </w:pPr>
      <w:r>
        <w:rPr>
          <w:rFonts w:ascii="Microsoft YaHei" w:cs="Microsoft YaHei" w:eastAsia="Microsoft YaHei" w:hAnsi="Microsoft YaHei"/>
          <w:b w:val="false"/>
          <w:bCs w:val="false"/>
          <w:color w:val="233541"/>
          <w:sz w:val="21"/>
          <w:szCs w:val="21"/>
        </w:rPr>
        <w:t xml:space="preserve">宪法可以通过依宪立法、国家机关依法履职和有关制度落实等方式实施。</w:t>
      </w:r>
    </w:p>
    <w:p>
      <w:pPr>
        <w:pStyle w:val="ListParagraph"/>
        <w:widowControl/>
        <w:numPr>
          <w:ilvl w:val="0"/>
          <w:numId w:val="4"/>
        </w:numPr>
        <w:spacing w:after="80" w:line="290"/>
      </w:pPr>
      <w:r>
        <w:rPr>
          <w:rFonts w:ascii="Microsoft YaHei" w:cs="Microsoft YaHei" w:eastAsia="Microsoft YaHei" w:hAnsi="Microsoft YaHei"/>
          <w:b w:val="false"/>
          <w:bCs w:val="false"/>
          <w:color w:val="233541"/>
          <w:sz w:val="21"/>
          <w:szCs w:val="21"/>
        </w:rPr>
        <w:t xml:space="preserve">本讲主案审查的是地方性法规中的从业限制规定。</w:t>
      </w:r>
    </w:p>
    <w:p>
      <w:pPr>
        <w:pStyle w:val="ListParagraph"/>
        <w:widowControl/>
        <w:numPr>
          <w:ilvl w:val="0"/>
          <w:numId w:val="4"/>
        </w:numPr>
        <w:spacing w:after="80" w:line="290"/>
      </w:pPr>
      <w:r>
        <w:rPr>
          <w:rFonts w:ascii="Microsoft YaHei" w:cs="Microsoft YaHei" w:eastAsia="Microsoft YaHei" w:hAnsi="Microsoft YaHei"/>
          <w:b w:val="false"/>
          <w:bCs w:val="false"/>
          <w:color w:val="233541"/>
          <w:sz w:val="21"/>
          <w:szCs w:val="21"/>
        </w:rPr>
        <w:t xml:space="preserve">“修改调整”证明报告记载相关规定已实际调整，不能据此补出具体修后条文或正式违宪宣告。</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七、课堂节奏与纠偏</w:t>
      </w:r>
    </w:p>
    <w:p>
      <w:pPr>
        <w:widowControl/>
        <w:spacing w:after="80" w:line="290"/>
      </w:pPr>
      <w:r>
        <w:rPr>
          <w:rFonts w:ascii="Microsoft YaHei" w:cs="Microsoft YaHei" w:eastAsia="Microsoft YaHei" w:hAnsi="Microsoft YaHei"/>
          <w:b w:val="false"/>
          <w:bCs w:val="false"/>
          <w:color w:val="233541"/>
          <w:sz w:val="21"/>
          <w:szCs w:val="21"/>
        </w:rPr>
        <w:t xml:space="preserve">学生若在第一学时陷入部门法细节，回到条文关系和机关职责；若在第二学时争论案例地区，回到报告已公开的事实。第二学时重点收取四格卡和双层判断；其他辨析口头完成，课末三句可留作课后回顾。若学生已掌握核心区分，可加问：把题目中的地方性法规换成政府部门规范性文件，为什么还要重新核对审查途径？该追问作为拓展，不提前要求完整程序答案。</w:t>
      </w:r>
    </w:p>
    <w:p>
      <w:pPr>
        <w:widowControl/>
        <w:spacing w:after="80" w:line="290"/>
      </w:pPr>
      <w:r>
        <w:rPr>
          <w:rFonts w:ascii="Microsoft YaHei" w:cs="Microsoft YaHei" w:eastAsia="Microsoft YaHei" w:hAnsi="Microsoft YaHei"/>
          <w:b w:val="false"/>
          <w:bCs w:val="false"/>
          <w:color w:val="233541"/>
          <w:sz w:val="21"/>
          <w:szCs w:val="21"/>
        </w:rPr>
        <w:t xml:space="preserve">出处与版本详见《研究核对记录》。这些参考答案是按已核材料编写的教学答案，仍应在教师试讲中检验学生能否理解和完成。</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第八讲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40"/>
      </w:pPr>
    </w:lvl>
  </w:abstractNum>
  <w:abstractNum w:abstractNumId="4"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第八讲　教师讲评与参考答案</dc:title>
  <dc:creator>宪法学课程教学组</dc:creator>
  <cp:lastModifiedBy>Un-named</cp:lastModifiedBy>
  <cp:revision>1</cp:revision>
  <dcterms:created xsi:type="dcterms:W3CDTF">2026-09-26T16:31:22.413Z</dcterms:created>
  <dcterms:modified xsi:type="dcterms:W3CDTF">2026-09-26T16:31:22.413Z</dcterms:modified>
</cp:coreProperties>
</file>

<file path=docProps/custom.xml><?xml version="1.0" encoding="utf-8"?>
<Properties xmlns="http://schemas.openxmlformats.org/officeDocument/2006/custom-properties" xmlns:vt="http://schemas.openxmlformats.org/officeDocument/2006/docPropsVTypes"/>
</file>