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07A6E"/>
          <w:sz w:val="52"/>
          <w:szCs w:val="52"/>
        </w:rPr>
        <w:t xml:space="preserve">unTR@PPED</w:t>
      </w:r>
    </w:p>
    <w:p>
      <w:pPr>
        <w:pBdr>
          <w:bottom w:val="single" w:color="007A6E" w:sz="8"/>
        </w:pBdr>
        <w:spacing w:after="80" w:before="0"/>
      </w:pPr>
      <w:r>
        <w:rPr>
          <w:rFonts w:ascii="Arial" w:cs="Arial" w:eastAsia="Arial" w:hAnsi="Arial"/>
          <w:b/>
          <w:bCs/>
          <w:color w:val="111827"/>
          <w:sz w:val="44"/>
          <w:szCs w:val="44"/>
        </w:rPr>
        <w:t xml:space="preserve">The Field Assessment Tool</w:t>
      </w:r>
    </w:p>
    <w:p>
      <w:pPr>
        <w:spacing w:after="60" w:before="120"/>
      </w:pPr>
      <w:r>
        <w:rPr>
          <w:rFonts w:ascii="Arial" w:cs="Arial" w:eastAsia="Arial" w:hAnsi="Arial"/>
          <w:color w:val="374151"/>
          <w:sz w:val="32"/>
          <w:szCs w:val="32"/>
        </w:rPr>
        <w:t xml:space="preserve">Vision &amp; Roadmap</w:t>
      </w:r>
    </w:p>
    <w:p>
      <w:pPr>
        <w:spacing w:after="320" w:before="0"/>
      </w:pPr>
      <w:r>
        <w:rPr>
          <w:rFonts w:ascii="Arial" w:cs="Arial" w:eastAsia="Arial" w:hAnsi="Arial"/>
          <w:i/>
          <w:iCs/>
          <w:color w:val="6B7280"/>
          <w:sz w:val="22"/>
          <w:szCs w:val="22"/>
        </w:rPr>
        <w:t xml:space="preserve">How unTR@PPED will grow from a hand-held clipboard into an AI-guided community assessment platform — built by and for wheelchair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c>
          <w:tcPr>
            <w:tcW w:type="dxa" w:w="1376"/>
            <w:tcBorders>
              <w:top w:val="single" w:color="D1D5DB" w:sz="4"/>
              <w:left w:val="single" w:color="D1D5DB" w:sz="4"/>
              <w:bottom w:val="single" w:color="D1D5DB" w:sz="4"/>
              <w:right w:val="single" w:color="D1D5DB" w:sz="4"/>
            </w:tcBorders>
            <w:shd w:fill="E6F4F3" w:val="clear"/>
            <w:tcMar>
              <w:top w:type="dxa" w:w="80"/>
              <w:left w:type="dxa" w:w="60"/>
              <w:bottom w:type="dxa" w:w="80"/>
              <w:right w:type="dxa" w:w="60"/>
            </w:tcMar>
          </w:tcPr>
          <w:p>
            <w:pPr>
              <w:spacing w:after="40" w:before="0"/>
              <w:jc w:val="center"/>
            </w:pPr>
            <w:r>
              <w:rPr>
                <w:rFonts w:ascii="Arial" w:cs="Arial" w:eastAsia="Arial" w:hAnsi="Arial"/>
                <w:b/>
                <w:bCs/>
                <w:color w:val="007A6E"/>
                <w:sz w:val="32"/>
                <w:szCs w:val="32"/>
              </w:rPr>
              <w:t xml:space="preserve">T</w:t>
            </w:r>
          </w:p>
          <w:p>
            <w:pPr>
              <w:spacing w:after="0" w:before="0"/>
              <w:jc w:val="center"/>
            </w:pPr>
            <w:r>
              <w:rPr>
                <w:rFonts w:ascii="Arial" w:cs="Arial" w:eastAsia="Arial" w:hAnsi="Arial"/>
                <w:color w:val="374151"/>
                <w:sz w:val="14"/>
                <w:szCs w:val="14"/>
              </w:rPr>
              <w:t xml:space="preserve">Toilets</w:t>
            </w:r>
          </w:p>
        </w:tc>
        <w:tc>
          <w:tcPr>
            <w:tcW w:type="dxa" w:w="1376"/>
            <w:tcBorders>
              <w:top w:val="single" w:color="D1D5DB" w:sz="4"/>
              <w:left w:val="single" w:color="D1D5DB" w:sz="4"/>
              <w:bottom w:val="single" w:color="D1D5DB" w:sz="4"/>
              <w:right w:val="single" w:color="D1D5DB" w:sz="4"/>
            </w:tcBorders>
            <w:shd w:fill="E6F4F3" w:val="clear"/>
            <w:tcMar>
              <w:top w:type="dxa" w:w="80"/>
              <w:left w:type="dxa" w:w="60"/>
              <w:bottom w:type="dxa" w:w="80"/>
              <w:right w:type="dxa" w:w="60"/>
            </w:tcMar>
          </w:tcPr>
          <w:p>
            <w:pPr>
              <w:spacing w:after="40" w:before="0"/>
              <w:jc w:val="center"/>
            </w:pPr>
            <w:r>
              <w:rPr>
                <w:rFonts w:ascii="Arial" w:cs="Arial" w:eastAsia="Arial" w:hAnsi="Arial"/>
                <w:b/>
                <w:bCs/>
                <w:color w:val="007A6E"/>
                <w:sz w:val="32"/>
                <w:szCs w:val="32"/>
              </w:rPr>
              <w:t xml:space="preserve">R</w:t>
            </w:r>
          </w:p>
          <w:p>
            <w:pPr>
              <w:spacing w:after="0" w:before="0"/>
              <w:jc w:val="center"/>
            </w:pPr>
            <w:r>
              <w:rPr>
                <w:rFonts w:ascii="Arial" w:cs="Arial" w:eastAsia="Arial" w:hAnsi="Arial"/>
                <w:color w:val="374151"/>
                <w:sz w:val="14"/>
                <w:szCs w:val="14"/>
              </w:rPr>
              <w:t xml:space="preserve">Ramps</w:t>
            </w:r>
          </w:p>
        </w:tc>
        <w:tc>
          <w:tcPr>
            <w:tcW w:type="dxa" w:w="1376"/>
            <w:tcBorders>
              <w:top w:val="single" w:color="D1D5DB" w:sz="4"/>
              <w:left w:val="single" w:color="D1D5DB" w:sz="4"/>
              <w:bottom w:val="single" w:color="D1D5DB" w:sz="4"/>
              <w:right w:val="single" w:color="D1D5DB" w:sz="4"/>
            </w:tcBorders>
            <w:shd w:fill="E6F4F3" w:val="clear"/>
            <w:tcMar>
              <w:top w:type="dxa" w:w="80"/>
              <w:left w:type="dxa" w:w="60"/>
              <w:bottom w:type="dxa" w:w="80"/>
              <w:right w:type="dxa" w:w="60"/>
            </w:tcMar>
          </w:tcPr>
          <w:p>
            <w:pPr>
              <w:spacing w:after="40" w:before="0"/>
              <w:jc w:val="center"/>
            </w:pPr>
            <w:r>
              <w:rPr>
                <w:rFonts w:ascii="Arial" w:cs="Arial" w:eastAsia="Arial" w:hAnsi="Arial"/>
                <w:b/>
                <w:bCs/>
                <w:color w:val="007A6E"/>
                <w:sz w:val="32"/>
                <w:szCs w:val="32"/>
              </w:rPr>
              <w:t xml:space="preserve">@</w:t>
            </w:r>
          </w:p>
          <w:p>
            <w:pPr>
              <w:spacing w:after="0" w:before="0"/>
              <w:jc w:val="center"/>
            </w:pPr>
            <w:r>
              <w:rPr>
                <w:rFonts w:ascii="Arial" w:cs="Arial" w:eastAsia="Arial" w:hAnsi="Arial"/>
                <w:color w:val="374151"/>
                <w:sz w:val="14"/>
                <w:szCs w:val="14"/>
              </w:rPr>
              <w:t xml:space="preserve">Accessibility</w:t>
            </w:r>
          </w:p>
        </w:tc>
        <w:tc>
          <w:tcPr>
            <w:tcW w:type="dxa" w:w="1376"/>
            <w:tcBorders>
              <w:top w:val="single" w:color="D1D5DB" w:sz="4"/>
              <w:left w:val="single" w:color="D1D5DB" w:sz="4"/>
              <w:bottom w:val="single" w:color="D1D5DB" w:sz="4"/>
              <w:right w:val="single" w:color="D1D5DB" w:sz="4"/>
            </w:tcBorders>
            <w:shd w:fill="E6F4F3" w:val="clear"/>
            <w:tcMar>
              <w:top w:type="dxa" w:w="80"/>
              <w:left w:type="dxa" w:w="60"/>
              <w:bottom w:type="dxa" w:w="80"/>
              <w:right w:type="dxa" w:w="60"/>
            </w:tcMar>
          </w:tcPr>
          <w:p>
            <w:pPr>
              <w:spacing w:after="40" w:before="0"/>
              <w:jc w:val="center"/>
            </w:pPr>
            <w:r>
              <w:rPr>
                <w:rFonts w:ascii="Arial" w:cs="Arial" w:eastAsia="Arial" w:hAnsi="Arial"/>
                <w:b/>
                <w:bCs/>
                <w:color w:val="007A6E"/>
                <w:sz w:val="32"/>
                <w:szCs w:val="32"/>
              </w:rPr>
              <w:t xml:space="preserve">P</w:t>
            </w:r>
          </w:p>
          <w:p>
            <w:pPr>
              <w:spacing w:after="0" w:before="0"/>
              <w:jc w:val="center"/>
            </w:pPr>
            <w:r>
              <w:rPr>
                <w:rFonts w:ascii="Arial" w:cs="Arial" w:eastAsia="Arial" w:hAnsi="Arial"/>
                <w:color w:val="374151"/>
                <w:sz w:val="14"/>
                <w:szCs w:val="14"/>
              </w:rPr>
              <w:t xml:space="preserve">Pathway</w:t>
            </w:r>
          </w:p>
        </w:tc>
        <w:tc>
          <w:tcPr>
            <w:tcW w:type="dxa" w:w="1376"/>
            <w:tcBorders>
              <w:top w:val="single" w:color="D1D5DB" w:sz="4"/>
              <w:left w:val="single" w:color="D1D5DB" w:sz="4"/>
              <w:bottom w:val="single" w:color="D1D5DB" w:sz="4"/>
              <w:right w:val="single" w:color="D1D5DB" w:sz="4"/>
            </w:tcBorders>
            <w:shd w:fill="E6F4F3" w:val="clear"/>
            <w:tcMar>
              <w:top w:type="dxa" w:w="80"/>
              <w:left w:type="dxa" w:w="60"/>
              <w:bottom w:type="dxa" w:w="80"/>
              <w:right w:type="dxa" w:w="60"/>
            </w:tcMar>
          </w:tcPr>
          <w:p>
            <w:pPr>
              <w:spacing w:after="40" w:before="0"/>
              <w:jc w:val="center"/>
            </w:pPr>
            <w:r>
              <w:rPr>
                <w:rFonts w:ascii="Arial" w:cs="Arial" w:eastAsia="Arial" w:hAnsi="Arial"/>
                <w:b/>
                <w:bCs/>
                <w:color w:val="007A6E"/>
                <w:sz w:val="32"/>
                <w:szCs w:val="32"/>
              </w:rPr>
              <w:t xml:space="preserve">P</w:t>
            </w:r>
          </w:p>
          <w:p>
            <w:pPr>
              <w:spacing w:after="0" w:before="0"/>
              <w:jc w:val="center"/>
            </w:pPr>
            <w:r>
              <w:rPr>
                <w:rFonts w:ascii="Arial" w:cs="Arial" w:eastAsia="Arial" w:hAnsi="Arial"/>
                <w:color w:val="374151"/>
                <w:sz w:val="14"/>
                <w:szCs w:val="14"/>
              </w:rPr>
              <w:t xml:space="preserve">Parking</w:t>
            </w:r>
          </w:p>
        </w:tc>
        <w:tc>
          <w:tcPr>
            <w:tcW w:type="dxa" w:w="1376"/>
            <w:tcBorders>
              <w:top w:val="single" w:color="D1D5DB" w:sz="4"/>
              <w:left w:val="single" w:color="D1D5DB" w:sz="4"/>
              <w:bottom w:val="single" w:color="D1D5DB" w:sz="4"/>
              <w:right w:val="single" w:color="D1D5DB" w:sz="4"/>
            </w:tcBorders>
            <w:shd w:fill="E6F4F3" w:val="clear"/>
            <w:tcMar>
              <w:top w:type="dxa" w:w="80"/>
              <w:left w:type="dxa" w:w="60"/>
              <w:bottom w:type="dxa" w:w="80"/>
              <w:right w:type="dxa" w:w="60"/>
            </w:tcMar>
          </w:tcPr>
          <w:p>
            <w:pPr>
              <w:spacing w:after="40" w:before="0"/>
              <w:jc w:val="center"/>
            </w:pPr>
            <w:r>
              <w:rPr>
                <w:rFonts w:ascii="Arial" w:cs="Arial" w:eastAsia="Arial" w:hAnsi="Arial"/>
                <w:b/>
                <w:bCs/>
                <w:color w:val="007A6E"/>
                <w:sz w:val="32"/>
                <w:szCs w:val="32"/>
              </w:rPr>
              <w:t xml:space="preserve">E</w:t>
            </w:r>
          </w:p>
          <w:p>
            <w:pPr>
              <w:spacing w:after="0" w:before="0"/>
              <w:jc w:val="center"/>
            </w:pPr>
            <w:r>
              <w:rPr>
                <w:rFonts w:ascii="Arial" w:cs="Arial" w:eastAsia="Arial" w:hAnsi="Arial"/>
                <w:color w:val="374151"/>
                <w:sz w:val="14"/>
                <w:szCs w:val="14"/>
              </w:rPr>
              <w:t xml:space="preserve">Elevators</w:t>
            </w:r>
          </w:p>
        </w:tc>
        <w:tc>
          <w:tcPr>
            <w:tcW w:type="dxa" w:w="1382"/>
            <w:tcBorders>
              <w:top w:val="single" w:color="D1D5DB" w:sz="4"/>
              <w:left w:val="single" w:color="D1D5DB" w:sz="4"/>
              <w:bottom w:val="single" w:color="D1D5DB" w:sz="4"/>
              <w:right w:val="single" w:color="D1D5DB" w:sz="4"/>
            </w:tcBorders>
            <w:shd w:fill="E6F4F3" w:val="clear"/>
            <w:tcMar>
              <w:top w:type="dxa" w:w="80"/>
              <w:left w:type="dxa" w:w="60"/>
              <w:bottom w:type="dxa" w:w="80"/>
              <w:right w:type="dxa" w:w="60"/>
            </w:tcMar>
          </w:tcPr>
          <w:p>
            <w:pPr>
              <w:spacing w:after="40" w:before="0"/>
              <w:jc w:val="center"/>
            </w:pPr>
            <w:r>
              <w:rPr>
                <w:rFonts w:ascii="Arial" w:cs="Arial" w:eastAsia="Arial" w:hAnsi="Arial"/>
                <w:b/>
                <w:bCs/>
                <w:color w:val="007A6E"/>
                <w:sz w:val="32"/>
                <w:szCs w:val="32"/>
              </w:rPr>
              <w:t xml:space="preserve">D</w:t>
            </w:r>
          </w:p>
          <w:p>
            <w:pPr>
              <w:spacing w:after="0" w:before="0"/>
              <w:jc w:val="center"/>
            </w:pPr>
            <w:r>
              <w:rPr>
                <w:rFonts w:ascii="Arial" w:cs="Arial" w:eastAsia="Arial" w:hAnsi="Arial"/>
                <w:color w:val="374151"/>
                <w:sz w:val="14"/>
                <w:szCs w:val="14"/>
              </w:rPr>
              <w:t xml:space="preserve">Doors</w:t>
            </w:r>
          </w:p>
        </w:tc>
      </w:tr>
    </w:tbl>
    <w:p>
      <w:pPr>
        <w:spacing w:after="400" w:before="0"/>
      </w:pPr>
      <w:r>
        <w:t xml:space="preserve"/>
      </w:r>
    </w:p>
    <w:p>
      <w:pPr>
        <w:pStyle w:val="Heading1"/>
        <w:pBdr>
          <w:bottom w:val="single" w:color="007A6E" w:sz="6"/>
        </w:pBdr>
        <w:spacing w:after="120" w:before="480"/>
      </w:pPr>
      <w:r>
        <w:rPr>
          <w:rFonts w:ascii="Arial" w:cs="Arial" w:eastAsia="Arial" w:hAnsi="Arial"/>
          <w:b/>
          <w:bCs/>
          <w:color w:val="007A6E"/>
          <w:sz w:val="36"/>
          <w:szCs w:val="36"/>
        </w:rPr>
        <w:t xml:space="preserve">Not a compliance audit. A community truth-telling tool.</w:t>
      </w:r>
    </w:p>
    <w:p>
      <w:pPr>
        <w:spacing w:after="80" w:before="0"/>
      </w:pPr>
      <w:r>
        <w:t xml:space="preserve"/>
      </w:r>
    </w:p>
    <w:p>
      <w:pPr>
        <w:spacing w:after="120" w:before="80"/>
      </w:pPr>
      <w:r>
        <w:rPr>
          <w:rFonts w:ascii="Arial" w:cs="Arial" w:eastAsia="Arial" w:hAnsi="Arial"/>
          <w:color w:val="374151"/>
          <w:sz w:val="22"/>
          <w:szCs w:val="22"/>
        </w:rPr>
        <w:t xml:space="preserve">There is a specific and common frustration in the wheelchair community: venues declare themselves “accessible” — and then reality disappoints. The ramp exists but the toilet doesn’t work for a large chair. The “accessible” entrance is around the back, through a carpark. The bar is too high for a bartender to make eye contact. The dance floor is technically reachable but too crowded to use.</w:t>
      </w:r>
    </w:p>
    <w:p>
      <w:pPr>
        <w:spacing w:after="120" w:before="80"/>
      </w:pPr>
      <w:r>
        <w:rPr>
          <w:rFonts w:ascii="Arial" w:cs="Arial" w:eastAsia="Arial" w:hAnsi="Arial"/>
          <w:color w:val="374151"/>
          <w:sz w:val="22"/>
          <w:szCs w:val="22"/>
        </w:rPr>
        <w:t xml:space="preserve">The unTR@PPED Field Assessment Tool exists to fix this. It gives community members — people with lived experience, support workers, and family members — a structured way to assess venues on behalf of the wheelchair community, and to contribute that knowledge to a shared, trustworthy dataset.</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single" w:color="007A6E" w:sz="32"/>
              <w:bottom w:val="none" w:color="FFFFFF" w:sz="0"/>
              <w:right w:val="none" w:color="FFFFFF" w:sz="0"/>
            </w:tcBorders>
            <w:shd w:fill="E6F4F3" w:val="clear"/>
            <w:tcMar>
              <w:top w:type="dxa" w:w="200"/>
              <w:left w:type="dxa" w:w="280"/>
              <w:bottom w:type="dxa" w:w="200"/>
              <w:right w:type="dxa" w:w="280"/>
            </w:tcMar>
          </w:tcPr>
          <w:p>
            <w:pPr>
              <w:spacing w:after="80" w:before="0"/>
            </w:pPr>
            <w:r>
              <w:rPr>
                <w:rFonts w:ascii="Arial" w:cs="Arial" w:eastAsia="Arial" w:hAnsi="Arial"/>
                <w:i/>
                <w:iCs/>
                <w:color w:val="111827"/>
                <w:sz w:val="26"/>
                <w:szCs w:val="26"/>
              </w:rPr>
              <w:t xml:space="preserve">“I don’t need to be an occupational therapist or a trained building inspector — because the AI will guide me so that I know exactly what data points to capture, how to measure them, and how to document them.”</w:t>
            </w:r>
          </w:p>
          <w:p>
            <w:pPr>
              <w:spacing w:after="0" w:before="0"/>
            </w:pPr>
            <w:r>
              <w:rPr>
                <w:rFonts w:ascii="Arial" w:cs="Arial" w:eastAsia="Arial" w:hAnsi="Arial"/>
                <w:b/>
                <w:bCs/>
                <w:caps/>
                <w:color w:val="007A6E"/>
                <w:sz w:val="18"/>
                <w:szCs w:val="18"/>
              </w:rPr>
              <w:t xml:space="preserve">The unTR@PPED Future Vision</w:t>
            </w:r>
          </w:p>
        </w:tc>
      </w:tr>
    </w:tbl>
    <w:p>
      <w:pPr>
        <w:spacing w:after="200" w:before="0"/>
      </w:pPr>
      <w:r>
        <w:t xml:space="preserve"/>
      </w:r>
    </w:p>
    <w:p>
      <w:pPr>
        <w:spacing w:after="120" w:before="80"/>
      </w:pPr>
      <w:r>
        <w:rPr>
          <w:rFonts w:ascii="Arial" w:cs="Arial" w:eastAsia="Arial" w:hAnsi="Arial"/>
          <w:color w:val="374151"/>
          <w:sz w:val="22"/>
          <w:szCs w:val="22"/>
        </w:rPr>
        <w:t xml:space="preserve">This is the destination. Getting there requires building a solid foundation first — and that is what this roadmap describes.</w:t>
      </w:r>
    </w:p>
    <w:p>
      <w:pPr>
        <w:spacing w:after="320" w:before="0"/>
      </w:pPr>
      <w:r>
        <w:t xml:space="preserve"/>
      </w:r>
    </w:p>
    <w:p>
      <w:pPr>
        <w:pStyle w:val="Heading1"/>
        <w:pBdr>
          <w:bottom w:val="single" w:color="007A6E" w:sz="6"/>
        </w:pBdr>
        <w:spacing w:after="120" w:before="480"/>
      </w:pPr>
      <w:r>
        <w:rPr>
          <w:rFonts w:ascii="Arial" w:cs="Arial" w:eastAsia="Arial" w:hAnsi="Arial"/>
          <w:b/>
          <w:bCs/>
          <w:color w:val="007A6E"/>
          <w:sz w:val="36"/>
          <w:szCs w:val="36"/>
        </w:rPr>
        <w:t xml:space="preserve">The outing as a journey — not a label</w:t>
      </w:r>
    </w:p>
    <w:p>
      <w:pPr>
        <w:spacing w:after="80" w:before="0"/>
      </w:pPr>
      <w:r>
        <w:t xml:space="preserve"/>
      </w:r>
    </w:p>
    <w:p>
      <w:pPr>
        <w:spacing w:after="120" w:before="80"/>
      </w:pPr>
      <w:r>
        <w:rPr>
          <w:rFonts w:ascii="Arial" w:cs="Arial" w:eastAsia="Arial" w:hAnsi="Arial"/>
          <w:color w:val="374151"/>
          <w:sz w:val="22"/>
          <w:szCs w:val="22"/>
        </w:rPr>
        <w:t xml:space="preserve">The assessment tool does not try to audit a whole venue. It follows the route a wheelchair user actually needs to complete — from arrival to doing the thing they came to do.</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
        <w:gridCol w:w="876"/>
        <w:gridCol w:w="876"/>
        <w:gridCol w:w="876"/>
        <w:gridCol w:w="876"/>
        <w:gridCol w:w="876"/>
        <w:gridCol w:w="876"/>
        <w:gridCol w:w="876"/>
        <w:gridCol w:w="876"/>
        <w:gridCol w:w="878"/>
      </w:tblGrid>
      <w:tr>
        <w:tc>
          <w:tcPr>
            <w:tcW w:type="dxa" w:w="876"/>
            <w:tcBorders>
              <w:top w:val="single" w:color="D1D5DB" w:sz="4"/>
              <w:left w:val="single" w:color="D1D5DB" w:sz="4"/>
              <w:bottom w:val="single" w:color="D1D5DB" w:sz="4"/>
              <w:right w:val="single" w:color="D1D5DB" w:sz="4"/>
            </w:tcBorders>
            <w:shd w:fill="E6F4F3" w:val="clear"/>
            <w:tcMar>
              <w:top w:type="dxa" w:w="80"/>
              <w:left w:type="dxa" w:w="80"/>
              <w:bottom w:type="dxa" w:w="80"/>
              <w:right w:type="dxa" w:w="80"/>
            </w:tcMar>
            <w:vAlign w:val="center"/>
          </w:tcPr>
          <w:p>
            <w:pPr>
              <w:spacing w:after="40" w:before="0"/>
              <w:jc w:val="center"/>
            </w:pPr>
            <w:r>
              <w:rPr>
                <w:rFonts w:ascii="Arial" w:cs="Arial" w:eastAsia="Arial" w:hAnsi="Arial"/>
                <w:b/>
                <w:bCs/>
                <w:color w:val="007A6E"/>
                <w:sz w:val="28"/>
                <w:szCs w:val="28"/>
              </w:rPr>
              <w:t xml:space="preserve">P</w:t>
            </w:r>
          </w:p>
          <w:p>
            <w:pPr>
              <w:spacing w:after="0" w:before="0"/>
              <w:jc w:val="center"/>
            </w:pPr>
            <w:r>
              <w:rPr>
                <w:rFonts w:ascii="Arial" w:cs="Arial" w:eastAsia="Arial" w:hAnsi="Arial"/>
                <w:color w:val="374151"/>
                <w:sz w:val="14"/>
                <w:szCs w:val="14"/>
              </w:rPr>
              <w:t xml:space="preserve">Disability parking or taxi rank</w:t>
            </w:r>
          </w:p>
        </w:tc>
        <w:tc>
          <w:tcPr>
            <w:tcW w:type="dxa" w:w="876"/>
            <w:tcBorders>
              <w:top w:val="none" w:color="FFFFFF" w:sz="0"/>
              <w:left w:val="none" w:color="FFFFFF" w:sz="0"/>
              <w:bottom w:val="none" w:color="FFFFFF" w:sz="0"/>
              <w:right w:val="none" w:color="FFFFFF" w:sz="0"/>
            </w:tcBorders>
            <w:shd w:fill="FFFFFF" w:val="clear"/>
            <w:tcMar>
              <w:top w:type="dxa" w:w="80"/>
              <w:left w:type="dxa" w:w="40"/>
              <w:bottom w:type="dxa" w:w="80"/>
              <w:right w:type="dxa" w:w="40"/>
            </w:tcMar>
            <w:vAlign w:val="center"/>
          </w:tcPr>
          <w:p>
            <w:pPr>
              <w:spacing w:after="0" w:before="0"/>
              <w:jc w:val="center"/>
            </w:pPr>
            <w:r>
              <w:rPr>
                <w:rFonts w:ascii="Arial" w:cs="Arial" w:eastAsia="Arial" w:hAnsi="Arial"/>
                <w:b/>
                <w:bCs/>
                <w:color w:val="007A6E"/>
                <w:sz w:val="28"/>
                <w:szCs w:val="28"/>
              </w:rPr>
              <w:t xml:space="preserve">→</w:t>
            </w:r>
          </w:p>
        </w:tc>
        <w:tc>
          <w:tcPr>
            <w:tcW w:type="dxa" w:w="876"/>
            <w:tcBorders>
              <w:top w:val="single" w:color="D1D5DB" w:sz="4"/>
              <w:left w:val="single" w:color="D1D5DB" w:sz="4"/>
              <w:bottom w:val="single" w:color="D1D5DB" w:sz="4"/>
              <w:right w:val="single" w:color="D1D5DB" w:sz="4"/>
            </w:tcBorders>
            <w:shd w:fill="E6F4F3" w:val="clear"/>
            <w:tcMar>
              <w:top w:type="dxa" w:w="80"/>
              <w:left w:type="dxa" w:w="80"/>
              <w:bottom w:type="dxa" w:w="80"/>
              <w:right w:type="dxa" w:w="80"/>
            </w:tcMar>
            <w:vAlign w:val="center"/>
          </w:tcPr>
          <w:p>
            <w:pPr>
              <w:spacing w:after="40" w:before="0"/>
              <w:jc w:val="center"/>
            </w:pPr>
            <w:r>
              <w:rPr>
                <w:rFonts w:ascii="Arial" w:cs="Arial" w:eastAsia="Arial" w:hAnsi="Arial"/>
                <w:b/>
                <w:bCs/>
                <w:color w:val="007A6E"/>
                <w:sz w:val="28"/>
                <w:szCs w:val="28"/>
              </w:rPr>
              <w:t xml:space="preserve">🛤</w:t>
            </w:r>
          </w:p>
          <w:p>
            <w:pPr>
              <w:spacing w:after="0" w:before="0"/>
              <w:jc w:val="center"/>
            </w:pPr>
            <w:r>
              <w:rPr>
                <w:rFonts w:ascii="Arial" w:cs="Arial" w:eastAsia="Arial" w:hAnsi="Arial"/>
                <w:color w:val="374151"/>
                <w:sz w:val="14"/>
                <w:szCs w:val="14"/>
              </w:rPr>
              <w:t xml:space="preserve">Path to entrance</w:t>
            </w:r>
          </w:p>
        </w:tc>
        <w:tc>
          <w:tcPr>
            <w:tcW w:type="dxa" w:w="876"/>
            <w:tcBorders>
              <w:top w:val="none" w:color="FFFFFF" w:sz="0"/>
              <w:left w:val="none" w:color="FFFFFF" w:sz="0"/>
              <w:bottom w:val="none" w:color="FFFFFF" w:sz="0"/>
              <w:right w:val="none" w:color="FFFFFF" w:sz="0"/>
            </w:tcBorders>
            <w:shd w:fill="FFFFFF" w:val="clear"/>
            <w:tcMar>
              <w:top w:type="dxa" w:w="80"/>
              <w:left w:type="dxa" w:w="40"/>
              <w:bottom w:type="dxa" w:w="80"/>
              <w:right w:type="dxa" w:w="40"/>
            </w:tcMar>
            <w:vAlign w:val="center"/>
          </w:tcPr>
          <w:p>
            <w:pPr>
              <w:spacing w:after="0" w:before="0"/>
              <w:jc w:val="center"/>
            </w:pPr>
            <w:r>
              <w:rPr>
                <w:rFonts w:ascii="Arial" w:cs="Arial" w:eastAsia="Arial" w:hAnsi="Arial"/>
                <w:b/>
                <w:bCs/>
                <w:color w:val="007A6E"/>
                <w:sz w:val="28"/>
                <w:szCs w:val="28"/>
              </w:rPr>
              <w:t xml:space="preserve">→</w:t>
            </w:r>
          </w:p>
        </w:tc>
        <w:tc>
          <w:tcPr>
            <w:tcW w:type="dxa" w:w="876"/>
            <w:tcBorders>
              <w:top w:val="single" w:color="D1D5DB" w:sz="4"/>
              <w:left w:val="single" w:color="D1D5DB" w:sz="4"/>
              <w:bottom w:val="single" w:color="D1D5DB" w:sz="4"/>
              <w:right w:val="single" w:color="D1D5DB" w:sz="4"/>
            </w:tcBorders>
            <w:shd w:fill="E6F4F3" w:val="clear"/>
            <w:tcMar>
              <w:top w:type="dxa" w:w="80"/>
              <w:left w:type="dxa" w:w="80"/>
              <w:bottom w:type="dxa" w:w="80"/>
              <w:right w:type="dxa" w:w="80"/>
            </w:tcMar>
            <w:vAlign w:val="center"/>
          </w:tcPr>
          <w:p>
            <w:pPr>
              <w:spacing w:after="40" w:before="0"/>
              <w:jc w:val="center"/>
            </w:pPr>
            <w:r>
              <w:rPr>
                <w:rFonts w:ascii="Arial" w:cs="Arial" w:eastAsia="Arial" w:hAnsi="Arial"/>
                <w:b/>
                <w:bCs/>
                <w:color w:val="007A6E"/>
                <w:sz w:val="28"/>
                <w:szCs w:val="28"/>
              </w:rPr>
              <w:t xml:space="preserve">🚪</w:t>
            </w:r>
          </w:p>
          <w:p>
            <w:pPr>
              <w:spacing w:after="0" w:before="0"/>
              <w:jc w:val="center"/>
            </w:pPr>
            <w:r>
              <w:rPr>
                <w:rFonts w:ascii="Arial" w:cs="Arial" w:eastAsia="Arial" w:hAnsi="Arial"/>
                <w:color w:val="374151"/>
                <w:sz w:val="14"/>
                <w:szCs w:val="14"/>
              </w:rPr>
              <w:t xml:space="preserve">Venue entrance</w:t>
            </w:r>
          </w:p>
        </w:tc>
        <w:tc>
          <w:tcPr>
            <w:tcW w:type="dxa" w:w="876"/>
            <w:tcBorders>
              <w:top w:val="none" w:color="FFFFFF" w:sz="0"/>
              <w:left w:val="none" w:color="FFFFFF" w:sz="0"/>
              <w:bottom w:val="none" w:color="FFFFFF" w:sz="0"/>
              <w:right w:val="none" w:color="FFFFFF" w:sz="0"/>
            </w:tcBorders>
            <w:shd w:fill="FFFFFF" w:val="clear"/>
            <w:tcMar>
              <w:top w:type="dxa" w:w="80"/>
              <w:left w:type="dxa" w:w="40"/>
              <w:bottom w:type="dxa" w:w="80"/>
              <w:right w:type="dxa" w:w="40"/>
            </w:tcMar>
            <w:vAlign w:val="center"/>
          </w:tcPr>
          <w:p>
            <w:pPr>
              <w:spacing w:after="0" w:before="0"/>
              <w:jc w:val="center"/>
            </w:pPr>
            <w:r>
              <w:rPr>
                <w:rFonts w:ascii="Arial" w:cs="Arial" w:eastAsia="Arial" w:hAnsi="Arial"/>
                <w:b/>
                <w:bCs/>
                <w:color w:val="007A6E"/>
                <w:sz w:val="28"/>
                <w:szCs w:val="28"/>
              </w:rPr>
              <w:t xml:space="preserve">→</w:t>
            </w:r>
          </w:p>
        </w:tc>
        <w:tc>
          <w:tcPr>
            <w:tcW w:type="dxa" w:w="876"/>
            <w:tcBorders>
              <w:top w:val="single" w:color="D1D5DB" w:sz="4"/>
              <w:left w:val="single" w:color="D1D5DB" w:sz="4"/>
              <w:bottom w:val="single" w:color="D1D5DB" w:sz="4"/>
              <w:right w:val="single" w:color="D1D5DB" w:sz="4"/>
            </w:tcBorders>
            <w:shd w:fill="E6F4F3" w:val="clear"/>
            <w:tcMar>
              <w:top w:type="dxa" w:w="80"/>
              <w:left w:type="dxa" w:w="80"/>
              <w:bottom w:type="dxa" w:w="80"/>
              <w:right w:type="dxa" w:w="80"/>
            </w:tcMar>
            <w:vAlign w:val="center"/>
          </w:tcPr>
          <w:p>
            <w:pPr>
              <w:spacing w:after="40" w:before="0"/>
              <w:jc w:val="center"/>
            </w:pPr>
            <w:r>
              <w:rPr>
                <w:rFonts w:ascii="Arial" w:cs="Arial" w:eastAsia="Arial" w:hAnsi="Arial"/>
                <w:b/>
                <w:bCs/>
                <w:color w:val="007A6E"/>
                <w:sz w:val="28"/>
                <w:szCs w:val="28"/>
              </w:rPr>
              <w:t xml:space="preserve">🚹</w:t>
            </w:r>
          </w:p>
          <w:p>
            <w:pPr>
              <w:spacing w:after="0" w:before="0"/>
              <w:jc w:val="center"/>
            </w:pPr>
            <w:r>
              <w:rPr>
                <w:rFonts w:ascii="Arial" w:cs="Arial" w:eastAsia="Arial" w:hAnsi="Arial"/>
                <w:color w:val="374151"/>
                <w:sz w:val="14"/>
                <w:szCs w:val="14"/>
              </w:rPr>
              <w:t xml:space="preserve">Accessible toilet</w:t>
            </w:r>
          </w:p>
        </w:tc>
        <w:tc>
          <w:tcPr>
            <w:tcW w:type="dxa" w:w="876"/>
            <w:tcBorders>
              <w:top w:val="none" w:color="FFFFFF" w:sz="0"/>
              <w:left w:val="none" w:color="FFFFFF" w:sz="0"/>
              <w:bottom w:val="none" w:color="FFFFFF" w:sz="0"/>
              <w:right w:val="none" w:color="FFFFFF" w:sz="0"/>
            </w:tcBorders>
            <w:shd w:fill="FFFFFF" w:val="clear"/>
            <w:tcMar>
              <w:top w:type="dxa" w:w="80"/>
              <w:left w:type="dxa" w:w="40"/>
              <w:bottom w:type="dxa" w:w="80"/>
              <w:right w:type="dxa" w:w="40"/>
            </w:tcMar>
            <w:vAlign w:val="center"/>
          </w:tcPr>
          <w:p>
            <w:pPr>
              <w:spacing w:after="0" w:before="0"/>
              <w:jc w:val="center"/>
            </w:pPr>
            <w:r>
              <w:rPr>
                <w:rFonts w:ascii="Arial" w:cs="Arial" w:eastAsia="Arial" w:hAnsi="Arial"/>
                <w:b/>
                <w:bCs/>
                <w:color w:val="007A6E"/>
                <w:sz w:val="28"/>
                <w:szCs w:val="28"/>
              </w:rPr>
              <w:t xml:space="preserve">→</w:t>
            </w:r>
          </w:p>
        </w:tc>
        <w:tc>
          <w:tcPr>
            <w:tcW w:type="dxa" w:w="876"/>
            <w:tcBorders>
              <w:top w:val="single" w:color="D1D5DB" w:sz="4"/>
              <w:left w:val="single" w:color="D1D5DB" w:sz="4"/>
              <w:bottom w:val="single" w:color="D1D5DB" w:sz="4"/>
              <w:right w:val="single" w:color="D1D5DB" w:sz="4"/>
            </w:tcBorders>
            <w:shd w:fill="E6F4F3" w:val="clear"/>
            <w:tcMar>
              <w:top w:type="dxa" w:w="80"/>
              <w:left w:type="dxa" w:w="80"/>
              <w:bottom w:type="dxa" w:w="80"/>
              <w:right w:type="dxa" w:w="80"/>
            </w:tcMar>
            <w:vAlign w:val="center"/>
          </w:tcPr>
          <w:p>
            <w:pPr>
              <w:spacing w:after="40" w:before="0"/>
              <w:jc w:val="center"/>
            </w:pPr>
            <w:r>
              <w:rPr>
                <w:rFonts w:ascii="Arial" w:cs="Arial" w:eastAsia="Arial" w:hAnsi="Arial"/>
                <w:b/>
                <w:bCs/>
                <w:color w:val="007A6E"/>
                <w:sz w:val="28"/>
                <w:szCs w:val="28"/>
              </w:rPr>
              <w:t xml:space="preserve">★</w:t>
            </w:r>
          </w:p>
          <w:p>
            <w:pPr>
              <w:spacing w:after="0" w:before="0"/>
              <w:jc w:val="center"/>
            </w:pPr>
            <w:r>
              <w:rPr>
                <w:rFonts w:ascii="Arial" w:cs="Arial" w:eastAsia="Arial" w:hAnsi="Arial"/>
                <w:color w:val="374151"/>
                <w:sz w:val="14"/>
                <w:szCs w:val="14"/>
              </w:rPr>
              <w:t xml:space="preserve">Primary purpose of visit</w:t>
            </w:r>
          </w:p>
        </w:tc>
        <w:tc>
          <w:tcPr>
            <w:tcW w:type="dxa" w:w="876"/>
            <w:tcBorders>
              <w:top w:val="none" w:color="FFFFFF" w:sz="0"/>
              <w:left w:val="none" w:color="FFFFFF" w:sz="0"/>
              <w:bottom w:val="none" w:color="FFFFFF" w:sz="0"/>
              <w:right w:val="none" w:color="FFFFFF" w:sz="0"/>
            </w:tcBorders>
            <w:shd w:fill="FFFFFF" w:val="clear"/>
            <w:tcMar>
              <w:top w:type="dxa" w:w="80"/>
              <w:left w:type="dxa" w:w="40"/>
              <w:bottom w:type="dxa" w:w="80"/>
              <w:right w:type="dxa" w:w="40"/>
            </w:tcMar>
            <w:vAlign w:val="center"/>
          </w:tcPr>
          <w:p>
            <w:pPr>
              <w:spacing w:after="0" w:before="0"/>
              <w:jc w:val="center"/>
            </w:pPr>
            <w:r>
              <w:rPr>
                <w:rFonts w:ascii="Arial" w:cs="Arial" w:eastAsia="Arial" w:hAnsi="Arial"/>
                <w:b/>
                <w:bCs/>
                <w:color w:val="007A6E"/>
                <w:sz w:val="28"/>
                <w:szCs w:val="28"/>
              </w:rPr>
              <w:t xml:space="preserve">→</w:t>
            </w:r>
          </w:p>
        </w:tc>
        <w:tc>
          <w:tcPr>
            <w:tcW w:type="dxa" w:w="878"/>
            <w:tcBorders>
              <w:top w:val="single" w:color="D1D5DB" w:sz="4"/>
              <w:left w:val="single" w:color="D1D5DB" w:sz="4"/>
              <w:bottom w:val="single" w:color="D1D5DB" w:sz="4"/>
              <w:right w:val="single" w:color="D1D5DB" w:sz="4"/>
            </w:tcBorders>
            <w:shd w:fill="E6F4F3" w:val="clear"/>
            <w:tcMar>
              <w:top w:type="dxa" w:w="80"/>
              <w:left w:type="dxa" w:w="80"/>
              <w:bottom w:type="dxa" w:w="80"/>
              <w:right w:type="dxa" w:w="80"/>
            </w:tcMar>
            <w:vAlign w:val="center"/>
          </w:tcPr>
          <w:p>
            <w:pPr>
              <w:spacing w:after="40" w:before="0"/>
              <w:jc w:val="center"/>
            </w:pPr>
            <w:r>
              <w:rPr>
                <w:rFonts w:ascii="Arial" w:cs="Arial" w:eastAsia="Arial" w:hAnsi="Arial"/>
                <w:b/>
                <w:bCs/>
                <w:color w:val="007A6E"/>
                <w:sz w:val="28"/>
                <w:szCs w:val="28"/>
              </w:rPr>
              <w:t xml:space="preserve">↺</w:t>
            </w:r>
          </w:p>
          <w:p>
            <w:pPr>
              <w:spacing w:after="0" w:before="0"/>
              <w:jc w:val="center"/>
            </w:pPr>
            <w:r>
              <w:rPr>
                <w:rFonts w:ascii="Arial" w:cs="Arial" w:eastAsia="Arial" w:hAnsi="Arial"/>
                <w:color w:val="374151"/>
                <w:sz w:val="14"/>
                <w:szCs w:val="14"/>
              </w:rPr>
              <w:t xml:space="preserve">Return journey</w:t>
            </w:r>
          </w:p>
        </w:tc>
      </w:tr>
    </w:tbl>
    <w:p>
      <w:pPr>
        <w:spacing w:after="80" w:before="0"/>
      </w:pPr>
      <w:r>
        <w:t xml:space="preserve"/>
      </w:r>
    </w:p>
    <w:p>
      <w:pPr>
        <w:spacing w:after="200" w:before="0"/>
        <w:jc w:val="center"/>
      </w:pPr>
      <w:r>
        <w:rPr>
          <w:rFonts w:ascii="Arial" w:cs="Arial" w:eastAsia="Arial" w:hAnsi="Arial"/>
          <w:i/>
          <w:iCs/>
          <w:color w:val="6B7280"/>
          <w:sz w:val="18"/>
          <w:szCs w:val="18"/>
        </w:rPr>
        <w:t xml:space="preserve">Every assessment follows this journey. The specific questions asked at each stage depend on the venue type.</w:t>
      </w:r>
    </w:p>
    <w:p>
      <w:pPr>
        <w:spacing w:after="120" w:before="80"/>
      </w:pPr>
      <w:r>
        <w:rPr>
          <w:rFonts w:ascii="Arial" w:cs="Arial" w:eastAsia="Arial" w:hAnsi="Arial"/>
          <w:color w:val="374151"/>
          <w:sz w:val="22"/>
          <w:szCs w:val="22"/>
        </w:rPr>
        <w:t xml:space="preserve">The “primary purpose of visit” stage is what makes this tool genuinely useful — and genuinely different. It asks venue-specific questions rather than generic ones: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D1D5DB" w:sz="4"/>
              <w:left w:val="single" w:color="D1D5DB" w:sz="4"/>
              <w:bottom w:val="single" w:color="D1D5DB" w:sz="4"/>
              <w:right w:val="single" w:color="D1D5DB" w:sz="4"/>
            </w:tcBorders>
            <w:shd w:fill="007A6E"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Restaurant</w:t>
            </w:r>
          </w:p>
        </w:tc>
        <w:tc>
          <w:tcPr>
            <w:tcW w:type="dxa" w:w="2409"/>
            <w:tcBorders>
              <w:top w:val="single" w:color="D1D5DB" w:sz="4"/>
              <w:left w:val="single" w:color="D1D5DB" w:sz="4"/>
              <w:bottom w:val="single" w:color="D1D5DB" w:sz="4"/>
              <w:right w:val="single" w:color="D1D5DB" w:sz="4"/>
            </w:tcBorders>
            <w:shd w:fill="007A6E"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Bar / Nightclub</w:t>
            </w:r>
          </w:p>
        </w:tc>
        <w:tc>
          <w:tcPr>
            <w:tcW w:type="dxa" w:w="2409"/>
            <w:tcBorders>
              <w:top w:val="single" w:color="D1D5DB" w:sz="4"/>
              <w:left w:val="single" w:color="D1D5DB" w:sz="4"/>
              <w:bottom w:val="single" w:color="D1D5DB" w:sz="4"/>
              <w:right w:val="single" w:color="D1D5DB" w:sz="4"/>
            </w:tcBorders>
            <w:shd w:fill="007A6E"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Retail / Shopping</w:t>
            </w:r>
          </w:p>
        </w:tc>
        <w:tc>
          <w:tcPr>
            <w:tcW w:type="dxa" w:w="2411"/>
            <w:tcBorders>
              <w:top w:val="single" w:color="D1D5DB" w:sz="4"/>
              <w:left w:val="single" w:color="D1D5DB" w:sz="4"/>
              <w:bottom w:val="single" w:color="D1D5DB" w:sz="4"/>
              <w:right w:val="single" w:color="D1D5DB" w:sz="4"/>
            </w:tcBorders>
            <w:shd w:fill="007A6E"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Medical / Services</w:t>
            </w:r>
          </w:p>
        </w:tc>
      </w:tr>
      <w:tr>
        <w:tc>
          <w:tcPr>
            <w:tcW w:type="dxa" w:w="2409"/>
            <w:tcBorders>
              <w:top w:val="single" w:color="D1D5DB" w:sz="4"/>
              <w:left w:val="single" w:color="D1D5DB" w:sz="4"/>
              <w:bottom w:val="single" w:color="D1D5DB" w:sz="4"/>
              <w:right w:val="single" w:color="D1D5DB" w:sz="4"/>
            </w:tcBorders>
            <w:shd w:fill="E6F4F3"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Can wheelchair fit at a table?</w:t>
            </w:r>
          </w:p>
        </w:tc>
        <w:tc>
          <w:tcPr>
            <w:tcW w:type="dxa" w:w="2409"/>
            <w:tcBorders>
              <w:top w:val="single" w:color="D1D5DB" w:sz="4"/>
              <w:left w:val="single" w:color="D1D5DB" w:sz="4"/>
              <w:bottom w:val="single" w:color="D1D5DB" w:sz="4"/>
              <w:right w:val="single" w:color="D1D5DB" w:sz="4"/>
            </w:tcBorders>
            <w:shd w:fill="E6F4F3"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Is bar counter reachable?</w:t>
            </w:r>
          </w:p>
        </w:tc>
        <w:tc>
          <w:tcPr>
            <w:tcW w:type="dxa" w:w="2409"/>
            <w:tcBorders>
              <w:top w:val="single" w:color="D1D5DB" w:sz="4"/>
              <w:left w:val="single" w:color="D1D5DB" w:sz="4"/>
              <w:bottom w:val="single" w:color="D1D5DB" w:sz="4"/>
              <w:right w:val="single" w:color="D1D5DB" w:sz="4"/>
            </w:tcBorders>
            <w:shd w:fill="E6F4F3"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Aisle widths for manoeuvring?</w:t>
            </w:r>
          </w:p>
        </w:tc>
        <w:tc>
          <w:tcPr>
            <w:tcW w:type="dxa" w:w="2411"/>
            <w:tcBorders>
              <w:top w:val="single" w:color="D1D5DB" w:sz="4"/>
              <w:left w:val="single" w:color="D1D5DB" w:sz="4"/>
              <w:bottom w:val="single" w:color="D1D5DB" w:sz="4"/>
              <w:right w:val="single" w:color="D1D5DB" w:sz="4"/>
            </w:tcBorders>
            <w:shd w:fill="E6F4F3"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Reception desk reachable?</w:t>
            </w:r>
          </w:p>
        </w:tc>
      </w:tr>
      <w:tr>
        <w:tc>
          <w:tcPr>
            <w:tcW w:type="dxa" w:w="2409"/>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Without blocking aisles or guests?</w:t>
            </w:r>
          </w:p>
        </w:tc>
        <w:tc>
          <w:tcPr>
            <w:tcW w:type="dxa" w:w="2409"/>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Can staff see a seated user?</w:t>
            </w:r>
          </w:p>
        </w:tc>
        <w:tc>
          <w:tcPr>
            <w:tcW w:type="dxa" w:w="2409"/>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Counter height at checkout?</w:t>
            </w:r>
          </w:p>
        </w:tc>
        <w:tc>
          <w:tcPr>
            <w:tcW w:type="dxa" w:w="2411"/>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Waiting room space to park?</w:t>
            </w:r>
          </w:p>
        </w:tc>
      </w:tr>
      <w:tr>
        <w:tc>
          <w:tcPr>
            <w:tcW w:type="dxa" w:w="2409"/>
            <w:tcBorders>
              <w:top w:val="single" w:color="D1D5DB" w:sz="4"/>
              <w:left w:val="single" w:color="D1D5DB" w:sz="4"/>
              <w:bottom w:val="single" w:color="D1D5DB" w:sz="4"/>
              <w:right w:val="single" w:color="D1D5DB" w:sz="4"/>
            </w:tcBorders>
            <w:shd w:fill="E6F4F3"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Is table height usable?</w:t>
            </w:r>
          </w:p>
        </w:tc>
        <w:tc>
          <w:tcPr>
            <w:tcW w:type="dxa" w:w="2409"/>
            <w:tcBorders>
              <w:top w:val="single" w:color="D1D5DB" w:sz="4"/>
              <w:left w:val="single" w:color="D1D5DB" w:sz="4"/>
              <w:bottom w:val="single" w:color="D1D5DB" w:sz="4"/>
              <w:right w:val="single" w:color="D1D5DB" w:sz="4"/>
            </w:tcBorders>
            <w:shd w:fill="E6F4F3"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Is the dance floor accessible?</w:t>
            </w:r>
          </w:p>
        </w:tc>
        <w:tc>
          <w:tcPr>
            <w:tcW w:type="dxa" w:w="2409"/>
            <w:tcBorders>
              <w:top w:val="single" w:color="D1D5DB" w:sz="4"/>
              <w:left w:val="single" w:color="D1D5DB" w:sz="4"/>
              <w:bottom w:val="single" w:color="D1D5DB" w:sz="4"/>
              <w:right w:val="single" w:color="D1D5DB" w:sz="4"/>
            </w:tcBorders>
            <w:shd w:fill="E6F4F3"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Fitting room access?</w:t>
            </w:r>
          </w:p>
        </w:tc>
        <w:tc>
          <w:tcPr>
            <w:tcW w:type="dxa" w:w="2411"/>
            <w:tcBorders>
              <w:top w:val="single" w:color="D1D5DB" w:sz="4"/>
              <w:left w:val="single" w:color="D1D5DB" w:sz="4"/>
              <w:bottom w:val="single" w:color="D1D5DB" w:sz="4"/>
              <w:right w:val="single" w:color="D1D5DB" w:sz="4"/>
            </w:tcBorders>
            <w:shd w:fill="E6F4F3"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Consultation room access?</w:t>
            </w:r>
          </w:p>
        </w:tc>
      </w:tr>
      <w:tr>
        <w:tc>
          <w:tcPr>
            <w:tcW w:type="dxa" w:w="2409"/>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Can menus be reached?</w:t>
            </w:r>
          </w:p>
        </w:tc>
        <w:tc>
          <w:tcPr>
            <w:tcW w:type="dxa" w:w="2409"/>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Seating at usable height?</w:t>
            </w:r>
          </w:p>
        </w:tc>
        <w:tc>
          <w:tcPr>
            <w:tcW w:type="dxa" w:w="2409"/>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EFTPOS terminal reachable?</w:t>
            </w:r>
          </w:p>
        </w:tc>
        <w:tc>
          <w:tcPr>
            <w:tcW w:type="dxa" w:w="2411"/>
            <w:tcBorders>
              <w:top w:val="single" w:color="D1D5DB" w:sz="4"/>
              <w:left w:val="single" w:color="D1D5DB" w:sz="4"/>
              <w:bottom w:val="single" w:color="D1D5DB" w:sz="4"/>
              <w:right w:val="single" w:color="D1D5DB" w:sz="4"/>
            </w:tcBorders>
            <w:shd w:fill="FFFFFF" w:val="clear"/>
            <w:tcMar>
              <w:top w:type="dxa" w:w="60"/>
              <w:left w:type="dxa" w:w="120"/>
              <w:bottom w:type="dxa" w:w="60"/>
              <w:right w:type="dxa" w:w="120"/>
            </w:tcMar>
          </w:tcPr>
          <w:p>
            <w:pPr>
              <w:spacing w:after="0" w:before="0"/>
            </w:pPr>
            <w:r>
              <w:rPr>
                <w:rFonts w:ascii="Arial" w:cs="Arial" w:eastAsia="Arial" w:hAnsi="Arial"/>
                <w:color w:val="374151"/>
                <w:sz w:val="18"/>
                <w:szCs w:val="18"/>
              </w:rPr>
              <w:t xml:space="preserve">Equipment at usable height?</w:t>
            </w:r>
          </w:p>
        </w:tc>
      </w:tr>
    </w:tbl>
    <w:p>
      <w:pPr>
        <w:spacing w:after="20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single" w:color="B45309" w:sz="24"/>
              <w:bottom w:val="none" w:color="FFFFFF" w:sz="0"/>
              <w:right w:val="none" w:color="FFFFFF" w:sz="0"/>
            </w:tcBorders>
            <w:shd w:fill="FEF3C7" w:val="clear"/>
            <w:tcMar>
              <w:top w:type="dxa" w:w="120"/>
              <w:left w:type="dxa" w:w="200"/>
              <w:bottom w:type="dxa" w:w="120"/>
              <w:right w:type="dxa" w:w="200"/>
            </w:tcMar>
          </w:tcPr>
          <w:p>
            <w:pPr>
              <w:spacing w:after="60" w:before="0"/>
            </w:pPr>
            <w:r>
              <w:rPr>
                <w:rFonts w:ascii="Arial" w:cs="Arial" w:eastAsia="Arial" w:hAnsi="Arial"/>
                <w:b/>
                <w:bCs/>
                <w:caps/>
                <w:color w:val="B45309"/>
                <w:sz w:val="20"/>
                <w:szCs w:val="20"/>
              </w:rPr>
              <w:t xml:space="preserve">Important boundary</w:t>
            </w:r>
          </w:p>
          <w:p>
            <w:pPr>
              <w:spacing w:after="0" w:before="0"/>
            </w:pPr>
            <w:r>
              <w:rPr>
                <w:rFonts w:ascii="Arial" w:cs="Arial" w:eastAsia="Arial" w:hAnsi="Arial"/>
                <w:color w:val="374151"/>
                <w:sz w:val="20"/>
                <w:szCs w:val="20"/>
              </w:rPr>
              <w:t xml:space="preserve">The assessment tool is not a whole-venue audit, not an Australian Standards compliance check, and not a professional certification. It is a structured, community-sourced record of what was observed — on a specific route, on a specific day, by a specific assessor.</w:t>
            </w:r>
          </w:p>
        </w:tc>
      </w:tr>
    </w:tbl>
    <w:p>
      <w:pPr>
        <w:spacing w:after="320" w:before="0"/>
      </w:pPr>
      <w:r>
        <w:t xml:space="preserve"/>
      </w:r>
    </w:p>
    <w:p>
      <w:pPr>
        <w:pStyle w:val="Heading1"/>
        <w:pBdr>
          <w:bottom w:val="single" w:color="007A6E" w:sz="6"/>
        </w:pBdr>
        <w:spacing w:after="120" w:before="480"/>
      </w:pPr>
      <w:r>
        <w:rPr>
          <w:rFonts w:ascii="Arial" w:cs="Arial" w:eastAsia="Arial" w:hAnsi="Arial"/>
          <w:b/>
          <w:bCs/>
          <w:color w:val="007A6E"/>
          <w:sz w:val="36"/>
          <w:szCs w:val="36"/>
        </w:rPr>
        <w:t xml:space="preserve">Lived experience is the credential</w:t>
      </w:r>
    </w:p>
    <w:p>
      <w:pPr>
        <w:spacing w:after="80" w:before="0"/>
      </w:pPr>
      <w:r>
        <w:t xml:space="preserve"/>
      </w:r>
    </w:p>
    <w:p>
      <w:pPr>
        <w:spacing w:after="120" w:before="80"/>
      </w:pPr>
      <w:r>
        <w:rPr>
          <w:rFonts w:ascii="Arial" w:cs="Arial" w:eastAsia="Arial" w:hAnsi="Arial"/>
          <w:color w:val="374151"/>
          <w:sz w:val="22"/>
          <w:szCs w:val="22"/>
        </w:rPr>
        <w:t xml:space="preserve">The unTR@PPED assessment tool is designed to be used by everyday community members — not professionals. The people most likely to use it are those who understand, at a personal level, what a failed outing means.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D1D5DB" w:sz="4"/>
              <w:left w:val="single" w:color="D1D5DB" w:sz="4"/>
              <w:bottom w:val="single" w:color="D1D5DB" w:sz="4"/>
              <w:right w:val="single" w:color="D1D5DB" w:sz="4"/>
            </w:tcBorders>
            <w:shd w:fill="F8F9FA" w:val="clear"/>
            <w:tcMar>
              <w:top w:type="dxa" w:w="120"/>
              <w:left w:type="dxa" w:w="140"/>
              <w:bottom w:type="dxa" w:w="120"/>
              <w:right w:type="dxa" w:w="140"/>
            </w:tcMar>
          </w:tcPr>
          <w:p>
            <w:pPr>
              <w:spacing w:after="60" w:before="0"/>
              <w:jc w:val="center"/>
            </w:pPr>
            <w:r>
              <w:rPr>
                <w:rFonts w:ascii="Arial" w:cs="Arial" w:eastAsia="Arial" w:hAnsi="Arial"/>
                <w:sz w:val="36"/>
                <w:szCs w:val="36"/>
              </w:rPr>
              <w:t xml:space="preserve">♿</w:t>
            </w:r>
          </w:p>
          <w:p>
            <w:pPr>
              <w:spacing w:after="80" w:before="0"/>
              <w:jc w:val="center"/>
            </w:pPr>
            <w:r>
              <w:rPr>
                <w:rFonts w:ascii="Arial" w:cs="Arial" w:eastAsia="Arial" w:hAnsi="Arial"/>
                <w:b/>
                <w:bCs/>
                <w:color w:val="111827"/>
                <w:sz w:val="20"/>
                <w:szCs w:val="20"/>
              </w:rPr>
              <w:t xml:space="preserve">Wheelchair users</w:t>
            </w:r>
          </w:p>
          <w:p>
            <w:pPr>
              <w:spacing w:after="0" w:before="0"/>
              <w:jc w:val="center"/>
            </w:pPr>
            <w:r>
              <w:rPr>
                <w:rFonts w:ascii="Arial" w:cs="Arial" w:eastAsia="Arial" w:hAnsi="Arial"/>
                <w:color w:val="374151"/>
                <w:sz w:val="18"/>
                <w:szCs w:val="18"/>
              </w:rPr>
              <w:t xml:space="preserve">Contributing to a shared resource for their community — assessing venues they use regularly or visiting for the first time.</w:t>
            </w:r>
          </w:p>
        </w:tc>
        <w:tc>
          <w:tcPr>
            <w:tcW w:type="dxa" w:w="2409"/>
            <w:tcBorders>
              <w:top w:val="single" w:color="D1D5DB" w:sz="4"/>
              <w:left w:val="single" w:color="D1D5DB" w:sz="4"/>
              <w:bottom w:val="single" w:color="D1D5DB" w:sz="4"/>
              <w:right w:val="single" w:color="D1D5DB" w:sz="4"/>
            </w:tcBorders>
            <w:shd w:fill="F8F9FA" w:val="clear"/>
            <w:tcMar>
              <w:top w:type="dxa" w:w="120"/>
              <w:left w:type="dxa" w:w="140"/>
              <w:bottom w:type="dxa" w:w="120"/>
              <w:right w:type="dxa" w:w="140"/>
            </w:tcMar>
          </w:tcPr>
          <w:p>
            <w:pPr>
              <w:spacing w:after="60" w:before="0"/>
              <w:jc w:val="center"/>
            </w:pPr>
            <w:r>
              <w:rPr>
                <w:rFonts w:ascii="Arial" w:cs="Arial" w:eastAsia="Arial" w:hAnsi="Arial"/>
                <w:sz w:val="36"/>
                <w:szCs w:val="36"/>
              </w:rPr>
              <w:t xml:space="preserve">👨‍👩‍👧</w:t>
            </w:r>
          </w:p>
          <w:p>
            <w:pPr>
              <w:spacing w:after="80" w:before="0"/>
              <w:jc w:val="center"/>
            </w:pPr>
            <w:r>
              <w:rPr>
                <w:rFonts w:ascii="Arial" w:cs="Arial" w:eastAsia="Arial" w:hAnsi="Arial"/>
                <w:b/>
                <w:bCs/>
                <w:color w:val="111827"/>
                <w:sz w:val="20"/>
                <w:szCs w:val="20"/>
              </w:rPr>
              <w:t xml:space="preserve">Family members</w:t>
            </w:r>
          </w:p>
          <w:p>
            <w:pPr>
              <w:spacing w:after="0" w:before="0"/>
              <w:jc w:val="center"/>
            </w:pPr>
            <w:r>
              <w:rPr>
                <w:rFonts w:ascii="Arial" w:cs="Arial" w:eastAsia="Arial" w:hAnsi="Arial"/>
                <w:color w:val="374151"/>
                <w:sz w:val="18"/>
                <w:szCs w:val="18"/>
              </w:rPr>
              <w:t xml:space="preserve">Scoping a venue for a loved one and choosing to share that information so others don't have to do the same work.</w:t>
            </w:r>
          </w:p>
        </w:tc>
        <w:tc>
          <w:tcPr>
            <w:tcW w:type="dxa" w:w="2409"/>
            <w:tcBorders>
              <w:top w:val="single" w:color="D1D5DB" w:sz="4"/>
              <w:left w:val="single" w:color="D1D5DB" w:sz="4"/>
              <w:bottom w:val="single" w:color="D1D5DB" w:sz="4"/>
              <w:right w:val="single" w:color="D1D5DB" w:sz="4"/>
            </w:tcBorders>
            <w:shd w:fill="F8F9FA" w:val="clear"/>
            <w:tcMar>
              <w:top w:type="dxa" w:w="120"/>
              <w:left w:type="dxa" w:w="140"/>
              <w:bottom w:type="dxa" w:w="120"/>
              <w:right w:type="dxa" w:w="140"/>
            </w:tcMar>
          </w:tcPr>
          <w:p>
            <w:pPr>
              <w:spacing w:after="60" w:before="0"/>
              <w:jc w:val="center"/>
            </w:pPr>
            <w:r>
              <w:rPr>
                <w:rFonts w:ascii="Arial" w:cs="Arial" w:eastAsia="Arial" w:hAnsi="Arial"/>
                <w:sz w:val="36"/>
                <w:szCs w:val="36"/>
              </w:rPr>
              <w:t xml:space="preserve">🤝</w:t>
            </w:r>
          </w:p>
          <w:p>
            <w:pPr>
              <w:spacing w:after="80" w:before="0"/>
              <w:jc w:val="center"/>
            </w:pPr>
            <w:r>
              <w:rPr>
                <w:rFonts w:ascii="Arial" w:cs="Arial" w:eastAsia="Arial" w:hAnsi="Arial"/>
                <w:b/>
                <w:bCs/>
                <w:color w:val="111827"/>
                <w:sz w:val="20"/>
                <w:szCs w:val="20"/>
              </w:rPr>
              <w:t xml:space="preserve">Support workers</w:t>
            </w:r>
          </w:p>
          <w:p>
            <w:pPr>
              <w:spacing w:after="0" w:before="0"/>
              <w:jc w:val="center"/>
            </w:pPr>
            <w:r>
              <w:rPr>
                <w:rFonts w:ascii="Arial" w:cs="Arial" w:eastAsia="Arial" w:hAnsi="Arial"/>
                <w:color w:val="374151"/>
                <w:sz w:val="18"/>
                <w:szCs w:val="18"/>
              </w:rPr>
              <w:t xml:space="preserve">Checking whether a venue is genuinely accessible for a specific client — and capturing that knowledge formally.</w:t>
            </w:r>
          </w:p>
        </w:tc>
        <w:tc>
          <w:tcPr>
            <w:tcW w:type="dxa" w:w="2411"/>
            <w:tcBorders>
              <w:top w:val="single" w:color="D1D5DB" w:sz="4"/>
              <w:left w:val="single" w:color="D1D5DB" w:sz="4"/>
              <w:bottom w:val="single" w:color="D1D5DB" w:sz="4"/>
              <w:right w:val="single" w:color="D1D5DB" w:sz="4"/>
            </w:tcBorders>
            <w:shd w:fill="F8F9FA" w:val="clear"/>
            <w:tcMar>
              <w:top w:type="dxa" w:w="120"/>
              <w:left w:type="dxa" w:w="140"/>
              <w:bottom w:type="dxa" w:w="120"/>
              <w:right w:type="dxa" w:w="140"/>
            </w:tcMar>
          </w:tcPr>
          <w:p>
            <w:pPr>
              <w:spacing w:after="60" w:before="0"/>
              <w:jc w:val="center"/>
            </w:pPr>
            <w:r>
              <w:rPr>
                <w:rFonts w:ascii="Arial" w:cs="Arial" w:eastAsia="Arial" w:hAnsi="Arial"/>
                <w:sz w:val="36"/>
                <w:szCs w:val="36"/>
              </w:rPr>
              <w:t xml:space="preserve">🏘️</w:t>
            </w:r>
          </w:p>
          <w:p>
            <w:pPr>
              <w:spacing w:after="80" w:before="0"/>
              <w:jc w:val="center"/>
            </w:pPr>
            <w:r>
              <w:rPr>
                <w:rFonts w:ascii="Arial" w:cs="Arial" w:eastAsia="Arial" w:hAnsi="Arial"/>
                <w:b/>
                <w:bCs/>
                <w:color w:val="111827"/>
                <w:sz w:val="20"/>
                <w:szCs w:val="20"/>
              </w:rPr>
              <w:t xml:space="preserve">Community advocates</w:t>
            </w:r>
          </w:p>
          <w:p>
            <w:pPr>
              <w:spacing w:after="0" w:before="0"/>
              <w:jc w:val="center"/>
            </w:pPr>
            <w:r>
              <w:rPr>
                <w:rFonts w:ascii="Arial" w:cs="Arial" w:eastAsia="Arial" w:hAnsi="Arial"/>
                <w:color w:val="374151"/>
                <w:sz w:val="18"/>
                <w:szCs w:val="18"/>
              </w:rPr>
              <w:t xml:space="preserve">People who want to improve local access by contributing structured, trustworthy, reusable data.</w:t>
            </w:r>
          </w:p>
        </w:tc>
      </w:tr>
    </w:tbl>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single" w:color="166534" w:sz="24"/>
              <w:bottom w:val="none" w:color="FFFFFF" w:sz="0"/>
              <w:right w:val="none" w:color="FFFFFF" w:sz="0"/>
            </w:tcBorders>
            <w:shd w:fill="F0FDF4" w:val="clear"/>
            <w:tcMar>
              <w:top w:type="dxa" w:w="120"/>
              <w:left w:type="dxa" w:w="200"/>
              <w:bottom w:type="dxa" w:w="120"/>
              <w:right w:type="dxa" w:w="200"/>
            </w:tcMar>
          </w:tcPr>
          <w:p>
            <w:pPr>
              <w:spacing w:after="60" w:before="0"/>
            </w:pPr>
            <w:r>
              <w:rPr>
                <w:rFonts w:ascii="Arial" w:cs="Arial" w:eastAsia="Arial" w:hAnsi="Arial"/>
                <w:b/>
                <w:bCs/>
                <w:caps/>
                <w:color w:val="166534"/>
                <w:sz w:val="20"/>
                <w:szCs w:val="20"/>
              </w:rPr>
              <w:t xml:space="preserve">Design principle — respect, not instruction</w:t>
            </w:r>
          </w:p>
          <w:p>
            <w:pPr>
              <w:spacing w:after="0" w:before="0"/>
            </w:pPr>
            <w:r>
              <w:rPr>
                <w:rFonts w:ascii="Arial" w:cs="Arial" w:eastAsia="Arial" w:hAnsi="Arial"/>
                <w:color w:val="374151"/>
                <w:sz w:val="20"/>
                <w:szCs w:val="20"/>
              </w:rPr>
              <w:t xml:space="preserve">Any onboarding or guidance built into the tool must be sensitive to the fact that many assessors will have extensive lived experience with wheelchair access. The tool guides the process — not the person. It assumes competence, not ignorance.</w:t>
            </w:r>
          </w:p>
        </w:tc>
      </w:tr>
    </w:tbl>
    <w:p>
      <w:pPr>
        <w:spacing w:after="320" w:before="0"/>
      </w:pPr>
      <w:r>
        <w:t xml:space="preserve"/>
      </w:r>
    </w:p>
    <w:p>
      <w:pPr>
        <w:pStyle w:val="Heading1"/>
        <w:pBdr>
          <w:bottom w:val="single" w:color="007A6E" w:sz="6"/>
        </w:pBdr>
        <w:spacing w:after="120" w:before="480"/>
      </w:pPr>
      <w:r>
        <w:rPr>
          <w:rFonts w:ascii="Arial" w:cs="Arial" w:eastAsia="Arial" w:hAnsi="Arial"/>
          <w:b/>
          <w:bCs/>
          <w:color w:val="007A6E"/>
          <w:sz w:val="36"/>
          <w:szCs w:val="36"/>
        </w:rPr>
        <w:t xml:space="preserve">Community data is only useful if it’s consistent</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D1D5DB" w:sz="4"/>
              <w:left w:val="single" w:color="D1D5DB" w:sz="4"/>
              <w:bottom w:val="single" w:color="D1D5DB" w:sz="4"/>
              <w:right w:val="single" w:color="D1D5DB" w:sz="4"/>
            </w:tcBorders>
            <w:shd w:fill="F0FDF4" w:val="clear"/>
            <w:tcMar>
              <w:top w:type="dxa" w:w="160"/>
              <w:left w:type="dxa" w:w="240"/>
              <w:bottom w:type="dxa" w:w="160"/>
              <w:right w:type="dxa" w:w="240"/>
            </w:tcMar>
          </w:tcPr>
          <w:p>
            <w:pPr>
              <w:spacing w:after="80" w:before="0"/>
            </w:pPr>
            <w:r>
              <w:rPr>
                <w:rFonts w:ascii="Arial" w:cs="Arial" w:eastAsia="Arial" w:hAnsi="Arial"/>
                <w:b/>
                <w:bCs/>
                <w:color w:val="166534"/>
                <w:sz w:val="26"/>
                <w:szCs w:val="26"/>
              </w:rPr>
              <w:t xml:space="preserve">The Common Data Standard</w:t>
            </w:r>
          </w:p>
          <w:p>
            <w:pPr>
              <w:spacing w:after="80" w:before="0"/>
            </w:pPr>
            <w:r>
              <w:rPr>
                <w:rFonts w:ascii="Arial" w:cs="Arial" w:eastAsia="Arial" w:hAnsi="Arial"/>
                <w:color w:val="374151"/>
                <w:sz w:val="21"/>
                <w:szCs w:val="21"/>
              </w:rPr>
              <w:t xml:space="preserve">The long-term value of unTR@PPED depends entirely on one thing: every assessment, conducted by any volunteer anywhere, must capture data in a consistent, comparable format.</w:t>
            </w:r>
          </w:p>
          <w:p>
            <w:pPr>
              <w:spacing w:after="80" w:before="0"/>
            </w:pPr>
            <w:r>
              <w:rPr>
                <w:rFonts w:ascii="Arial" w:cs="Arial" w:eastAsia="Arial" w:hAnsi="Arial"/>
                <w:color w:val="374151"/>
                <w:sz w:val="21"/>
                <w:szCs w:val="21"/>
              </w:rPr>
              <w:t xml:space="preserve">A measurement taken one way by one person and a different way by another person is not useful data — it is noise. For the dataset to inform other wheelchair users reliably, the tool must guide assessors to measure the same things in the same way every time.</w:t>
            </w:r>
          </w:p>
          <w:p>
            <w:pPr>
              <w:spacing w:after="0" w:before="0"/>
            </w:pPr>
            <w:r>
              <w:rPr>
                <w:rFonts w:ascii="Arial" w:cs="Arial" w:eastAsia="Arial" w:hAnsi="Arial"/>
                <w:b/>
                <w:bCs/>
                <w:color w:val="111827"/>
                <w:sz w:val="21"/>
                <w:szCs w:val="21"/>
              </w:rPr>
              <w:t xml:space="preserve">This is the role the AI agent will eventually carry. In the short and medium term, it is the role the form design and field template must establish.</w:t>
            </w:r>
          </w:p>
        </w:tc>
      </w:tr>
    </w:tbl>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single" w:color="1D4ED8" w:sz="24"/>
              <w:bottom w:val="none" w:color="FFFFFF" w:sz="0"/>
              <w:right w:val="none" w:color="FFFFFF" w:sz="0"/>
            </w:tcBorders>
            <w:shd w:fill="EFF6FF" w:val="clear"/>
            <w:tcMar>
              <w:top w:type="dxa" w:w="120"/>
              <w:left w:type="dxa" w:w="200"/>
              <w:bottom w:type="dxa" w:w="120"/>
              <w:right w:type="dxa" w:w="200"/>
            </w:tcMar>
          </w:tcPr>
          <w:p>
            <w:pPr>
              <w:spacing w:after="60" w:before="0"/>
            </w:pPr>
            <w:r>
              <w:rPr>
                <w:rFonts w:ascii="Arial" w:cs="Arial" w:eastAsia="Arial" w:hAnsi="Arial"/>
                <w:b/>
                <w:bCs/>
                <w:caps/>
                <w:color w:val="1D4ED8"/>
                <w:sz w:val="20"/>
                <w:szCs w:val="20"/>
              </w:rPr>
              <w:t xml:space="preserve">Observed vs. measured vs. unknown</w:t>
            </w:r>
          </w:p>
          <w:p>
            <w:pPr>
              <w:spacing w:after="0" w:before="0"/>
            </w:pPr>
            <w:r>
              <w:rPr>
                <w:rFonts w:ascii="Arial" w:cs="Arial" w:eastAsia="Arial" w:hAnsi="Arial"/>
                <w:color w:val="374151"/>
                <w:sz w:val="20"/>
                <w:szCs w:val="20"/>
              </w:rPr>
              <w:t xml:space="preserve">The assessment tool enforces strict data discipline: Observed directly can become data. Not observed, not measured, or uncertain = null. Notes are allowed, but notes do not drive the assessment result. This prevents vague impressions from being recorded as facts.</w:t>
            </w:r>
          </w:p>
        </w:tc>
      </w:tr>
    </w:tbl>
    <w:p>
      <w:pPr>
        <w:spacing w:after="400" w:before="0"/>
      </w:pPr>
      <w:r>
        <w:t xml:space="preserve"/>
      </w:r>
    </w:p>
    <w:p>
      <w:pPr>
        <w:pStyle w:val="Heading1"/>
        <w:pBdr>
          <w:bottom w:val="single" w:color="007A6E" w:sz="6"/>
        </w:pBdr>
        <w:spacing w:after="120" w:before="480"/>
      </w:pPr>
      <w:r>
        <w:rPr>
          <w:rFonts w:ascii="Arial" w:cs="Arial" w:eastAsia="Arial" w:hAnsi="Arial"/>
          <w:b/>
          <w:bCs/>
          <w:color w:val="007A6E"/>
          <w:sz w:val="36"/>
          <w:szCs w:val="36"/>
        </w:rPr>
        <w:t xml:space="preserve">Four phases. One destination.</w:t>
      </w:r>
    </w:p>
    <w:p>
      <w:pPr>
        <w:spacing w:after="80" w:before="0"/>
      </w:pPr>
      <w:r>
        <w:t xml:space="preserve"/>
      </w:r>
    </w:p>
    <w:p>
      <w:pPr>
        <w:spacing w:after="120" w:before="80"/>
      </w:pPr>
      <w:r>
        <w:rPr>
          <w:rFonts w:ascii="Arial" w:cs="Arial" w:eastAsia="Arial" w:hAnsi="Arial"/>
          <w:color w:val="374151"/>
          <w:sz w:val="22"/>
          <w:szCs w:val="22"/>
        </w:rPr>
        <w:t xml:space="preserve">The assessment tool evolves from a professional paper form through to a fully AI-guided digital platform — building rigour and accessibility at every stage.</w:t>
      </w:r>
    </w:p>
    <w:p>
      <w:pPr>
        <w:spacing w:after="200" w:before="0"/>
      </w:pPr>
      <w:r>
        <w:t xml:space="preserve"/>
      </w:r>
    </w:p>
    <w:tbl>
      <w:tblPr>
        <w:tblW w:type="dxa" w:w="9638"/>
        <w:tblBorders>
          <w:top w:val="single" w:color="007A6E" w:sz="4"/>
          <w:left w:val="single" w:color="D1D5DB" w:sz="4"/>
          <w:bottom w:val="single" w:color="D1D5DB" w:sz="4"/>
          <w:right w:val="single" w:color="D1D5DB"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shd w:fill="E6F4F3" w:val="clear"/>
            <w:tcMar>
              <w:top w:type="dxa" w:w="120"/>
              <w:left w:type="dxa" w:w="120"/>
              <w:bottom w:type="dxa" w:w="120"/>
              <w:right w:type="dxa" w:w="120"/>
            </w:tcMar>
            <w:vAlign w:val="center"/>
          </w:tcPr>
          <w:p>
            <w:pPr>
              <w:spacing w:after="40" w:before="0"/>
              <w:jc w:val="center"/>
            </w:pPr>
            <w:r>
              <w:rPr>
                <w:rFonts w:ascii="Arial" w:cs="Arial" w:eastAsia="Arial" w:hAnsi="Arial"/>
                <w:b/>
                <w:bCs/>
                <w:caps/>
                <w:color w:val="007A6E"/>
                <w:sz w:val="16"/>
                <w:szCs w:val="16"/>
              </w:rPr>
              <w:t xml:space="preserve">Phase 1</w:t>
            </w:r>
          </w:p>
          <w:p>
            <w:pPr>
              <w:spacing w:after="0" w:before="0"/>
              <w:jc w:val="center"/>
            </w:pPr>
            <w:r>
              <w:rPr>
                <w:rFonts w:ascii="Arial" w:cs="Arial" w:eastAsia="Arial" w:hAnsi="Arial"/>
                <w:b/>
                <w:bCs/>
                <w:color w:val="007A6E"/>
                <w:sz w:val="20"/>
                <w:szCs w:val="20"/>
              </w:rPr>
              <w:t xml:space="preserve">Short Term</w:t>
            </w:r>
          </w:p>
        </w:tc>
        <w:tc>
          <w:tcPr>
            <w:tcW w:type="dxa" w:w="8238"/>
            <w:tcBorders>
              <w:top w:val="none" w:color="FFFFFF" w:sz="0"/>
              <w:left w:val="none" w:color="FFFFFF" w:sz="0"/>
              <w:bottom w:val="none" w:color="FFFFFF" w:sz="0"/>
              <w:right w:val="none" w:color="FFFFFF" w:sz="0"/>
            </w:tcBorders>
            <w:shd w:fill="FFFFFF" w:val="clear"/>
            <w:tcMar>
              <w:top w:type="dxa" w:w="120"/>
              <w:left w:type="dxa" w:w="200"/>
              <w:bottom w:type="dxa" w:w="0"/>
              <w:right w:type="dxa" w:w="120"/>
            </w:tcMar>
          </w:tcPr>
          <w:p>
            <w:pPr>
              <w:spacing w:after="60" w:before="0"/>
            </w:pPr>
            <w:r>
              <w:rPr>
                <w:rFonts w:ascii="Arial" w:cs="Arial" w:eastAsia="Arial" w:hAnsi="Arial"/>
                <w:b/>
                <w:bCs/>
                <w:color w:val="111827"/>
                <w:sz w:val="28"/>
                <w:szCs w:val="28"/>
              </w:rPr>
              <w:t xml:space="preserve">A Professional Field Assessment Form</w:t>
            </w:r>
          </w:p>
        </w:tc>
      </w:tr>
      <w:tr>
        <w:tc>
          <w:tcPr>
            <w:tcW w:type="dxa" w:w="1400"/>
            <w:tcBorders>
              <w:top w:val="none" w:color="FFFFFF" w:sz="0"/>
              <w:left w:val="single" w:color="007A6E" w:sz="24"/>
              <w:bottom w:val="none" w:color="FFFFFF" w:sz="0"/>
              <w:right w:val="none" w:color="FFFFFF" w:sz="0"/>
            </w:tcBorders>
            <w:shd w:fill="E6F4F3" w:val="clear"/>
          </w:tcPr>
          <w:p/>
        </w:tc>
        <w:tc>
          <w:tcPr>
            <w:tcW w:type="dxa" w:w="8238"/>
            <w:tcBorders>
              <w:top w:val="none" w:color="FFFFFF" w:sz="0"/>
              <w:left w:val="none" w:color="FFFFFF" w:sz="0"/>
              <w:bottom w:val="none" w:color="FFFFFF" w:sz="0"/>
              <w:right w:val="none" w:color="FFFFFF" w:sz="0"/>
            </w:tcBorders>
            <w:shd w:fill="FFFFFF" w:val="clear"/>
            <w:tcMar>
              <w:top w:type="dxa" w:w="0"/>
              <w:left w:type="dxa" w:w="200"/>
              <w:bottom w:type="dxa" w:w="160"/>
              <w:right w:type="dxa" w:w="120"/>
            </w:tcMar>
          </w:tcPr>
          <w:p>
            <w:pPr>
              <w:spacing w:after="120" w:before="0"/>
            </w:pPr>
            <w:r>
              <w:rPr>
                <w:rFonts w:ascii="Arial" w:cs="Arial" w:eastAsia="Arial" w:hAnsi="Arial"/>
                <w:color w:val="374151"/>
                <w:sz w:val="21"/>
                <w:szCs w:val="21"/>
              </w:rPr>
              <w:t xml:space="preserve">The immediate priority is turning the existing field notes protocol into a clear, professionally designed assessment form — something an assessor would be proud to carry and use, and that a venue manager would take seriously upon receiving a completed copy. The form establishes the data schema that all future phases will build upon. Every field name, every measurement protocol, every null-handling rule defined here carries forward permanently.</w:t>
            </w:r>
          </w:p>
          <w:p>
            <w:pPr>
              <w:spacing w:after="60" w:before="60"/>
            </w:pPr>
            <w:r>
              <w:rPr>
                <w:rFonts w:ascii="Arial" w:cs="Arial" w:eastAsia="Arial" w:hAnsi="Arial"/>
                <w:b/>
                <w:bCs/>
                <w:caps/>
                <w:color w:val="007A6E"/>
                <w:sz w:val="20"/>
                <w:szCs w:val="20"/>
              </w:rPr>
              <w:t xml:space="preserve">Key deliverables</w:t>
            </w:r>
          </w:p>
          <w:p>
            <w:pPr>
              <w:spacing w:after="40" w:before="40"/>
              <w:ind w:left="320" w:hanging="24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Professional print-ready form layout with clear sections and logical flow</w:t>
            </w:r>
          </w:p>
          <w:p>
            <w:pPr>
              <w:spacing w:after="40" w:before="40"/>
              <w:ind w:left="320" w:hanging="24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Structured fields for each route stage: parking → path → entrance → interior → toilet → purpose → return</w:t>
            </w:r>
          </w:p>
          <w:p>
            <w:pPr>
              <w:spacing w:after="40" w:before="40"/>
              <w:ind w:left="320" w:hanging="24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Venue-type selector that surfaces the right “primary purpose” questions</w:t>
            </w:r>
          </w:p>
          <w:p>
            <w:pPr>
              <w:spacing w:after="40" w:before="40"/>
              <w:ind w:left="320" w:hanging="24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Explicit observed / measured / unknown / null distinction for every measurement field</w:t>
            </w:r>
          </w:p>
          <w:p>
            <w:pPr>
              <w:spacing w:after="40" w:before="40"/>
              <w:ind w:left="320" w:hanging="24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Assessor information section, date/time/weather capture, and photo reference log</w:t>
            </w:r>
          </w:p>
          <w:p>
            <w:pPr>
              <w:spacing w:after="40" w:before="40"/>
              <w:ind w:left="320" w:hanging="240"/>
            </w:pPr>
            <w:r>
              <w:rPr>
                <w:rFonts w:ascii="Arial" w:cs="Arial" w:eastAsia="Arial" w:hAnsi="Arial"/>
                <w:b/>
                <w:bCs/>
                <w:color w:val="007A6E"/>
                <w:sz w:val="20"/>
                <w:szCs w:val="20"/>
              </w:rPr>
              <w:t xml:space="preserve">→  </w:t>
            </w:r>
            <w:r>
              <w:rPr>
                <w:rFonts w:ascii="Arial" w:cs="Arial" w:eastAsia="Arial" w:hAnsi="Arial"/>
                <w:color w:val="374151"/>
                <w:sz w:val="20"/>
                <w:szCs w:val="20"/>
              </w:rPr>
              <w:t xml:space="preserve">Clear disclaimer section — what this assessment is and is not</w:t>
            </w:r>
          </w:p>
          <w:p>
            <w:pPr>
              <w:spacing w:after="80" w:before="0"/>
            </w:pPr>
            <w:r>
              <w:t xml:space="preserve"/>
            </w:r>
          </w:p>
          <w:p>
            <w:pPr>
              <w:pBdr>
                <w:left w:val="single" w:color="D1D5DB" w:sz="12"/>
              </w:pBdr>
              <w:shd w:fill="F8F9FA" w:val="clear"/>
              <w:spacing w:after="0" w:before="0"/>
              <w:ind w:left="160"/>
            </w:pPr>
            <w:r>
              <w:rPr>
                <w:rFonts w:ascii="Arial" w:cs="Arial" w:eastAsia="Arial" w:hAnsi="Arial"/>
                <w:b/>
                <w:bCs/>
                <w:color w:val="6B7280"/>
                <w:sz w:val="18"/>
                <w:szCs w:val="18"/>
              </w:rPr>
              <w:t xml:space="preserve">ℹ️  Design note: </w:t>
            </w:r>
            <w:r>
              <w:rPr>
                <w:rFonts w:ascii="Arial" w:cs="Arial" w:eastAsia="Arial" w:hAnsi="Arial"/>
                <w:i/>
                <w:iCs/>
                <w:color w:val="6B7280"/>
                <w:sz w:val="18"/>
                <w:szCs w:val="18"/>
              </w:rPr>
              <w:t xml:space="preserve">The data structure established in Phase 1 is the foundation of the entire platform. It is worth spending time getting it right.</w:t>
            </w:r>
          </w:p>
        </w:tc>
      </w:tr>
    </w:tbl>
    <w:p>
      <w:pPr>
        <w:spacing w:after="240" w:before="0"/>
      </w:pPr>
      <w:r>
        <w:t xml:space="preserve"/>
      </w:r>
    </w:p>
    <w:tbl>
      <w:tblPr>
        <w:tblW w:type="dxa" w:w="9638"/>
        <w:tblBorders>
          <w:top w:val="single" w:color="1D4ED8" w:sz="4"/>
          <w:left w:val="single" w:color="D1D5DB" w:sz="4"/>
          <w:bottom w:val="single" w:color="D1D5DB" w:sz="4"/>
          <w:right w:val="single" w:color="D1D5DB"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shd w:fill="EFF6FF" w:val="clear"/>
            <w:tcMar>
              <w:top w:type="dxa" w:w="120"/>
              <w:left w:type="dxa" w:w="120"/>
              <w:bottom w:type="dxa" w:w="120"/>
              <w:right w:type="dxa" w:w="120"/>
            </w:tcMar>
            <w:vAlign w:val="center"/>
          </w:tcPr>
          <w:p>
            <w:pPr>
              <w:spacing w:after="40" w:before="0"/>
              <w:jc w:val="center"/>
            </w:pPr>
            <w:r>
              <w:rPr>
                <w:rFonts w:ascii="Arial" w:cs="Arial" w:eastAsia="Arial" w:hAnsi="Arial"/>
                <w:b/>
                <w:bCs/>
                <w:caps/>
                <w:color w:val="1D4ED8"/>
                <w:sz w:val="16"/>
                <w:szCs w:val="16"/>
              </w:rPr>
              <w:t xml:space="preserve">Phase 2</w:t>
            </w:r>
          </w:p>
          <w:p>
            <w:pPr>
              <w:spacing w:after="0" w:before="0"/>
              <w:jc w:val="center"/>
            </w:pPr>
            <w:r>
              <w:rPr>
                <w:rFonts w:ascii="Arial" w:cs="Arial" w:eastAsia="Arial" w:hAnsi="Arial"/>
                <w:b/>
                <w:bCs/>
                <w:color w:val="1D4ED8"/>
                <w:sz w:val="20"/>
                <w:szCs w:val="20"/>
              </w:rPr>
              <w:t xml:space="preserve">Medium Term</w:t>
            </w:r>
          </w:p>
        </w:tc>
        <w:tc>
          <w:tcPr>
            <w:tcW w:type="dxa" w:w="8238"/>
            <w:tcBorders>
              <w:top w:val="none" w:color="FFFFFF" w:sz="0"/>
              <w:left w:val="none" w:color="FFFFFF" w:sz="0"/>
              <w:bottom w:val="none" w:color="FFFFFF" w:sz="0"/>
              <w:right w:val="none" w:color="FFFFFF" w:sz="0"/>
            </w:tcBorders>
            <w:shd w:fill="FFFFFF" w:val="clear"/>
            <w:tcMar>
              <w:top w:type="dxa" w:w="120"/>
              <w:left w:type="dxa" w:w="200"/>
              <w:bottom w:type="dxa" w:w="0"/>
              <w:right w:type="dxa" w:w="120"/>
            </w:tcMar>
          </w:tcPr>
          <w:p>
            <w:pPr>
              <w:spacing w:after="60" w:before="0"/>
            </w:pPr>
            <w:r>
              <w:rPr>
                <w:rFonts w:ascii="Arial" w:cs="Arial" w:eastAsia="Arial" w:hAnsi="Arial"/>
                <w:b/>
                <w:bCs/>
                <w:color w:val="111827"/>
                <w:sz w:val="28"/>
                <w:szCs w:val="28"/>
              </w:rPr>
              <w:t xml:space="preserve">An HTML Web Form — No Pen, No Paper</w:t>
            </w:r>
          </w:p>
        </w:tc>
      </w:tr>
      <w:tr>
        <w:tc>
          <w:tcPr>
            <w:tcW w:type="dxa" w:w="1400"/>
            <w:tcBorders>
              <w:top w:val="none" w:color="FFFFFF" w:sz="0"/>
              <w:left w:val="single" w:color="1D4ED8" w:sz="24"/>
              <w:bottom w:val="none" w:color="FFFFFF" w:sz="0"/>
              <w:right w:val="none" w:color="FFFFFF" w:sz="0"/>
            </w:tcBorders>
            <w:shd w:fill="EFF6FF" w:val="clear"/>
          </w:tcPr>
          <w:p/>
        </w:tc>
        <w:tc>
          <w:tcPr>
            <w:tcW w:type="dxa" w:w="8238"/>
            <w:tcBorders>
              <w:top w:val="none" w:color="FFFFFF" w:sz="0"/>
              <w:left w:val="none" w:color="FFFFFF" w:sz="0"/>
              <w:bottom w:val="none" w:color="FFFFFF" w:sz="0"/>
              <w:right w:val="none" w:color="FFFFFF" w:sz="0"/>
            </w:tcBorders>
            <w:shd w:fill="FFFFFF" w:val="clear"/>
            <w:tcMar>
              <w:top w:type="dxa" w:w="0"/>
              <w:left w:type="dxa" w:w="200"/>
              <w:bottom w:type="dxa" w:w="160"/>
              <w:right w:type="dxa" w:w="120"/>
            </w:tcMar>
          </w:tcPr>
          <w:p>
            <w:pPr>
              <w:spacing w:after="120" w:before="0"/>
            </w:pPr>
            <w:r>
              <w:rPr>
                <w:rFonts w:ascii="Arial" w:cs="Arial" w:eastAsia="Arial" w:hAnsi="Arial"/>
                <w:color w:val="374151"/>
                <w:sz w:val="21"/>
                <w:szCs w:val="21"/>
              </w:rPr>
              <w:t xml:space="preserve">The paper form is converted to a mobile-first HTML web form that assessors complete on-site using their phone. No paper. No transcription. No lost clipboards. The form is designed for outdoor and indoor use — large tap targets, high contrast, and a clear section-by-section flow. Assessors move through the form as they move through the venue, stage by stage.</w:t>
            </w:r>
          </w:p>
          <w:p>
            <w:pPr>
              <w:spacing w:after="60" w:before="60"/>
            </w:pPr>
            <w:r>
              <w:rPr>
                <w:rFonts w:ascii="Arial" w:cs="Arial" w:eastAsia="Arial" w:hAnsi="Arial"/>
                <w:b/>
                <w:bCs/>
                <w:caps/>
                <w:color w:val="1D4ED8"/>
                <w:sz w:val="20"/>
                <w:szCs w:val="20"/>
              </w:rPr>
              <w:t xml:space="preserve">Key deliverables</w:t>
            </w:r>
          </w:p>
          <w:p>
            <w:pPr>
              <w:spacing w:after="40" w:before="40"/>
              <w:ind w:left="320" w:hanging="24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Mobile-first responsive web form matching the Phase 1 paper schema exactly</w:t>
            </w:r>
          </w:p>
          <w:p>
            <w:pPr>
              <w:spacing w:after="40" w:before="40"/>
              <w:ind w:left="320" w:hanging="24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Progressive disclosure — questions revealed as the assessor advances through each route stage</w:t>
            </w:r>
          </w:p>
          <w:p>
            <w:pPr>
              <w:spacing w:after="40" w:before="40"/>
              <w:ind w:left="320" w:hanging="24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Venue type selection dynamically surfaces relevant “primary purpose” questions</w:t>
            </w:r>
          </w:p>
          <w:p>
            <w:pPr>
              <w:spacing w:after="40" w:before="40"/>
              <w:ind w:left="320" w:hanging="24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In-form guidance: short plain-language prompts explaining what to measure and how</w:t>
            </w:r>
          </w:p>
          <w:p>
            <w:pPr>
              <w:spacing w:after="40" w:before="40"/>
              <w:ind w:left="320" w:hanging="24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Photo capture integration — attach photos to specific observations directly from camera</w:t>
            </w:r>
          </w:p>
          <w:p>
            <w:pPr>
              <w:spacing w:after="40" w:before="40"/>
              <w:ind w:left="320" w:hanging="24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Save-and-resume capability for longer or more complex venues</w:t>
            </w:r>
          </w:p>
          <w:p>
            <w:pPr>
              <w:spacing w:after="40" w:before="40"/>
              <w:ind w:left="320" w:hanging="240"/>
            </w:pPr>
            <w:r>
              <w:rPr>
                <w:rFonts w:ascii="Arial" w:cs="Arial" w:eastAsia="Arial" w:hAnsi="Arial"/>
                <w:b/>
                <w:bCs/>
                <w:color w:val="1D4ED8"/>
                <w:sz w:val="20"/>
                <w:szCs w:val="20"/>
              </w:rPr>
              <w:t xml:space="preserve">→  </w:t>
            </w:r>
            <w:r>
              <w:rPr>
                <w:rFonts w:ascii="Arial" w:cs="Arial" w:eastAsia="Arial" w:hAnsi="Arial"/>
                <w:color w:val="374151"/>
                <w:sz w:val="20"/>
                <w:szCs w:val="20"/>
              </w:rPr>
              <w:t xml:space="preserve">Completed assessment exportable as PDF summary for record-keeping and sharing</w:t>
            </w:r>
          </w:p>
          <w:p>
            <w:pPr>
              <w:spacing w:after="80" w:before="0"/>
            </w:pPr>
            <w:r>
              <w:t xml:space="preserve"/>
            </w:r>
          </w:p>
          <w:p>
            <w:pPr>
              <w:pBdr>
                <w:left w:val="single" w:color="D1D5DB" w:sz="12"/>
              </w:pBdr>
              <w:shd w:fill="F8F9FA" w:val="clear"/>
              <w:spacing w:after="0" w:before="0"/>
              <w:ind w:left="160"/>
            </w:pPr>
            <w:r>
              <w:rPr>
                <w:rFonts w:ascii="Arial" w:cs="Arial" w:eastAsia="Arial" w:hAnsi="Arial"/>
                <w:b/>
                <w:bCs/>
                <w:color w:val="6B7280"/>
                <w:sz w:val="18"/>
                <w:szCs w:val="18"/>
              </w:rPr>
              <w:t xml:space="preserve">ℹ️  Design note: </w:t>
            </w:r>
            <w:r>
              <w:rPr>
                <w:rFonts w:ascii="Arial" w:cs="Arial" w:eastAsia="Arial" w:hAnsi="Arial"/>
                <w:i/>
                <w:iCs/>
                <w:color w:val="6B7280"/>
                <w:sz w:val="18"/>
                <w:szCs w:val="18"/>
              </w:rPr>
              <w:t xml:space="preserve">The HTML form should feel like having a knowledgeable colleague walking beside you — prompting, not instructing. The guidance tone must be respectful of lived experience.</w:t>
            </w:r>
          </w:p>
        </w:tc>
      </w:tr>
    </w:tbl>
    <w:p>
      <w:pPr>
        <w:spacing w:after="240" w:before="0"/>
      </w:pPr>
      <w:r>
        <w:t xml:space="preserve"/>
      </w:r>
    </w:p>
    <w:tbl>
      <w:tblPr>
        <w:tblW w:type="dxa" w:w="9638"/>
        <w:tblBorders>
          <w:top w:val="single" w:color="B45309" w:sz="4"/>
          <w:left w:val="single" w:color="D1D5DB" w:sz="4"/>
          <w:bottom w:val="single" w:color="D1D5DB" w:sz="4"/>
          <w:right w:val="single" w:color="D1D5DB"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shd w:fill="FEF3C7" w:val="clear"/>
            <w:tcMar>
              <w:top w:type="dxa" w:w="120"/>
              <w:left w:type="dxa" w:w="120"/>
              <w:bottom w:type="dxa" w:w="120"/>
              <w:right w:type="dxa" w:w="120"/>
            </w:tcMar>
            <w:vAlign w:val="center"/>
          </w:tcPr>
          <w:p>
            <w:pPr>
              <w:spacing w:after="40" w:before="0"/>
              <w:jc w:val="center"/>
            </w:pPr>
            <w:r>
              <w:rPr>
                <w:rFonts w:ascii="Arial" w:cs="Arial" w:eastAsia="Arial" w:hAnsi="Arial"/>
                <w:b/>
                <w:bCs/>
                <w:caps/>
                <w:color w:val="B45309"/>
                <w:sz w:val="16"/>
                <w:szCs w:val="16"/>
              </w:rPr>
              <w:t xml:space="preserve">Phase 3</w:t>
            </w:r>
          </w:p>
          <w:p>
            <w:pPr>
              <w:spacing w:after="0" w:before="0"/>
              <w:jc w:val="center"/>
            </w:pPr>
            <w:r>
              <w:rPr>
                <w:rFonts w:ascii="Arial" w:cs="Arial" w:eastAsia="Arial" w:hAnsi="Arial"/>
                <w:b/>
                <w:bCs/>
                <w:color w:val="B45309"/>
                <w:sz w:val="20"/>
                <w:szCs w:val="20"/>
              </w:rPr>
              <w:t xml:space="preserve">Long Term</w:t>
            </w:r>
          </w:p>
        </w:tc>
        <w:tc>
          <w:tcPr>
            <w:tcW w:type="dxa" w:w="8238"/>
            <w:tcBorders>
              <w:top w:val="none" w:color="FFFFFF" w:sz="0"/>
              <w:left w:val="none" w:color="FFFFFF" w:sz="0"/>
              <w:bottom w:val="none" w:color="FFFFFF" w:sz="0"/>
              <w:right w:val="none" w:color="FFFFFF" w:sz="0"/>
            </w:tcBorders>
            <w:shd w:fill="FFFFFF" w:val="clear"/>
            <w:tcMar>
              <w:top w:type="dxa" w:w="120"/>
              <w:left w:type="dxa" w:w="200"/>
              <w:bottom w:type="dxa" w:w="0"/>
              <w:right w:type="dxa" w:w="120"/>
            </w:tcMar>
          </w:tcPr>
          <w:p>
            <w:pPr>
              <w:spacing w:after="60" w:before="0"/>
            </w:pPr>
            <w:r>
              <w:rPr>
                <w:rFonts w:ascii="Arial" w:cs="Arial" w:eastAsia="Arial" w:hAnsi="Arial"/>
                <w:b/>
                <w:bCs/>
                <w:color w:val="111827"/>
                <w:sz w:val="28"/>
                <w:szCs w:val="28"/>
              </w:rPr>
              <w:t xml:space="preserve">Standards-Aligned Assessment Criteria</w:t>
            </w:r>
          </w:p>
        </w:tc>
      </w:tr>
      <w:tr>
        <w:tc>
          <w:tcPr>
            <w:tcW w:type="dxa" w:w="1400"/>
            <w:tcBorders>
              <w:top w:val="none" w:color="FFFFFF" w:sz="0"/>
              <w:left w:val="single" w:color="B45309" w:sz="24"/>
              <w:bottom w:val="none" w:color="FFFFFF" w:sz="0"/>
              <w:right w:val="none" w:color="FFFFFF" w:sz="0"/>
            </w:tcBorders>
            <w:shd w:fill="FEF3C7" w:val="clear"/>
          </w:tcPr>
          <w:p/>
        </w:tc>
        <w:tc>
          <w:tcPr>
            <w:tcW w:type="dxa" w:w="8238"/>
            <w:tcBorders>
              <w:top w:val="none" w:color="FFFFFF" w:sz="0"/>
              <w:left w:val="none" w:color="FFFFFF" w:sz="0"/>
              <w:bottom w:val="none" w:color="FFFFFF" w:sz="0"/>
              <w:right w:val="none" w:color="FFFFFF" w:sz="0"/>
            </w:tcBorders>
            <w:shd w:fill="FFFFFF" w:val="clear"/>
            <w:tcMar>
              <w:top w:type="dxa" w:w="0"/>
              <w:left w:type="dxa" w:w="200"/>
              <w:bottom w:type="dxa" w:w="160"/>
              <w:right w:type="dxa" w:w="120"/>
            </w:tcMar>
          </w:tcPr>
          <w:p>
            <w:pPr>
              <w:spacing w:after="120" w:before="0"/>
            </w:pPr>
            <w:r>
              <w:rPr>
                <w:rFonts w:ascii="Arial" w:cs="Arial" w:eastAsia="Arial" w:hAnsi="Arial"/>
                <w:color w:val="374151"/>
                <w:sz w:val="21"/>
                <w:szCs w:val="21"/>
              </w:rPr>
              <w:t xml:space="preserve">The assessment criteria are built out against a three-tier regulatory framework — embedding the relevant standards directly into the questions asked, the measurements required, and the thresholds used to determine results. This phase transforms the tool from “what we noticed” to “what the standards say this should be” — giving the community data genuine authority without overstating its legal status.</w:t>
            </w:r>
          </w:p>
          <w:p>
            <w:pPr>
              <w:spacing w:after="60" w:before="60"/>
            </w:pPr>
            <w:r>
              <w:rPr>
                <w:rFonts w:ascii="Arial" w:cs="Arial" w:eastAsia="Arial" w:hAnsi="Arial"/>
                <w:b/>
                <w:bCs/>
                <w:caps/>
                <w:color w:val="B45309"/>
                <w:sz w:val="20"/>
                <w:szCs w:val="20"/>
              </w:rPr>
              <w:t xml:space="preserve">Key deliverables</w:t>
            </w:r>
          </w:p>
          <w:p>
            <w:pPr>
              <w:spacing w:after="40" w:before="40"/>
              <w:ind w:left="320" w:hanging="240"/>
            </w:pPr>
            <w:r>
              <w:rPr>
                <w:rFonts w:ascii="Arial" w:cs="Arial" w:eastAsia="Arial" w:hAnsi="Arial"/>
                <w:b/>
                <w:bCs/>
                <w:color w:val="B45309"/>
                <w:sz w:val="20"/>
                <w:szCs w:val="20"/>
              </w:rPr>
              <w:t xml:space="preserve">→  </w:t>
            </w:r>
            <w:r>
              <w:rPr>
                <w:rFonts w:ascii="Arial" w:cs="Arial" w:eastAsia="Arial" w:hAnsi="Arial"/>
                <w:color w:val="374151"/>
                <w:sz w:val="20"/>
                <w:szCs w:val="20"/>
              </w:rPr>
              <w:t xml:space="preserve">Each measurement field linked to its relevant standard and the minimum compliant value</w:t>
            </w:r>
          </w:p>
          <w:p>
            <w:pPr>
              <w:spacing w:after="40" w:before="40"/>
              <w:ind w:left="320" w:hanging="240"/>
            </w:pPr>
            <w:r>
              <w:rPr>
                <w:rFonts w:ascii="Arial" w:cs="Arial" w:eastAsia="Arial" w:hAnsi="Arial"/>
                <w:b/>
                <w:bCs/>
                <w:color w:val="B45309"/>
                <w:sz w:val="20"/>
                <w:szCs w:val="20"/>
              </w:rPr>
              <w:t xml:space="preserve">→  </w:t>
            </w:r>
            <w:r>
              <w:rPr>
                <w:rFonts w:ascii="Arial" w:cs="Arial" w:eastAsia="Arial" w:hAnsi="Arial"/>
                <w:color w:val="374151"/>
                <w:sz w:val="20"/>
                <w:szCs w:val="20"/>
              </w:rPr>
              <w:t xml:space="preserve">Assessment results contextualised against standards — not just “measured X” but “X vs. minimum required Y”</w:t>
            </w:r>
          </w:p>
          <w:p>
            <w:pPr>
              <w:spacing w:after="40" w:before="40"/>
              <w:ind w:left="320" w:hanging="240"/>
            </w:pPr>
            <w:r>
              <w:rPr>
                <w:rFonts w:ascii="Arial" w:cs="Arial" w:eastAsia="Arial" w:hAnsi="Arial"/>
                <w:b/>
                <w:bCs/>
                <w:color w:val="B45309"/>
                <w:sz w:val="20"/>
                <w:szCs w:val="20"/>
              </w:rPr>
              <w:t xml:space="preserve">→  </w:t>
            </w:r>
            <w:r>
              <w:rPr>
                <w:rFonts w:ascii="Arial" w:cs="Arial" w:eastAsia="Arial" w:hAnsi="Arial"/>
                <w:color w:val="374151"/>
                <w:sz w:val="20"/>
                <w:szCs w:val="20"/>
              </w:rPr>
              <w:t xml:space="preserve">Non-compliance flagging with plain-language explanation (not legal language)</w:t>
            </w:r>
          </w:p>
          <w:p>
            <w:pPr>
              <w:spacing w:after="40" w:before="40"/>
              <w:ind w:left="320" w:hanging="240"/>
            </w:pPr>
            <w:r>
              <w:rPr>
                <w:rFonts w:ascii="Arial" w:cs="Arial" w:eastAsia="Arial" w:hAnsi="Arial"/>
                <w:b/>
                <w:bCs/>
                <w:color w:val="B45309"/>
                <w:sz w:val="20"/>
                <w:szCs w:val="20"/>
              </w:rPr>
              <w:t xml:space="preserve">→  </w:t>
            </w:r>
            <w:r>
              <w:rPr>
                <w:rFonts w:ascii="Arial" w:cs="Arial" w:eastAsia="Arial" w:hAnsi="Arial"/>
                <w:color w:val="374151"/>
                <w:sz w:val="20"/>
                <w:szCs w:val="20"/>
              </w:rPr>
              <w:t xml:space="preserve">Standards version tracking — assessments record which version of a standard applied at the time</w:t>
            </w:r>
          </w:p>
          <w:p>
            <w:pPr>
              <w:spacing w:after="40" w:before="40"/>
              <w:ind w:left="320" w:hanging="240"/>
            </w:pPr>
            <w:r>
              <w:rPr>
                <w:rFonts w:ascii="Arial" w:cs="Arial" w:eastAsia="Arial" w:hAnsi="Arial"/>
                <w:b/>
                <w:bCs/>
                <w:color w:val="B45309"/>
                <w:sz w:val="20"/>
                <w:szCs w:val="20"/>
              </w:rPr>
              <w:t xml:space="preserve">→  </w:t>
            </w:r>
            <w:r>
              <w:rPr>
                <w:rFonts w:ascii="Arial" w:cs="Arial" w:eastAsia="Arial" w:hAnsi="Arial"/>
                <w:color w:val="374151"/>
                <w:sz w:val="20"/>
                <w:szCs w:val="20"/>
              </w:rPr>
              <w:t xml:space="preserve">Venue-type specific standard subsets — restaurants reference different sections than nightclubs</w:t>
            </w:r>
          </w:p>
          <w:p>
            <w:pPr>
              <w:spacing w:after="80" w:before="0"/>
            </w:pPr>
            <w:r>
              <w:t xml:space="preserve"/>
            </w:r>
          </w:p>
          <w:p>
            <w:pPr>
              <w:pBdr>
                <w:left w:val="single" w:color="D1D5DB" w:sz="12"/>
              </w:pBdr>
              <w:shd w:fill="F8F9FA" w:val="clear"/>
              <w:spacing w:after="0" w:before="0"/>
              <w:ind w:left="160"/>
            </w:pPr>
            <w:r>
              <w:rPr>
                <w:rFonts w:ascii="Arial" w:cs="Arial" w:eastAsia="Arial" w:hAnsi="Arial"/>
                <w:b/>
                <w:bCs/>
                <w:color w:val="6B7280"/>
                <w:sz w:val="18"/>
                <w:szCs w:val="18"/>
              </w:rPr>
              <w:t xml:space="preserve">ℹ️  Design note: </w:t>
            </w:r>
            <w:r>
              <w:rPr>
                <w:rFonts w:ascii="Arial" w:cs="Arial" w:eastAsia="Arial" w:hAnsi="Arial"/>
                <w:i/>
                <w:iCs/>
                <w:color w:val="6B7280"/>
                <w:sz w:val="18"/>
                <w:szCs w:val="18"/>
              </w:rPr>
              <w:t xml:space="preserve">This phase requires engagement with an accessibility consultant or occupational therapist to map the standards correctly. The tool informs — it does not provide legal advice, and should always make this clear.</w:t>
            </w:r>
          </w:p>
        </w:tc>
      </w:tr>
    </w:tbl>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D1D5DB" w:sz="4"/>
              <w:left w:val="single" w:color="D1D5DB" w:sz="4"/>
              <w:bottom w:val="single" w:color="D1D5DB" w:sz="4"/>
              <w:right w:val="single" w:color="D1D5DB" w:sz="4"/>
            </w:tcBorders>
            <w:shd w:fill="FEF3C7" w:val="clear"/>
            <w:tcMar>
              <w:top w:type="dxa" w:w="120"/>
              <w:left w:type="dxa" w:w="160"/>
              <w:bottom w:type="dxa" w:w="120"/>
              <w:right w:type="dxa" w:w="160"/>
            </w:tcMar>
          </w:tcPr>
          <w:p>
            <w:pPr>
              <w:spacing w:after="60" w:before="0"/>
            </w:pPr>
            <w:r>
              <w:rPr>
                <w:rFonts w:ascii="Arial" w:cs="Arial" w:eastAsia="Arial" w:hAnsi="Arial"/>
                <w:b/>
                <w:bCs/>
                <w:caps/>
                <w:color w:val="B45309"/>
                <w:sz w:val="16"/>
                <w:szCs w:val="16"/>
              </w:rPr>
              <w:t xml:space="preserve">FEDERAL</w:t>
            </w:r>
          </w:p>
          <w:p>
            <w:pPr>
              <w:spacing w:after="80" w:before="0"/>
            </w:pPr>
            <w:r>
              <w:rPr>
                <w:rFonts w:ascii="Arial" w:cs="Arial" w:eastAsia="Arial" w:hAnsi="Arial"/>
                <w:b/>
                <w:bCs/>
                <w:color w:val="111827"/>
                <w:sz w:val="20"/>
                <w:szCs w:val="20"/>
              </w:rPr>
              <w:t xml:space="preserve">Australian Building Standards</w:t>
            </w:r>
          </w:p>
          <w:p>
            <w:pPr>
              <w:spacing w:after="0" w:before="0"/>
            </w:pPr>
            <w:r>
              <w:rPr>
                <w:rFonts w:ascii="Arial" w:cs="Arial" w:eastAsia="Arial" w:hAnsi="Arial"/>
                <w:color w:val="374151"/>
                <w:sz w:val="18"/>
                <w:szCs w:val="18"/>
              </w:rPr>
              <w:t xml:space="preserve">AS 1428 (Design for Access and Mobility) defines minimum dimensions, gradients, surfaces, signage, and amenities for wheelchair access in new and renovated buildings.</w:t>
            </w:r>
          </w:p>
        </w:tc>
        <w:tc>
          <w:tcPr>
            <w:tcW w:type="dxa" w:w="3212"/>
            <w:tcBorders>
              <w:top w:val="single" w:color="D1D5DB" w:sz="4"/>
              <w:left w:val="single" w:color="D1D5DB" w:sz="4"/>
              <w:bottom w:val="single" w:color="D1D5DB" w:sz="4"/>
              <w:right w:val="single" w:color="D1D5DB" w:sz="4"/>
            </w:tcBorders>
            <w:shd w:fill="EFF6FF" w:val="clear"/>
            <w:tcMar>
              <w:top w:type="dxa" w:w="120"/>
              <w:left w:type="dxa" w:w="160"/>
              <w:bottom w:type="dxa" w:w="120"/>
              <w:right w:type="dxa" w:w="160"/>
            </w:tcMar>
          </w:tcPr>
          <w:p>
            <w:pPr>
              <w:spacing w:after="60" w:before="0"/>
            </w:pPr>
            <w:r>
              <w:rPr>
                <w:rFonts w:ascii="Arial" w:cs="Arial" w:eastAsia="Arial" w:hAnsi="Arial"/>
                <w:b/>
                <w:bCs/>
                <w:caps/>
                <w:color w:val="1D4ED8"/>
                <w:sz w:val="16"/>
                <w:szCs w:val="16"/>
              </w:rPr>
              <w:t xml:space="preserve">STATE</w:t>
            </w:r>
          </w:p>
          <w:p>
            <w:pPr>
              <w:spacing w:after="80" w:before="0"/>
            </w:pPr>
            <w:r>
              <w:rPr>
                <w:rFonts w:ascii="Arial" w:cs="Arial" w:eastAsia="Arial" w:hAnsi="Arial"/>
                <w:b/>
                <w:bCs/>
                <w:color w:val="111827"/>
                <w:sz w:val="20"/>
                <w:szCs w:val="20"/>
              </w:rPr>
              <w:t xml:space="preserve">Queensland Requirements</w:t>
            </w:r>
          </w:p>
          <w:p>
            <w:pPr>
              <w:spacing w:after="0" w:before="0"/>
            </w:pPr>
            <w:r>
              <w:rPr>
                <w:rFonts w:ascii="Arial" w:cs="Arial" w:eastAsia="Arial" w:hAnsi="Arial"/>
                <w:color w:val="374151"/>
                <w:sz w:val="18"/>
                <w:szCs w:val="18"/>
              </w:rPr>
              <w:t xml:space="preserve">Queensland Building and Construction Commission (QBCC) requirements and any relevant Disability Services Queensland guidelines that supplement federal standards.</w:t>
            </w:r>
          </w:p>
        </w:tc>
        <w:tc>
          <w:tcPr>
            <w:tcW w:type="dxa" w:w="3214"/>
            <w:tcBorders>
              <w:top w:val="single" w:color="D1D5DB" w:sz="4"/>
              <w:left w:val="single" w:color="D1D5DB" w:sz="4"/>
              <w:bottom w:val="single" w:color="D1D5DB" w:sz="4"/>
              <w:right w:val="single" w:color="D1D5DB" w:sz="4"/>
            </w:tcBorders>
            <w:shd w:fill="F0FDF4" w:val="clear"/>
            <w:tcMar>
              <w:top w:type="dxa" w:w="120"/>
              <w:left w:type="dxa" w:w="160"/>
              <w:bottom w:type="dxa" w:w="120"/>
              <w:right w:type="dxa" w:w="160"/>
            </w:tcMar>
          </w:tcPr>
          <w:p>
            <w:pPr>
              <w:spacing w:after="60" w:before="0"/>
            </w:pPr>
            <w:r>
              <w:rPr>
                <w:rFonts w:ascii="Arial" w:cs="Arial" w:eastAsia="Arial" w:hAnsi="Arial"/>
                <w:b/>
                <w:bCs/>
                <w:caps/>
                <w:color w:val="166534"/>
                <w:sz w:val="16"/>
                <w:szCs w:val="16"/>
              </w:rPr>
              <w:t xml:space="preserve">LOCAL</w:t>
            </w:r>
          </w:p>
          <w:p>
            <w:pPr>
              <w:spacing w:after="80" w:before="0"/>
            </w:pPr>
            <w:r>
              <w:rPr>
                <w:rFonts w:ascii="Arial" w:cs="Arial" w:eastAsia="Arial" w:hAnsi="Arial"/>
                <w:b/>
                <w:bCs/>
                <w:color w:val="111827"/>
                <w:sz w:val="20"/>
                <w:szCs w:val="20"/>
              </w:rPr>
              <w:t xml:space="preserve">Council Bylaws</w:t>
            </w:r>
          </w:p>
          <w:p>
            <w:pPr>
              <w:spacing w:after="0" w:before="0"/>
            </w:pPr>
            <w:r>
              <w:rPr>
                <w:rFonts w:ascii="Arial" w:cs="Arial" w:eastAsia="Arial" w:hAnsi="Arial"/>
                <w:color w:val="374151"/>
                <w:sz w:val="18"/>
                <w:szCs w:val="18"/>
              </w:rPr>
              <w:t xml:space="preserve">Rockhampton and Livingstone Council planning requirements, footpath and public space standards, and any access-specific local provisions.</w:t>
            </w:r>
          </w:p>
        </w:tc>
      </w:tr>
    </w:tbl>
    <w:p>
      <w:pPr>
        <w:spacing w:after="240" w:before="0"/>
      </w:pPr>
      <w:r>
        <w:t xml:space="preserve"/>
      </w:r>
    </w:p>
    <w:tbl>
      <w:tblPr>
        <w:tblW w:type="dxa" w:w="9638"/>
        <w:tblBorders>
          <w:top w:val="single" w:color="5B21B6" w:sz="4"/>
          <w:left w:val="single" w:color="D1D5DB" w:sz="4"/>
          <w:bottom w:val="single" w:color="D1D5DB" w:sz="4"/>
          <w:right w:val="single" w:color="D1D5DB"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shd w:fill="F5F3FF" w:val="clear"/>
            <w:tcMar>
              <w:top w:type="dxa" w:w="120"/>
              <w:left w:type="dxa" w:w="120"/>
              <w:bottom w:type="dxa" w:w="120"/>
              <w:right w:type="dxa" w:w="120"/>
            </w:tcMar>
            <w:vAlign w:val="center"/>
          </w:tcPr>
          <w:p>
            <w:pPr>
              <w:spacing w:after="40" w:before="0"/>
              <w:jc w:val="center"/>
            </w:pPr>
            <w:r>
              <w:rPr>
                <w:rFonts w:ascii="Arial" w:cs="Arial" w:eastAsia="Arial" w:hAnsi="Arial"/>
                <w:b/>
                <w:bCs/>
                <w:caps/>
                <w:color w:val="5B21B6"/>
                <w:sz w:val="16"/>
                <w:szCs w:val="16"/>
              </w:rPr>
              <w:t xml:space="preserve">Phase 4</w:t>
            </w:r>
          </w:p>
          <w:p>
            <w:pPr>
              <w:spacing w:after="0" w:before="0"/>
              <w:jc w:val="center"/>
            </w:pPr>
            <w:r>
              <w:rPr>
                <w:rFonts w:ascii="Arial" w:cs="Arial" w:eastAsia="Arial" w:hAnsi="Arial"/>
                <w:b/>
                <w:bCs/>
                <w:color w:val="5B21B6"/>
                <w:sz w:val="20"/>
                <w:szCs w:val="20"/>
              </w:rPr>
              <w:t xml:space="preserve">Future Vision</w:t>
            </w:r>
          </w:p>
        </w:tc>
        <w:tc>
          <w:tcPr>
            <w:tcW w:type="dxa" w:w="8238"/>
            <w:tcBorders>
              <w:top w:val="none" w:color="FFFFFF" w:sz="0"/>
              <w:left w:val="none" w:color="FFFFFF" w:sz="0"/>
              <w:bottom w:val="none" w:color="FFFFFF" w:sz="0"/>
              <w:right w:val="none" w:color="FFFFFF" w:sz="0"/>
            </w:tcBorders>
            <w:shd w:fill="FFFFFF" w:val="clear"/>
            <w:tcMar>
              <w:top w:type="dxa" w:w="120"/>
              <w:left w:type="dxa" w:w="200"/>
              <w:bottom w:type="dxa" w:w="0"/>
              <w:right w:type="dxa" w:w="120"/>
            </w:tcMar>
          </w:tcPr>
          <w:p>
            <w:pPr>
              <w:spacing w:after="60" w:before="0"/>
            </w:pPr>
            <w:r>
              <w:rPr>
                <w:rFonts w:ascii="Arial" w:cs="Arial" w:eastAsia="Arial" w:hAnsi="Arial"/>
                <w:b/>
                <w:bCs/>
                <w:color w:val="111827"/>
                <w:sz w:val="28"/>
                <w:szCs w:val="28"/>
              </w:rPr>
              <w:t xml:space="preserve">The AI-Guided Assessment Agent</w:t>
            </w:r>
          </w:p>
        </w:tc>
      </w:tr>
      <w:tr>
        <w:tc>
          <w:tcPr>
            <w:tcW w:type="dxa" w:w="1400"/>
            <w:tcBorders>
              <w:top w:val="none" w:color="FFFFFF" w:sz="0"/>
              <w:left w:val="single" w:color="5B21B6" w:sz="24"/>
              <w:bottom w:val="none" w:color="FFFFFF" w:sz="0"/>
              <w:right w:val="none" w:color="FFFFFF" w:sz="0"/>
            </w:tcBorders>
            <w:shd w:fill="F5F3FF" w:val="clear"/>
          </w:tcPr>
          <w:p/>
        </w:tc>
        <w:tc>
          <w:tcPr>
            <w:tcW w:type="dxa" w:w="8238"/>
            <w:tcBorders>
              <w:top w:val="none" w:color="FFFFFF" w:sz="0"/>
              <w:left w:val="none" w:color="FFFFFF" w:sz="0"/>
              <w:bottom w:val="none" w:color="FFFFFF" w:sz="0"/>
              <w:right w:val="none" w:color="FFFFFF" w:sz="0"/>
            </w:tcBorders>
            <w:shd w:fill="FFFFFF" w:val="clear"/>
            <w:tcMar>
              <w:top w:type="dxa" w:w="0"/>
              <w:left w:type="dxa" w:w="200"/>
              <w:bottom w:type="dxa" w:w="160"/>
              <w:right w:type="dxa" w:w="120"/>
            </w:tcMar>
          </w:tcPr>
          <w:p>
            <w:pPr>
              <w:spacing w:after="120" w:before="0"/>
            </w:pPr>
            <w:r>
              <w:rPr>
                <w:rFonts w:ascii="Arial" w:cs="Arial" w:eastAsia="Arial" w:hAnsi="Arial"/>
                <w:color w:val="374151"/>
                <w:sz w:val="21"/>
                <w:szCs w:val="21"/>
              </w:rPr>
              <w:t xml:space="preserve">The AI agent is the destination. It transforms the assessment tool from a structured form into an intelligent guide that carries the expertise — so the assessor brings the access and the presence, and the agent brings the knowledge. The agent knows what kind of venue the assessor is standing in. It knows what data points matter for that venue type. It knows how to measure them. It knows what the standards say. And it guides the assessor through capturing exactly the right information — step by step, in plain language, without requiring any prior training in accessibility standards or building codes.</w:t>
            </w:r>
          </w:p>
          <w:p>
            <w:pPr>
              <w:spacing w:after="60" w:before="60"/>
            </w:pPr>
            <w:r>
              <w:rPr>
                <w:rFonts w:ascii="Arial" w:cs="Arial" w:eastAsia="Arial" w:hAnsi="Arial"/>
                <w:b/>
                <w:bCs/>
                <w:caps/>
                <w:color w:val="5B21B6"/>
                <w:sz w:val="20"/>
                <w:szCs w:val="20"/>
              </w:rPr>
              <w:t xml:space="preserve">Key deliverables</w:t>
            </w:r>
          </w:p>
          <w:p>
            <w:pPr>
              <w:spacing w:after="40" w:before="40"/>
              <w:ind w:left="320" w:hanging="240"/>
            </w:pPr>
            <w:r>
              <w:rPr>
                <w:rFonts w:ascii="Arial" w:cs="Arial" w:eastAsia="Arial" w:hAnsi="Arial"/>
                <w:b/>
                <w:bCs/>
                <w:color w:val="5B21B6"/>
                <w:sz w:val="20"/>
                <w:szCs w:val="20"/>
              </w:rPr>
              <w:t xml:space="preserve">→  </w:t>
            </w:r>
            <w:r>
              <w:rPr>
                <w:rFonts w:ascii="Arial" w:cs="Arial" w:eastAsia="Arial" w:hAnsi="Arial"/>
                <w:color w:val="374151"/>
                <w:sz w:val="20"/>
                <w:szCs w:val="20"/>
              </w:rPr>
              <w:t xml:space="preserve">Venue-type detection or selection triggers a bespoke assessment pathway</w:t>
            </w:r>
          </w:p>
          <w:p>
            <w:pPr>
              <w:spacing w:after="40" w:before="40"/>
              <w:ind w:left="320" w:hanging="240"/>
            </w:pPr>
            <w:r>
              <w:rPr>
                <w:rFonts w:ascii="Arial" w:cs="Arial" w:eastAsia="Arial" w:hAnsi="Arial"/>
                <w:b/>
                <w:bCs/>
                <w:color w:val="5B21B6"/>
                <w:sz w:val="20"/>
                <w:szCs w:val="20"/>
              </w:rPr>
              <w:t xml:space="preserve">→  </w:t>
            </w:r>
            <w:r>
              <w:rPr>
                <w:rFonts w:ascii="Arial" w:cs="Arial" w:eastAsia="Arial" w:hAnsi="Arial"/>
                <w:color w:val="374151"/>
                <w:sz w:val="20"/>
                <w:szCs w:val="20"/>
              </w:rPr>
              <w:t xml:space="preserve">Conversational guidance: “Now measure the door opening width. Hold your tape measure across the widest clear opening…”</w:t>
            </w:r>
          </w:p>
          <w:p>
            <w:pPr>
              <w:spacing w:after="40" w:before="40"/>
              <w:ind w:left="320" w:hanging="240"/>
            </w:pPr>
            <w:r>
              <w:rPr>
                <w:rFonts w:ascii="Arial" w:cs="Arial" w:eastAsia="Arial" w:hAnsi="Arial"/>
                <w:b/>
                <w:bCs/>
                <w:color w:val="5B21B6"/>
                <w:sz w:val="20"/>
                <w:szCs w:val="20"/>
              </w:rPr>
              <w:t xml:space="preserve">→  </w:t>
            </w:r>
            <w:r>
              <w:rPr>
                <w:rFonts w:ascii="Arial" w:cs="Arial" w:eastAsia="Arial" w:hAnsi="Arial"/>
                <w:color w:val="374151"/>
                <w:sz w:val="20"/>
                <w:szCs w:val="20"/>
              </w:rPr>
              <w:t xml:space="preserve">Context-aware questions — asks follow-up questions based on previous answers</w:t>
            </w:r>
          </w:p>
          <w:p>
            <w:pPr>
              <w:spacing w:after="40" w:before="40"/>
              <w:ind w:left="320" w:hanging="240"/>
            </w:pPr>
            <w:r>
              <w:rPr>
                <w:rFonts w:ascii="Arial" w:cs="Arial" w:eastAsia="Arial" w:hAnsi="Arial"/>
                <w:b/>
                <w:bCs/>
                <w:color w:val="5B21B6"/>
                <w:sz w:val="20"/>
                <w:szCs w:val="20"/>
              </w:rPr>
              <w:t xml:space="preserve">→  </w:t>
            </w:r>
            <w:r>
              <w:rPr>
                <w:rFonts w:ascii="Arial" w:cs="Arial" w:eastAsia="Arial" w:hAnsi="Arial"/>
                <w:color w:val="374151"/>
                <w:sz w:val="20"/>
                <w:szCs w:val="20"/>
              </w:rPr>
              <w:t xml:space="preserve">Real-time standard comparison: “That’s 750mm. The minimum required is 850mm. Record it as non-compliant.”</w:t>
            </w:r>
          </w:p>
          <w:p>
            <w:pPr>
              <w:spacing w:after="40" w:before="40"/>
              <w:ind w:left="320" w:hanging="240"/>
            </w:pPr>
            <w:r>
              <w:rPr>
                <w:rFonts w:ascii="Arial" w:cs="Arial" w:eastAsia="Arial" w:hAnsi="Arial"/>
                <w:b/>
                <w:bCs/>
                <w:color w:val="5B21B6"/>
                <w:sz w:val="20"/>
                <w:szCs w:val="20"/>
              </w:rPr>
              <w:t xml:space="preserve">→  </w:t>
            </w:r>
            <w:r>
              <w:rPr>
                <w:rFonts w:ascii="Arial" w:cs="Arial" w:eastAsia="Arial" w:hAnsi="Arial"/>
                <w:color w:val="374151"/>
                <w:sz w:val="20"/>
                <w:szCs w:val="20"/>
              </w:rPr>
              <w:t xml:space="preserve">Photo guidance — tells the assessor which angle to photograph for verifiable records</w:t>
            </w:r>
          </w:p>
          <w:p>
            <w:pPr>
              <w:spacing w:after="40" w:before="40"/>
              <w:ind w:left="320" w:hanging="240"/>
            </w:pPr>
            <w:r>
              <w:rPr>
                <w:rFonts w:ascii="Arial" w:cs="Arial" w:eastAsia="Arial" w:hAnsi="Arial"/>
                <w:b/>
                <w:bCs/>
                <w:color w:val="5B21B6"/>
                <w:sz w:val="20"/>
                <w:szCs w:val="20"/>
              </w:rPr>
              <w:t xml:space="preserve">→  </w:t>
            </w:r>
            <w:r>
              <w:rPr>
                <w:rFonts w:ascii="Arial" w:cs="Arial" w:eastAsia="Arial" w:hAnsi="Arial"/>
                <w:color w:val="374151"/>
                <w:sz w:val="20"/>
                <w:szCs w:val="20"/>
              </w:rPr>
              <w:t xml:space="preserve">Uncertainty handling — helps assessors distinguish between what they observed and what they assumed</w:t>
            </w:r>
          </w:p>
          <w:p>
            <w:pPr>
              <w:spacing w:after="40" w:before="40"/>
              <w:ind w:left="320" w:hanging="240"/>
            </w:pPr>
            <w:r>
              <w:rPr>
                <w:rFonts w:ascii="Arial" w:cs="Arial" w:eastAsia="Arial" w:hAnsi="Arial"/>
                <w:b/>
                <w:bCs/>
                <w:color w:val="5B21B6"/>
                <w:sz w:val="20"/>
                <w:szCs w:val="20"/>
              </w:rPr>
              <w:t xml:space="preserve">→  </w:t>
            </w:r>
            <w:r>
              <w:rPr>
                <w:rFonts w:ascii="Arial" w:cs="Arial" w:eastAsia="Arial" w:hAnsi="Arial"/>
                <w:color w:val="374151"/>
                <w:sz w:val="20"/>
                <w:szCs w:val="20"/>
              </w:rPr>
              <w:t xml:space="preserve">Completed assessment reviewed by agent before submission — flags gaps, inconsistencies, or nulls</w:t>
            </w:r>
          </w:p>
          <w:p>
            <w:pPr>
              <w:spacing w:after="80" w:before="0"/>
            </w:pPr>
            <w:r>
              <w:t xml:space="preserve"/>
            </w:r>
          </w:p>
          <w:p>
            <w:pPr>
              <w:pBdr>
                <w:left w:val="single" w:color="D1D5DB" w:sz="12"/>
              </w:pBdr>
              <w:shd w:fill="F8F9FA" w:val="clear"/>
              <w:spacing w:after="0" w:before="0"/>
              <w:ind w:left="160"/>
            </w:pPr>
            <w:r>
              <w:rPr>
                <w:rFonts w:ascii="Arial" w:cs="Arial" w:eastAsia="Arial" w:hAnsi="Arial"/>
                <w:b/>
                <w:bCs/>
                <w:color w:val="6B7280"/>
                <w:sz w:val="18"/>
                <w:szCs w:val="18"/>
              </w:rPr>
              <w:t xml:space="preserve">ℹ️  Design note: </w:t>
            </w:r>
            <w:r>
              <w:rPr>
                <w:rFonts w:ascii="Arial" w:cs="Arial" w:eastAsia="Arial" w:hAnsi="Arial"/>
                <w:i/>
                <w:iCs/>
                <w:color w:val="6B7280"/>
                <w:sz w:val="18"/>
                <w:szCs w:val="18"/>
              </w:rPr>
              <w:t xml:space="preserve">The agent replaces the need for the assessor to be an expert. But it does not replace experts themselves. Occupational therapists, building inspectors, and lawyers remain the source of the rules the agent applies.</w:t>
            </w:r>
          </w:p>
        </w:tc>
      </w:tr>
    </w:tbl>
    <w:p>
      <w:pPr>
        <w:spacing w:after="320" w:before="0"/>
      </w:pPr>
      <w:r>
        <w:t xml:space="preserve"/>
      </w:r>
    </w:p>
    <w:p>
      <w:pPr>
        <w:pStyle w:val="Heading1"/>
        <w:pBdr>
          <w:bottom w:val="single" w:color="007A6E" w:sz="6"/>
        </w:pBdr>
        <w:spacing w:after="120" w:before="480"/>
      </w:pPr>
      <w:r>
        <w:rPr>
          <w:rFonts w:ascii="Arial" w:cs="Arial" w:eastAsia="Arial" w:hAnsi="Arial"/>
          <w:b/>
          <w:bCs/>
          <w:color w:val="007A6E"/>
          <w:sz w:val="36"/>
          <w:szCs w:val="36"/>
        </w:rPr>
        <w:t xml:space="preserve">The AI Agent — A Closer Look</w:t>
      </w:r>
    </w:p>
    <w:p>
      <w:pPr>
        <w:spacing w:after="80" w:before="0"/>
      </w:pPr>
      <w:r>
        <w:t xml:space="preserve"/>
      </w:r>
    </w:p>
    <w:p>
      <w:pPr>
        <w:spacing w:after="120" w:before="80"/>
      </w:pPr>
      <w:r>
        <w:rPr>
          <w:rFonts w:ascii="Arial" w:cs="Arial" w:eastAsia="Arial" w:hAnsi="Arial"/>
          <w:color w:val="374151"/>
          <w:sz w:val="22"/>
          <w:szCs w:val="22"/>
        </w:rPr>
        <w:t xml:space="preserve">The agent is the expertise layer. The volunteer is the eyes, ears, and wheels on the ground.</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c>
          <w:tcPr>
            <w:tcW w:type="dxa" w:w="1070"/>
            <w:tcBorders>
              <w:top w:val="single" w:color="D1D5DB" w:sz="4"/>
              <w:left w:val="single" w:color="D1D5DB" w:sz="4"/>
              <w:bottom w:val="single" w:color="D1D5DB" w:sz="4"/>
              <w:right w:val="single" w:color="D1D5DB" w:sz="4"/>
            </w:tcBorders>
            <w:shd w:fill="F5F3FF" w:val="clear"/>
            <w:tcMar>
              <w:top w:type="dxa" w:w="80"/>
              <w:left w:type="dxa" w:w="80"/>
              <w:bottom w:type="dxa" w:w="80"/>
              <w:right w:type="dxa" w:w="80"/>
            </w:tcMar>
            <w:vAlign w:val="center"/>
          </w:tcPr>
          <w:p>
            <w:pPr>
              <w:spacing w:after="40" w:before="0"/>
              <w:jc w:val="center"/>
            </w:pPr>
            <w:r>
              <w:rPr>
                <w:rFonts w:ascii="Arial" w:cs="Arial" w:eastAsia="Arial" w:hAnsi="Arial"/>
                <w:b/>
                <w:bCs/>
                <w:color w:val="5B21B6"/>
                <w:sz w:val="26"/>
                <w:szCs w:val="26"/>
              </w:rPr>
              <w:t xml:space="preserve">1</w:t>
            </w:r>
          </w:p>
          <w:p>
            <w:pPr>
              <w:spacing w:after="0" w:before="0"/>
              <w:jc w:val="center"/>
            </w:pPr>
            <w:r>
              <w:rPr>
                <w:rFonts w:ascii="Arial" w:cs="Arial" w:eastAsia="Arial" w:hAnsi="Arial"/>
                <w:color w:val="374151"/>
                <w:sz w:val="16"/>
                <w:szCs w:val="16"/>
              </w:rPr>
              <w:t xml:space="preserve">Venue type identified</w:t>
            </w:r>
          </w:p>
        </w:tc>
        <w:tc>
          <w:tcPr>
            <w:tcW w:type="dxa" w:w="1070"/>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spacing w:after="0" w:before="0"/>
              <w:jc w:val="center"/>
            </w:pPr>
            <w:r>
              <w:rPr>
                <w:rFonts w:ascii="Arial" w:cs="Arial" w:eastAsia="Arial" w:hAnsi="Arial"/>
                <w:b/>
                <w:bCs/>
                <w:color w:val="5B21B6"/>
                <w:sz w:val="24"/>
                <w:szCs w:val="24"/>
              </w:rPr>
              <w:t xml:space="preserve">-&gt;</w:t>
            </w:r>
          </w:p>
        </w:tc>
        <w:tc>
          <w:tcPr>
            <w:tcW w:type="dxa" w:w="1070"/>
            <w:tcBorders>
              <w:top w:val="single" w:color="D1D5DB" w:sz="4"/>
              <w:left w:val="single" w:color="D1D5DB" w:sz="4"/>
              <w:bottom w:val="single" w:color="D1D5DB" w:sz="4"/>
              <w:right w:val="single" w:color="D1D5DB" w:sz="4"/>
            </w:tcBorders>
            <w:shd w:fill="F5F3FF" w:val="clear"/>
            <w:tcMar>
              <w:top w:type="dxa" w:w="80"/>
              <w:left w:type="dxa" w:w="80"/>
              <w:bottom w:type="dxa" w:w="80"/>
              <w:right w:type="dxa" w:w="80"/>
            </w:tcMar>
            <w:vAlign w:val="center"/>
          </w:tcPr>
          <w:p>
            <w:pPr>
              <w:spacing w:after="40" w:before="0"/>
              <w:jc w:val="center"/>
            </w:pPr>
            <w:r>
              <w:rPr>
                <w:rFonts w:ascii="Arial" w:cs="Arial" w:eastAsia="Arial" w:hAnsi="Arial"/>
                <w:b/>
                <w:bCs/>
                <w:color w:val="5B21B6"/>
                <w:sz w:val="26"/>
                <w:szCs w:val="26"/>
              </w:rPr>
              <w:t xml:space="preserve">2</w:t>
            </w:r>
          </w:p>
          <w:p>
            <w:pPr>
              <w:spacing w:after="0" w:before="0"/>
              <w:jc w:val="center"/>
            </w:pPr>
            <w:r>
              <w:rPr>
                <w:rFonts w:ascii="Arial" w:cs="Arial" w:eastAsia="Arial" w:hAnsi="Arial"/>
                <w:color w:val="374151"/>
                <w:sz w:val="16"/>
                <w:szCs w:val="16"/>
              </w:rPr>
              <w:t xml:space="preserve">Agent loads relevant criteria</w:t>
            </w:r>
          </w:p>
        </w:tc>
        <w:tc>
          <w:tcPr>
            <w:tcW w:type="dxa" w:w="1070"/>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spacing w:after="0" w:before="0"/>
              <w:jc w:val="center"/>
            </w:pPr>
            <w:r>
              <w:rPr>
                <w:rFonts w:ascii="Arial" w:cs="Arial" w:eastAsia="Arial" w:hAnsi="Arial"/>
                <w:b/>
                <w:bCs/>
                <w:color w:val="5B21B6"/>
                <w:sz w:val="24"/>
                <w:szCs w:val="24"/>
              </w:rPr>
              <w:t xml:space="preserve">-&gt;</w:t>
            </w:r>
          </w:p>
        </w:tc>
        <w:tc>
          <w:tcPr>
            <w:tcW w:type="dxa" w:w="1070"/>
            <w:tcBorders>
              <w:top w:val="single" w:color="D1D5DB" w:sz="4"/>
              <w:left w:val="single" w:color="D1D5DB" w:sz="4"/>
              <w:bottom w:val="single" w:color="D1D5DB" w:sz="4"/>
              <w:right w:val="single" w:color="D1D5DB" w:sz="4"/>
            </w:tcBorders>
            <w:shd w:fill="F5F3FF" w:val="clear"/>
            <w:tcMar>
              <w:top w:type="dxa" w:w="80"/>
              <w:left w:type="dxa" w:w="80"/>
              <w:bottom w:type="dxa" w:w="80"/>
              <w:right w:type="dxa" w:w="80"/>
            </w:tcMar>
            <w:vAlign w:val="center"/>
          </w:tcPr>
          <w:p>
            <w:pPr>
              <w:spacing w:after="40" w:before="0"/>
              <w:jc w:val="center"/>
            </w:pPr>
            <w:r>
              <w:rPr>
                <w:rFonts w:ascii="Arial" w:cs="Arial" w:eastAsia="Arial" w:hAnsi="Arial"/>
                <w:b/>
                <w:bCs/>
                <w:color w:val="5B21B6"/>
                <w:sz w:val="26"/>
                <w:szCs w:val="26"/>
              </w:rPr>
              <w:t xml:space="preserve">3</w:t>
            </w:r>
          </w:p>
          <w:p>
            <w:pPr>
              <w:spacing w:after="0" w:before="0"/>
              <w:jc w:val="center"/>
            </w:pPr>
            <w:r>
              <w:rPr>
                <w:rFonts w:ascii="Arial" w:cs="Arial" w:eastAsia="Arial" w:hAnsi="Arial"/>
                <w:color w:val="374151"/>
                <w:sz w:val="16"/>
                <w:szCs w:val="16"/>
              </w:rPr>
              <w:t xml:space="preserve">Guides assessor step by step</w:t>
            </w:r>
          </w:p>
        </w:tc>
        <w:tc>
          <w:tcPr>
            <w:tcW w:type="dxa" w:w="1070"/>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spacing w:after="0" w:before="0"/>
              <w:jc w:val="center"/>
            </w:pPr>
            <w:r>
              <w:rPr>
                <w:rFonts w:ascii="Arial" w:cs="Arial" w:eastAsia="Arial" w:hAnsi="Arial"/>
                <w:b/>
                <w:bCs/>
                <w:color w:val="5B21B6"/>
                <w:sz w:val="24"/>
                <w:szCs w:val="24"/>
              </w:rPr>
              <w:t xml:space="preserve">-&gt;</w:t>
            </w:r>
          </w:p>
        </w:tc>
        <w:tc>
          <w:tcPr>
            <w:tcW w:type="dxa" w:w="1070"/>
            <w:tcBorders>
              <w:top w:val="single" w:color="D1D5DB" w:sz="4"/>
              <w:left w:val="single" w:color="D1D5DB" w:sz="4"/>
              <w:bottom w:val="single" w:color="D1D5DB" w:sz="4"/>
              <w:right w:val="single" w:color="D1D5DB" w:sz="4"/>
            </w:tcBorders>
            <w:shd w:fill="F5F3FF" w:val="clear"/>
            <w:tcMar>
              <w:top w:type="dxa" w:w="80"/>
              <w:left w:type="dxa" w:w="80"/>
              <w:bottom w:type="dxa" w:w="80"/>
              <w:right w:type="dxa" w:w="80"/>
            </w:tcMar>
            <w:vAlign w:val="center"/>
          </w:tcPr>
          <w:p>
            <w:pPr>
              <w:spacing w:after="40" w:before="0"/>
              <w:jc w:val="center"/>
            </w:pPr>
            <w:r>
              <w:rPr>
                <w:rFonts w:ascii="Arial" w:cs="Arial" w:eastAsia="Arial" w:hAnsi="Arial"/>
                <w:b/>
                <w:bCs/>
                <w:color w:val="5B21B6"/>
                <w:sz w:val="26"/>
                <w:szCs w:val="26"/>
              </w:rPr>
              <w:t xml:space="preserve">4</w:t>
            </w:r>
          </w:p>
          <w:p>
            <w:pPr>
              <w:spacing w:after="0" w:before="0"/>
              <w:jc w:val="center"/>
            </w:pPr>
            <w:r>
              <w:rPr>
                <w:rFonts w:ascii="Arial" w:cs="Arial" w:eastAsia="Arial" w:hAnsi="Arial"/>
                <w:color w:val="374151"/>
                <w:sz w:val="16"/>
                <w:szCs w:val="16"/>
              </w:rPr>
              <w:t xml:space="preserve">Data captured to standard</w:t>
            </w:r>
          </w:p>
        </w:tc>
        <w:tc>
          <w:tcPr>
            <w:tcW w:type="dxa" w:w="1070"/>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spacing w:after="0" w:before="0"/>
              <w:jc w:val="center"/>
            </w:pPr>
            <w:r>
              <w:rPr>
                <w:rFonts w:ascii="Arial" w:cs="Arial" w:eastAsia="Arial" w:hAnsi="Arial"/>
                <w:b/>
                <w:bCs/>
                <w:color w:val="5B21B6"/>
                <w:sz w:val="24"/>
                <w:szCs w:val="24"/>
              </w:rPr>
              <w:t xml:space="preserve">-&gt;</w:t>
            </w:r>
          </w:p>
        </w:tc>
        <w:tc>
          <w:tcPr>
            <w:tcW w:type="dxa" w:w="1078"/>
            <w:tcBorders>
              <w:top w:val="single" w:color="D1D5DB" w:sz="4"/>
              <w:left w:val="single" w:color="D1D5DB" w:sz="4"/>
              <w:bottom w:val="single" w:color="D1D5DB" w:sz="4"/>
              <w:right w:val="single" w:color="D1D5DB" w:sz="4"/>
            </w:tcBorders>
            <w:shd w:fill="F5F3FF" w:val="clear"/>
            <w:tcMar>
              <w:top w:type="dxa" w:w="80"/>
              <w:left w:type="dxa" w:w="80"/>
              <w:bottom w:type="dxa" w:w="80"/>
              <w:right w:type="dxa" w:w="80"/>
            </w:tcMar>
            <w:vAlign w:val="center"/>
          </w:tcPr>
          <w:p>
            <w:pPr>
              <w:spacing w:after="40" w:before="0"/>
              <w:jc w:val="center"/>
            </w:pPr>
            <w:r>
              <w:rPr>
                <w:rFonts w:ascii="Arial" w:cs="Arial" w:eastAsia="Arial" w:hAnsi="Arial"/>
                <w:b/>
                <w:bCs/>
                <w:color w:val="5B21B6"/>
                <w:sz w:val="26"/>
                <w:szCs w:val="26"/>
              </w:rPr>
              <w:t xml:space="preserve">5</w:t>
            </w:r>
          </w:p>
          <w:p>
            <w:pPr>
              <w:spacing w:after="0" w:before="0"/>
              <w:jc w:val="center"/>
            </w:pPr>
            <w:r>
              <w:rPr>
                <w:rFonts w:ascii="Arial" w:cs="Arial" w:eastAsia="Arial" w:hAnsi="Arial"/>
                <w:color w:val="374151"/>
                <w:sz w:val="16"/>
                <w:szCs w:val="16"/>
              </w:rPr>
              <w:t xml:space="preserve">Assessment reviewed &amp; submitted</w:t>
            </w:r>
          </w:p>
        </w:tc>
      </w:tr>
    </w:tbl>
    <w:p>
      <w:pPr>
        <w:spacing w:after="20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D1D5DB" w:sz="4"/>
              <w:left w:val="single" w:color="D1D5DB" w:sz="4"/>
              <w:bottom w:val="single" w:color="D1D5DB" w:sz="4"/>
              <w:right w:val="single" w:color="D1D5DB" w:sz="4"/>
            </w:tcBorders>
            <w:shd w:fill="F5F3FF" w:val="clear"/>
            <w:tcMar>
              <w:top w:type="dxa" w:w="160"/>
              <w:left w:type="dxa" w:w="240"/>
              <w:bottom w:type="dxa" w:w="160"/>
              <w:right w:type="dxa" w:w="240"/>
            </w:tcMar>
          </w:tcPr>
          <w:p>
            <w:pPr>
              <w:spacing w:after="80" w:before="0"/>
            </w:pPr>
            <w:r>
              <w:rPr>
                <w:rFonts w:ascii="Arial" w:cs="Arial" w:eastAsia="Arial" w:hAnsi="Arial"/>
                <w:b/>
                <w:bCs/>
                <w:color w:val="5B21B6"/>
                <w:sz w:val="21"/>
                <w:szCs w:val="21"/>
              </w:rPr>
              <w:t xml:space="preserve">What the agent replaces: </w:t>
            </w:r>
            <w:r>
              <w:rPr>
                <w:rFonts w:ascii="Arial" w:cs="Arial" w:eastAsia="Arial" w:hAnsi="Arial"/>
                <w:color w:val="374151"/>
                <w:sz w:val="21"/>
                <w:szCs w:val="21"/>
              </w:rPr>
              <w:t xml:space="preserve">the need for the assessor to know what questions to ask, how to measure correctly, and what the standards require.</w:t>
            </w:r>
          </w:p>
          <w:p>
            <w:pPr>
              <w:spacing w:after="0" w:before="0"/>
            </w:pPr>
            <w:r>
              <w:rPr>
                <w:rFonts w:ascii="Arial" w:cs="Arial" w:eastAsia="Arial" w:hAnsi="Arial"/>
                <w:b/>
                <w:bCs/>
                <w:color w:val="5B21B6"/>
                <w:sz w:val="21"/>
                <w:szCs w:val="21"/>
              </w:rPr>
              <w:t xml:space="preserve">What the agent does not replace: </w:t>
            </w:r>
            <w:r>
              <w:rPr>
                <w:rFonts w:ascii="Arial" w:cs="Arial" w:eastAsia="Arial" w:hAnsi="Arial"/>
                <w:color w:val="374151"/>
                <w:sz w:val="21"/>
                <w:szCs w:val="21"/>
              </w:rPr>
              <w:t xml:space="preserve">the qualified occupational therapist, the registered building inspector, and the legal professional. The agent draws on their expertise — it does not substitute for their professional judgment. The assessment tool informs the community. It is not a compliance certificate.</w:t>
            </w:r>
          </w:p>
        </w:tc>
      </w:tr>
    </w:tbl>
    <w:p>
      <w:pPr>
        <w:spacing w:after="400" w:before="0"/>
      </w:pPr>
      <w:r>
        <w:t xml:space="preserve"/>
      </w:r>
    </w:p>
    <w:p>
      <w:pPr>
        <w:pBdr>
          <w:top w:val="single" w:color="007A6E" w:sz="4"/>
        </w:pBdr>
        <w:spacing w:after="80" w:before="0"/>
      </w:pPr>
    </w:p>
    <w:p>
      <w:pPr>
        <w:spacing w:after="60" w:before="120"/>
      </w:pPr>
      <w:r>
        <w:rPr>
          <w:rFonts w:ascii="Arial" w:cs="Arial" w:eastAsia="Arial" w:hAnsi="Arial"/>
          <w:b/>
          <w:bCs/>
          <w:color w:val="007A6E"/>
          <w:sz w:val="28"/>
          <w:szCs w:val="28"/>
        </w:rPr>
        <w:t xml:space="preserve">unTR@PPED </w:t>
      </w:r>
      <w:r>
        <w:rPr>
          <w:rFonts w:ascii="Arial" w:cs="Arial" w:eastAsia="Arial" w:hAnsi="Arial"/>
          <w:color w:val="6B7280"/>
          <w:sz w:val="22"/>
          <w:szCs w:val="22"/>
        </w:rPr>
        <w:t xml:space="preserve">— Yeppoon, Queensland — May 2026</w:t>
      </w:r>
    </w:p>
    <w:p>
      <w:pPr>
        <w:spacing w:after="0" w:before="0"/>
      </w:pPr>
      <w:r>
        <w:rPr>
          <w:rFonts w:ascii="Arial" w:cs="Arial" w:eastAsia="Arial" w:hAnsi="Arial"/>
          <w:i/>
          <w:iCs/>
          <w:color w:val="6B7280"/>
          <w:sz w:val="18"/>
          <w:szCs w:val="18"/>
        </w:rPr>
        <w:t xml:space="preserve">This document records the vision and roadmap for the unTR@PPED Field Assessment Tool. Assessments produced by this tool record community observations. They are not professional certifications, legal advice, or Australian Standards compliance assessments.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after="0" w:before="12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This document records community observations, not professional certifications.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6E" w:sz="4"/>
      </w:pBdr>
      <w:spacing w:after="160" w:before="0"/>
    </w:pPr>
    <w:r>
      <w:rPr>
        <w:rFonts w:ascii="Arial" w:cs="Arial" w:eastAsia="Arial" w:hAnsi="Arial"/>
        <w:b/>
        <w:bCs/>
        <w:color w:val="007A6E"/>
        <w:sz w:val="16"/>
        <w:szCs w:val="16"/>
      </w:rPr>
      <w:t xml:space="preserve">unTR@PPED  |  Field Assessment Tool — Vision &amp; Roadmap</w:t>
    </w:r>
    <w:r>
      <w:rPr>
        <w:rFonts w:ascii="Arial" w:cs="Arial" w:eastAsia="Arial" w:hAnsi="Arial"/>
        <w:color w:val="6B7280"/>
        <w:sz w:val="16"/>
        <w:szCs w:val="16"/>
      </w:rPr>
      <w:t xml:space="preserv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07A6E"/>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Field Assessment Tool — Vision &amp; Roadmap</dc:title>
  <dc:creator>unTR@PPED</dc:creator>
  <dc:description>unTR@PPED assessment tool development roadmap, May 2026</dc:description>
  <cp:lastModifiedBy>Un-named</cp:lastModifiedBy>
  <cp:revision>1</cp:revision>
  <dcterms:created xsi:type="dcterms:W3CDTF">2026-05-04T08:12:21.289Z</dcterms:created>
  <dcterms:modified xsi:type="dcterms:W3CDTF">2026-05-04T08:12:21.289Z</dcterms:modified>
</cp:coreProperties>
</file>

<file path=docProps/custom.xml><?xml version="1.0" encoding="utf-8"?>
<Properties xmlns="http://schemas.openxmlformats.org/officeDocument/2006/custom-properties" xmlns:vt="http://schemas.openxmlformats.org/officeDocument/2006/docPropsVTypes"/>
</file>