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right"/>
      </w:pPr>
      <w:r>
        <w:rPr>
          <w:rFonts w:ascii="ＭＳ 明朝" w:hAnsi="ＭＳ 明朝" w:eastAsia="ＭＳ 明朝"/>
          <w:b w:val="0"/>
          <w:sz w:val="21"/>
        </w:rPr>
        <w:t>令和8年10月16日</w:t>
      </w:r>
    </w:p>
    <w:p>
      <w:pPr>
        <w:spacing w:before="0" w:after="40" w:line="276" w:lineRule="auto"/>
        <w:jc w:val="center"/>
      </w:pPr>
      <w:r>
        <w:rPr>
          <w:rFonts w:ascii="ＭＳ ゴシック" w:hAnsi="ＭＳ ゴシック" w:eastAsia="ＭＳ ゴシック"/>
          <w:b/>
          <w:sz w:val="36"/>
        </w:rPr>
        <w:t>経　緯　書</w:t>
      </w:r>
    </w:p>
    <w:p>
      <w:pPr>
        <w:spacing w:before="0" w:after="120" w:line="276" w:lineRule="auto"/>
        <w:jc w:val="center"/>
      </w:pPr>
      <w:r>
        <w:rPr>
          <w:rFonts w:ascii="ＭＳ ゴシック" w:hAnsi="ＭＳ ゴシック" w:eastAsia="ＭＳ ゴシック"/>
          <w:b w:val="0"/>
          <w:sz w:val="24"/>
        </w:rPr>
        <w:t>― 帯広空港線沿い土地の売買について ―</w:t>
      </w:r>
    </w:p>
    <w:p>
      <w:pPr>
        <w:spacing w:before="0" w:after="80" w:line="276" w:lineRule="auto"/>
        <w:jc w:val="right"/>
      </w:pPr>
      <w:r>
        <w:rPr>
          <w:rFonts w:ascii="ＭＳ 明朝" w:hAnsi="ＭＳ 明朝" w:eastAsia="ＭＳ 明朝"/>
          <w:b w:val="0"/>
          <w:sz w:val="21"/>
        </w:rPr>
        <w:t xml:space="preserve">報告者：　　　　　　　　　　</w:t>
      </w:r>
    </w:p>
    <w:p>
      <w:pPr>
        <w:spacing w:before="0" w:after="40" w:line="276" w:lineRule="auto"/>
      </w:pPr>
      <w:r>
        <w:rPr>
          <w:rFonts w:ascii="ＭＳ 明朝" w:hAnsi="ＭＳ 明朝" w:eastAsia="ＭＳ 明朝"/>
          <w:b w:val="0"/>
          <w:sz w:val="21"/>
        </w:rPr>
        <w:t>帯広空港線沿いの土地売買につきまして、これまでの販売経緯および今回の価格交渉の結果を下記のとおりご報告いたします。</w:t>
      </w:r>
    </w:p>
    <w:p>
      <w:pPr>
        <w:spacing w:before="160" w:after="60" w:line="276" w:lineRule="auto"/>
        <w:pBdr>
          <w:bottom w:val="single" w:sz="6" w:space="1" w:color="404040"/>
        </w:pBdr>
      </w:pPr>
      <w:r>
        <w:rPr>
          <w:rFonts w:ascii="ＭＳ ゴシック" w:hAnsi="ＭＳ ゴシック" w:eastAsia="ＭＳ ゴシック"/>
          <w:b/>
          <w:sz w:val="23"/>
        </w:rPr>
        <w:t>１．物件概要</w:t>
      </w:r>
    </w:p>
    <w:tbl>
      <w:tblPr>
        <w:tblStyle w:val="TableGrid"/>
        <w:tblW w:type="auto" w:w="0"/>
        <w:jc w:val="center"/>
        <w:tblLayout w:type="fixed"/>
        <w:tblLook w:firstColumn="1" w:firstRow="1" w:lastColumn="0" w:lastRow="0" w:noHBand="0" w:noVBand="1" w:val="04A0"/>
      </w:tblPr>
      <w:tblGrid>
        <w:gridCol w:w="1814"/>
        <w:gridCol w:w="7597"/>
      </w:tblGrid>
      <w:tr>
        <w:tc>
          <w:tcPr>
            <w:tcW w:type="dxa" w:w="1814"/>
            <w:shd w:val="clear" w:color="auto" w:fill="E7E6E6"/>
          </w:tcPr>
          <w:p>
            <w:pPr>
              <w:spacing w:before="30" w:after="30"/>
            </w:pPr>
            <w:r>
              <w:rPr>
                <w:rFonts w:ascii="ＭＳ ゴシック" w:hAnsi="ＭＳ ゴシック" w:eastAsia="ＭＳ ゴシック"/>
                <w:b/>
                <w:sz w:val="20"/>
              </w:rPr>
              <w:t>所在</w:t>
            </w:r>
          </w:p>
        </w:tc>
        <w:tc>
          <w:tcPr>
            <w:tcW w:type="dxa" w:w="7597"/>
          </w:tcPr>
          <w:p>
            <w:pPr>
              <w:spacing w:before="30" w:after="30"/>
            </w:pPr>
            <w:r>
              <w:rPr>
                <w:rFonts w:ascii="ＭＳ 明朝" w:hAnsi="ＭＳ 明朝" w:eastAsia="ＭＳ 明朝"/>
                <w:b w:val="0"/>
                <w:sz w:val="20"/>
              </w:rPr>
              <w:t>帯広空港線沿い</w:t>
            </w:r>
          </w:p>
        </w:tc>
      </w:tr>
      <w:tr>
        <w:tc>
          <w:tcPr>
            <w:tcW w:type="dxa" w:w="1814"/>
            <w:shd w:val="clear" w:color="auto" w:fill="E7E6E6"/>
          </w:tcPr>
          <w:p>
            <w:pPr>
              <w:spacing w:before="30" w:after="30"/>
            </w:pPr>
            <w:r>
              <w:rPr>
                <w:rFonts w:ascii="ＭＳ ゴシック" w:hAnsi="ＭＳ ゴシック" w:eastAsia="ＭＳ ゴシック"/>
                <w:b/>
                <w:sz w:val="20"/>
              </w:rPr>
              <w:t>土地面積</w:t>
            </w:r>
          </w:p>
        </w:tc>
        <w:tc>
          <w:tcPr>
            <w:tcW w:type="dxa" w:w="7597"/>
          </w:tcPr>
          <w:p>
            <w:pPr>
              <w:spacing w:before="30" w:after="30"/>
            </w:pPr>
            <w:r>
              <w:rPr>
                <w:rFonts w:ascii="ＭＳ 明朝" w:hAnsi="ＭＳ 明朝" w:eastAsia="ＭＳ 明朝"/>
                <w:b w:val="0"/>
                <w:sz w:val="20"/>
              </w:rPr>
              <w:t>約17,000坪</w:t>
            </w:r>
          </w:p>
        </w:tc>
      </w:tr>
      <w:tr>
        <w:tc>
          <w:tcPr>
            <w:tcW w:type="dxa" w:w="1814"/>
            <w:shd w:val="clear" w:color="auto" w:fill="E7E6E6"/>
          </w:tcPr>
          <w:p>
            <w:pPr>
              <w:spacing w:before="30" w:after="30"/>
            </w:pPr>
            <w:r>
              <w:rPr>
                <w:rFonts w:ascii="ＭＳ ゴシック" w:hAnsi="ＭＳ ゴシック" w:eastAsia="ＭＳ ゴシック"/>
                <w:b/>
                <w:sz w:val="20"/>
              </w:rPr>
              <w:t>所有者</w:t>
            </w:r>
          </w:p>
        </w:tc>
        <w:tc>
          <w:tcPr>
            <w:tcW w:type="dxa" w:w="7597"/>
          </w:tcPr>
          <w:p>
            <w:pPr>
              <w:spacing w:before="30" w:after="30"/>
            </w:pPr>
            <w:r>
              <w:rPr>
                <w:rFonts w:ascii="ＭＳ 明朝" w:hAnsi="ＭＳ 明朝" w:eastAsia="ＭＳ 明朝"/>
                <w:b w:val="0"/>
                <w:sz w:val="20"/>
              </w:rPr>
              <w:t>真鍋 会長（個人所有・80代後半）</w:t>
            </w:r>
          </w:p>
        </w:tc>
      </w:tr>
      <w:tr>
        <w:tc>
          <w:tcPr>
            <w:tcW w:type="dxa" w:w="1814"/>
            <w:shd w:val="clear" w:color="auto" w:fill="E7E6E6"/>
          </w:tcPr>
          <w:p>
            <w:pPr>
              <w:spacing w:before="30" w:after="30"/>
            </w:pPr>
            <w:r>
              <w:rPr>
                <w:rFonts w:ascii="ＭＳ ゴシック" w:hAnsi="ＭＳ ゴシック" w:eastAsia="ＭＳ ゴシック"/>
                <w:b/>
                <w:sz w:val="20"/>
              </w:rPr>
              <w:t>販売期間</w:t>
            </w:r>
          </w:p>
        </w:tc>
        <w:tc>
          <w:tcPr>
            <w:tcW w:type="dxa" w:w="7597"/>
          </w:tcPr>
          <w:p>
            <w:pPr>
              <w:spacing w:before="30" w:after="30"/>
            </w:pPr>
            <w:r>
              <w:rPr>
                <w:rFonts w:ascii="ＭＳ 明朝" w:hAnsi="ＭＳ 明朝" w:eastAsia="ＭＳ 明朝"/>
                <w:b w:val="0"/>
                <w:sz w:val="20"/>
              </w:rPr>
              <w:t>約10年前より販売中</w:t>
            </w:r>
          </w:p>
        </w:tc>
      </w:tr>
      <w:tr>
        <w:tc>
          <w:tcPr>
            <w:tcW w:type="dxa" w:w="1814"/>
            <w:shd w:val="clear" w:color="auto" w:fill="E7E6E6"/>
          </w:tcPr>
          <w:p>
            <w:pPr>
              <w:spacing w:before="30" w:after="30"/>
            </w:pPr>
            <w:r>
              <w:rPr>
                <w:rFonts w:ascii="ＭＳ ゴシック" w:hAnsi="ＭＳ ゴシック" w:eastAsia="ＭＳ ゴシック"/>
                <w:b/>
                <w:sz w:val="20"/>
              </w:rPr>
              <w:t>今後の予定</w:t>
            </w:r>
          </w:p>
        </w:tc>
        <w:tc>
          <w:tcPr>
            <w:tcW w:type="dxa" w:w="7597"/>
          </w:tcPr>
          <w:p>
            <w:pPr>
              <w:spacing w:before="30" w:after="30"/>
            </w:pPr>
            <w:r>
              <w:rPr>
                <w:rFonts w:ascii="ＭＳ 明朝" w:hAnsi="ＭＳ 明朝" w:eastAsia="ＭＳ 明朝"/>
                <w:b w:val="0"/>
                <w:sz w:val="20"/>
              </w:rPr>
              <w:t>娘様への相続を予定している物件</w:t>
            </w:r>
          </w:p>
        </w:tc>
      </w:tr>
    </w:tbl>
    <w:p>
      <w:pPr>
        <w:spacing w:before="160" w:after="60" w:line="276" w:lineRule="auto"/>
        <w:pBdr>
          <w:bottom w:val="single" w:sz="6" w:space="1" w:color="404040"/>
        </w:pBdr>
      </w:pPr>
      <w:r>
        <w:rPr>
          <w:rFonts w:ascii="ＭＳ ゴシック" w:hAnsi="ＭＳ ゴシック" w:eastAsia="ＭＳ ゴシック"/>
          <w:b/>
          <w:sz w:val="23"/>
        </w:rPr>
        <w:t>２．価格の推移</w:t>
      </w:r>
    </w:p>
    <w:tbl>
      <w:tblPr>
        <w:tblStyle w:val="TableGrid"/>
        <w:tblW w:type="auto" w:w="0"/>
        <w:jc w:val="center"/>
        <w:tblLayout w:type="fixed"/>
        <w:tblLook w:firstColumn="1" w:firstRow="1" w:lastColumn="0" w:lastRow="0" w:noHBand="0" w:noVBand="1" w:val="04A0"/>
      </w:tblPr>
      <w:tblGrid>
        <w:gridCol w:w="2381"/>
        <w:gridCol w:w="1587"/>
        <w:gridCol w:w="1701"/>
        <w:gridCol w:w="3742"/>
      </w:tblGrid>
      <w:tr>
        <w:tc>
          <w:tcPr>
            <w:tcW w:type="dxa" w:w="2381"/>
            <w:shd w:val="clear" w:color="auto" w:fill="E7E6E6"/>
          </w:tcPr>
          <w:p>
            <w:pPr>
              <w:spacing w:before="30" w:after="30"/>
              <w:jc w:val="center"/>
            </w:pPr>
            <w:r>
              <w:rPr>
                <w:rFonts w:ascii="ＭＳ ゴシック" w:hAnsi="ＭＳ ゴシック" w:eastAsia="ＭＳ ゴシック"/>
                <w:b/>
                <w:sz w:val="20"/>
              </w:rPr>
              <w:t>時期</w:t>
            </w:r>
          </w:p>
        </w:tc>
        <w:tc>
          <w:tcPr>
            <w:tcW w:type="dxa" w:w="1587"/>
            <w:shd w:val="clear" w:color="auto" w:fill="E7E6E6"/>
          </w:tcPr>
          <w:p>
            <w:pPr>
              <w:spacing w:before="30" w:after="30"/>
              <w:jc w:val="center"/>
            </w:pPr>
            <w:r>
              <w:rPr>
                <w:rFonts w:ascii="ＭＳ ゴシック" w:hAnsi="ＭＳ ゴシック" w:eastAsia="ＭＳ ゴシック"/>
                <w:b/>
                <w:sz w:val="20"/>
              </w:rPr>
              <w:t>売出価格</w:t>
            </w:r>
          </w:p>
        </w:tc>
        <w:tc>
          <w:tcPr>
            <w:tcW w:type="dxa" w:w="1701"/>
            <w:shd w:val="clear" w:color="auto" w:fill="E7E6E6"/>
          </w:tcPr>
          <w:p>
            <w:pPr>
              <w:spacing w:before="30" w:after="30"/>
              <w:jc w:val="center"/>
            </w:pPr>
            <w:r>
              <w:rPr>
                <w:rFonts w:ascii="ＭＳ ゴシック" w:hAnsi="ＭＳ ゴシック" w:eastAsia="ＭＳ ゴシック"/>
                <w:b/>
                <w:sz w:val="20"/>
              </w:rPr>
              <w:t>坪単価（概算）</w:t>
            </w:r>
          </w:p>
        </w:tc>
        <w:tc>
          <w:tcPr>
            <w:tcW w:type="dxa" w:w="3742"/>
            <w:shd w:val="clear" w:color="auto" w:fill="E7E6E6"/>
          </w:tcPr>
          <w:p>
            <w:pPr>
              <w:spacing w:before="30" w:after="30"/>
              <w:jc w:val="center"/>
            </w:pPr>
            <w:r>
              <w:rPr>
                <w:rFonts w:ascii="ＭＳ ゴシック" w:hAnsi="ＭＳ ゴシック" w:eastAsia="ＭＳ ゴシック"/>
                <w:b/>
                <w:sz w:val="20"/>
              </w:rPr>
              <w:t>備考</w:t>
            </w:r>
          </w:p>
        </w:tc>
      </w:tr>
      <w:tr>
        <w:tc>
          <w:tcPr>
            <w:tcW w:type="dxa" w:w="2381"/>
          </w:tcPr>
          <w:p>
            <w:pPr>
              <w:spacing w:before="30" w:after="30"/>
            </w:pPr>
            <w:r>
              <w:rPr>
                <w:rFonts w:ascii="ＭＳ 明朝" w:hAnsi="ＭＳ 明朝" w:eastAsia="ＭＳ 明朝"/>
                <w:b w:val="0"/>
                <w:sz w:val="20"/>
              </w:rPr>
              <w:t>販売開始（約10年前）</w:t>
            </w:r>
          </w:p>
        </w:tc>
        <w:tc>
          <w:tcPr>
            <w:tcW w:type="dxa" w:w="1587"/>
          </w:tcPr>
          <w:p>
            <w:pPr>
              <w:spacing w:before="30" w:after="30"/>
              <w:jc w:val="right"/>
            </w:pPr>
            <w:r>
              <w:rPr>
                <w:rFonts w:ascii="ＭＳ 明朝" w:hAnsi="ＭＳ 明朝" w:eastAsia="ＭＳ 明朝"/>
                <w:b w:val="0"/>
                <w:sz w:val="20"/>
              </w:rPr>
              <w:t>7,800万円</w:t>
            </w:r>
          </w:p>
        </w:tc>
        <w:tc>
          <w:tcPr>
            <w:tcW w:type="dxa" w:w="1701"/>
          </w:tcPr>
          <w:p>
            <w:pPr>
              <w:spacing w:before="30" w:after="30"/>
              <w:jc w:val="right"/>
            </w:pPr>
            <w:r>
              <w:rPr>
                <w:rFonts w:ascii="ＭＳ 明朝" w:hAnsi="ＭＳ 明朝" w:eastAsia="ＭＳ 明朝"/>
                <w:b w:val="0"/>
                <w:sz w:val="20"/>
              </w:rPr>
              <w:t>約4,590円</w:t>
            </w:r>
          </w:p>
        </w:tc>
        <w:tc>
          <w:tcPr>
            <w:tcW w:type="dxa" w:w="3742"/>
          </w:tcPr>
          <w:p>
            <w:pPr>
              <w:spacing w:before="30" w:after="30"/>
            </w:pPr>
            <w:r>
              <w:rPr>
                <w:rFonts w:ascii="ＭＳ 明朝" w:hAnsi="ＭＳ 明朝" w:eastAsia="ＭＳ 明朝"/>
                <w:b w:val="0"/>
                <w:sz w:val="20"/>
              </w:rPr>
              <w:t>当初売出価格</w:t>
            </w:r>
          </w:p>
        </w:tc>
      </w:tr>
      <w:tr>
        <w:tc>
          <w:tcPr>
            <w:tcW w:type="dxa" w:w="2381"/>
          </w:tcPr>
          <w:p>
            <w:pPr>
              <w:spacing w:before="30" w:after="30"/>
            </w:pPr>
            <w:r>
              <w:rPr>
                <w:rFonts w:ascii="ＭＳ 明朝" w:hAnsi="ＭＳ 明朝" w:eastAsia="ＭＳ 明朝"/>
                <w:b w:val="0"/>
                <w:sz w:val="20"/>
              </w:rPr>
              <w:t>約3年前</w:t>
            </w:r>
          </w:p>
        </w:tc>
        <w:tc>
          <w:tcPr>
            <w:tcW w:type="dxa" w:w="1587"/>
          </w:tcPr>
          <w:p>
            <w:pPr>
              <w:spacing w:before="30" w:after="30"/>
              <w:jc w:val="right"/>
            </w:pPr>
            <w:r>
              <w:rPr>
                <w:rFonts w:ascii="ＭＳ 明朝" w:hAnsi="ＭＳ 明朝" w:eastAsia="ＭＳ 明朝"/>
                <w:b w:val="0"/>
                <w:sz w:val="20"/>
              </w:rPr>
              <w:t>6,800万円</w:t>
            </w:r>
          </w:p>
        </w:tc>
        <w:tc>
          <w:tcPr>
            <w:tcW w:type="dxa" w:w="1701"/>
          </w:tcPr>
          <w:p>
            <w:pPr>
              <w:spacing w:before="30" w:after="30"/>
              <w:jc w:val="right"/>
            </w:pPr>
            <w:r>
              <w:rPr>
                <w:rFonts w:ascii="ＭＳ 明朝" w:hAnsi="ＭＳ 明朝" w:eastAsia="ＭＳ 明朝"/>
                <w:b w:val="0"/>
                <w:sz w:val="20"/>
              </w:rPr>
              <w:t>約4,000円</w:t>
            </w:r>
          </w:p>
        </w:tc>
        <w:tc>
          <w:tcPr>
            <w:tcW w:type="dxa" w:w="3742"/>
          </w:tcPr>
          <w:p>
            <w:pPr>
              <w:spacing w:before="30" w:after="30"/>
            </w:pPr>
            <w:r>
              <w:rPr>
                <w:rFonts w:ascii="ＭＳ 明朝" w:hAnsi="ＭＳ 明朝" w:eastAsia="ＭＳ 明朝"/>
                <w:b w:val="0"/>
                <w:sz w:val="20"/>
              </w:rPr>
              <w:t>売出価格を1,000万円引下げ</w:t>
            </w:r>
          </w:p>
        </w:tc>
      </w:tr>
      <w:tr>
        <w:tc>
          <w:tcPr>
            <w:tcW w:type="dxa" w:w="2381"/>
          </w:tcPr>
          <w:p>
            <w:pPr>
              <w:spacing w:before="30" w:after="30"/>
            </w:pPr>
            <w:r>
              <w:rPr>
                <w:rFonts w:ascii="ＭＳ 明朝" w:hAnsi="ＭＳ 明朝" w:eastAsia="ＭＳ 明朝"/>
                <w:b w:val="0"/>
                <w:sz w:val="20"/>
              </w:rPr>
              <w:t>直近</w:t>
            </w:r>
          </w:p>
        </w:tc>
        <w:tc>
          <w:tcPr>
            <w:tcW w:type="dxa" w:w="1587"/>
          </w:tcPr>
          <w:p>
            <w:pPr>
              <w:spacing w:before="30" w:after="30"/>
              <w:jc w:val="right"/>
            </w:pPr>
            <w:r>
              <w:rPr>
                <w:rFonts w:ascii="ＭＳ 明朝" w:hAnsi="ＭＳ 明朝" w:eastAsia="ＭＳ 明朝"/>
                <w:b w:val="0"/>
                <w:sz w:val="20"/>
              </w:rPr>
              <w:t>7,000万円</w:t>
            </w:r>
          </w:p>
        </w:tc>
        <w:tc>
          <w:tcPr>
            <w:tcW w:type="dxa" w:w="1701"/>
          </w:tcPr>
          <w:p>
            <w:pPr>
              <w:spacing w:before="30" w:after="30"/>
              <w:jc w:val="right"/>
            </w:pPr>
            <w:r>
              <w:rPr>
                <w:rFonts w:ascii="ＭＳ 明朝" w:hAnsi="ＭＳ 明朝" w:eastAsia="ＭＳ 明朝"/>
                <w:b w:val="0"/>
                <w:sz w:val="20"/>
              </w:rPr>
              <w:t>約4,120円</w:t>
            </w:r>
          </w:p>
        </w:tc>
        <w:tc>
          <w:tcPr>
            <w:tcW w:type="dxa" w:w="3742"/>
          </w:tcPr>
          <w:p>
            <w:pPr>
              <w:spacing w:before="30" w:after="30"/>
            </w:pPr>
            <w:r>
              <w:rPr>
                <w:rFonts w:ascii="ＭＳ 明朝" w:hAnsi="ＭＳ 明朝" w:eastAsia="ＭＳ 明朝"/>
                <w:b w:val="0"/>
                <w:sz w:val="20"/>
              </w:rPr>
              <w:t>売出価格を200万円引上げ</w:t>
            </w:r>
          </w:p>
        </w:tc>
      </w:tr>
      <w:tr>
        <w:tc>
          <w:tcPr>
            <w:tcW w:type="dxa" w:w="2381"/>
            <w:shd w:val="clear" w:color="auto" w:fill="FFF2CC"/>
          </w:tcPr>
          <w:p>
            <w:pPr>
              <w:spacing w:before="30" w:after="30"/>
            </w:pPr>
            <w:r>
              <w:rPr>
                <w:rFonts w:ascii="ＭＳ 明朝" w:hAnsi="ＭＳ 明朝" w:eastAsia="ＭＳ 明朝"/>
                <w:b/>
                <w:sz w:val="20"/>
              </w:rPr>
              <w:t>今回（価格交渉後）</w:t>
            </w:r>
          </w:p>
        </w:tc>
        <w:tc>
          <w:tcPr>
            <w:tcW w:type="dxa" w:w="1587"/>
            <w:shd w:val="clear" w:color="auto" w:fill="FFF2CC"/>
          </w:tcPr>
          <w:p>
            <w:pPr>
              <w:spacing w:before="30" w:after="30"/>
              <w:jc w:val="right"/>
            </w:pPr>
            <w:r>
              <w:rPr>
                <w:rFonts w:ascii="ＭＳ 明朝" w:hAnsi="ＭＳ 明朝" w:eastAsia="ＭＳ 明朝"/>
                <w:b/>
                <w:sz w:val="20"/>
              </w:rPr>
              <w:t>6,500万円</w:t>
            </w:r>
          </w:p>
        </w:tc>
        <w:tc>
          <w:tcPr>
            <w:tcW w:type="dxa" w:w="1701"/>
            <w:shd w:val="clear" w:color="auto" w:fill="FFF2CC"/>
          </w:tcPr>
          <w:p>
            <w:pPr>
              <w:spacing w:before="30" w:after="30"/>
              <w:jc w:val="right"/>
            </w:pPr>
            <w:r>
              <w:rPr>
                <w:rFonts w:ascii="ＭＳ 明朝" w:hAnsi="ＭＳ 明朝" w:eastAsia="ＭＳ 明朝"/>
                <w:b/>
                <w:sz w:val="20"/>
              </w:rPr>
              <w:t>約3,820円</w:t>
            </w:r>
          </w:p>
        </w:tc>
        <w:tc>
          <w:tcPr>
            <w:tcW w:type="dxa" w:w="3742"/>
            <w:shd w:val="clear" w:color="auto" w:fill="FFF2CC"/>
          </w:tcPr>
          <w:p>
            <w:pPr>
              <w:spacing w:before="30" w:after="30"/>
            </w:pPr>
            <w:r>
              <w:rPr>
                <w:rFonts w:ascii="ＭＳ 明朝" w:hAnsi="ＭＳ 明朝" w:eastAsia="ＭＳ 明朝"/>
                <w:b/>
                <w:sz w:val="20"/>
              </w:rPr>
              <w:t>個別交渉による初の値下げ</w:t>
            </w:r>
          </w:p>
        </w:tc>
      </w:tr>
    </w:tbl>
    <w:p>
      <w:pPr>
        <w:spacing w:before="40" w:after="0" w:line="276" w:lineRule="auto"/>
      </w:pPr>
      <w:r>
        <w:rPr>
          <w:rFonts w:ascii="ＭＳ 明朝" w:hAnsi="ＭＳ 明朝" w:eastAsia="ＭＳ 明朝"/>
          <w:b w:val="0"/>
          <w:sz w:val="18"/>
        </w:rPr>
        <w:t>※ 今回価格は直近価格比 ▲500万円、当初価格比 ▲1,300万円（約16.7％減）。坪単価は約17,000坪で算出。</w:t>
      </w:r>
    </w:p>
    <w:p>
      <w:pPr>
        <w:spacing w:before="160" w:after="60" w:line="276" w:lineRule="auto"/>
        <w:pBdr>
          <w:bottom w:val="single" w:sz="6" w:space="1" w:color="404040"/>
        </w:pBdr>
      </w:pPr>
      <w:r>
        <w:rPr>
          <w:rFonts w:ascii="ＭＳ ゴシック" w:hAnsi="ＭＳ ゴシック" w:eastAsia="ＭＳ ゴシック"/>
          <w:b/>
          <w:sz w:val="23"/>
        </w:rPr>
        <w:t>３．経緯</w:t>
      </w:r>
    </w:p>
    <w:p>
      <w:pPr>
        <w:spacing w:before="0" w:after="40" w:line="276" w:lineRule="auto"/>
        <w:ind w:left="198" w:hanging="198"/>
      </w:pPr>
      <w:r>
        <w:rPr>
          <w:rFonts w:ascii="ＭＳ 明朝" w:hAnsi="ＭＳ 明朝" w:eastAsia="ＭＳ 明朝"/>
          <w:b w:val="0"/>
          <w:sz w:val="21"/>
        </w:rPr>
        <w:t>・本物件は約10年前から販売を開始したが、長期にわたり成約に至っていない。</w:t>
      </w:r>
    </w:p>
    <w:p>
      <w:pPr>
        <w:spacing w:before="0" w:after="40" w:line="276" w:lineRule="auto"/>
        <w:ind w:left="198" w:hanging="198"/>
      </w:pPr>
      <w:r>
        <w:rPr>
          <w:rFonts w:ascii="ＭＳ 明朝" w:hAnsi="ＭＳ 明朝" w:eastAsia="ＭＳ 明朝"/>
          <w:b w:val="0"/>
          <w:sz w:val="21"/>
        </w:rPr>
        <w:t>・所有者である真鍋会長は売却を希望されていたものの、値下げ交渉にはなかなか応じられない方であり、これまでの価格変更はいずれも売出価格の見直しにとどまっていた。</w:t>
      </w:r>
    </w:p>
    <w:p>
      <w:pPr>
        <w:spacing w:before="0" w:after="40" w:line="276" w:lineRule="auto"/>
        <w:ind w:left="198" w:hanging="198"/>
      </w:pPr>
      <w:r>
        <w:rPr>
          <w:rFonts w:ascii="ＭＳ 明朝" w:hAnsi="ＭＳ 明朝" w:eastAsia="ＭＳ 明朝"/>
          <w:b w:val="0"/>
          <w:sz w:val="21"/>
        </w:rPr>
        <w:t>・本物件は娘様に相続される予定の物件である。今年の春先に奥様がお亡くなりになり、会長ご本人も体調がすぐれない状況にある。</w:t>
      </w:r>
    </w:p>
    <w:p>
      <w:pPr>
        <w:spacing w:before="0" w:after="40" w:line="276" w:lineRule="auto"/>
        <w:ind w:left="198" w:hanging="198"/>
      </w:pPr>
      <w:r>
        <w:rPr>
          <w:rFonts w:ascii="ＭＳ 明朝" w:hAnsi="ＭＳ 明朝" w:eastAsia="ＭＳ 明朝"/>
          <w:b w:val="0"/>
          <w:sz w:val="21"/>
        </w:rPr>
        <w:t>・このような状況の中で個別に価格交渉を行った結果、直近価格7,000万円から6,500万円への値下げに応じていただいた。個別交渉で値下げに応じていただいたのは今回が初めてである。</w:t>
      </w:r>
    </w:p>
    <w:p>
      <w:pPr>
        <w:spacing w:before="160" w:after="60" w:line="276" w:lineRule="auto"/>
        <w:pBdr>
          <w:bottom w:val="single" w:sz="6" w:space="1" w:color="404040"/>
        </w:pBdr>
      </w:pPr>
      <w:r>
        <w:rPr>
          <w:rFonts w:ascii="ＭＳ ゴシック" w:hAnsi="ＭＳ ゴシック" w:eastAsia="ＭＳ ゴシック"/>
          <w:b/>
          <w:sz w:val="23"/>
        </w:rPr>
        <w:t>４．所見</w:t>
      </w:r>
    </w:p>
    <w:p>
      <w:pPr>
        <w:spacing w:before="0" w:after="40" w:line="276" w:lineRule="auto"/>
        <w:ind w:left="198" w:hanging="198"/>
      </w:pPr>
      <w:r>
        <w:rPr>
          <w:rFonts w:ascii="ＭＳ 明朝" w:hAnsi="ＭＳ 明朝" w:eastAsia="ＭＳ 明朝"/>
          <w:b w:val="0"/>
          <w:sz w:val="21"/>
        </w:rPr>
        <w:t>・ご家族の状況やご本人の体調の変化から、相続を前に物件を整理したいという意向が強まっているものと推察される。</w:t>
      </w:r>
    </w:p>
    <w:p>
      <w:pPr>
        <w:spacing w:before="0" w:after="40" w:line="276" w:lineRule="auto"/>
        <w:ind w:left="198" w:hanging="198"/>
      </w:pPr>
      <w:r>
        <w:rPr>
          <w:rFonts w:ascii="ＭＳ 明朝" w:hAnsi="ＭＳ 明朝" w:eastAsia="ＭＳ 明朝"/>
          <w:b w:val="0"/>
          <w:sz w:val="21"/>
        </w:rPr>
        <w:t>・今回提示の6,500万円は販売開始以来の最低価格であり、条件が整っている今の時期に、早めに具体的な検討・手続きを進めることが望ましい。</w:t>
      </w:r>
    </w:p>
    <w:p>
      <w:pPr>
        <w:spacing w:before="0" w:after="40" w:line="276" w:lineRule="auto"/>
        <w:ind w:left="198" w:hanging="198"/>
      </w:pPr>
      <w:r>
        <w:rPr>
          <w:rFonts w:ascii="ＭＳ 明朝" w:hAnsi="ＭＳ 明朝" w:eastAsia="ＭＳ 明朝"/>
          <w:b w:val="0"/>
          <w:sz w:val="21"/>
        </w:rPr>
        <w:t>・相続予定者である娘様のご意向についても、あわせて確認しておく必要がある。</w:t>
      </w:r>
    </w:p>
    <w:p>
      <w:pPr>
        <w:spacing w:before="160" w:after="0" w:line="276" w:lineRule="auto"/>
        <w:jc w:val="right"/>
      </w:pPr>
      <w:r>
        <w:rPr>
          <w:rFonts w:ascii="ＭＳ 明朝" w:hAnsi="ＭＳ 明朝" w:eastAsia="ＭＳ 明朝"/>
          <w:b w:val="0"/>
          <w:sz w:val="21"/>
        </w:rPr>
        <w:t>以上</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