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4"/>
        </w:rPr>
        <w:t>SecurePlan</w:t>
      </w:r>
    </w:p>
    <w:p>
      <w:pPr>
        <w:jc w:val="center"/>
      </w:pPr>
      <w:r>
        <w:rPr>
          <w:b/>
          <w:sz w:val="38"/>
        </w:rPr>
        <w:t>Phase 4 – Systemanalyse</w:t>
      </w:r>
    </w:p>
    <w:p>
      <w:pPr>
        <w:jc w:val="center"/>
      </w:pPr>
      <w:r>
        <w:rPr>
          <w:i/>
          <w:sz w:val="23"/>
        </w:rPr>
        <w:t>FINAL v1.2 – Finalisierung des Use-Case-Katalogs und Traceability-Clarifications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5156"/>
          </w:tcPr>
          <w:p>
            <w:r>
              <w:t>v1.2</w:t>
            </w:r>
          </w:p>
        </w:tc>
      </w:tr>
      <w:tr>
        <w:tc>
          <w:tcPr>
            <w:tcW w:type="dxa" w:w="5156"/>
            <w:shd w:fill="D9EAF7"/>
          </w:tcPr>
          <w:p>
            <w:r>
              <w:rPr>
                <w:b/>
              </w:rPr>
              <w:t>Stand</w:t>
            </w:r>
          </w:p>
        </w:tc>
        <w:tc>
          <w:tcPr>
            <w:tcW w:type="dxa" w:w="5156"/>
          </w:tcPr>
          <w:p>
            <w:r>
              <w:t>22.09.2026</w:t>
            </w:r>
          </w:p>
        </w:tc>
      </w:tr>
      <w:tr>
        <w:tc>
          <w:tcPr>
            <w:tcW w:type="dxa" w:w="5156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156"/>
          </w:tcPr>
          <w:p>
            <w:r>
              <w:t>FINAL · APPROVED · BASELINE</w:t>
            </w:r>
          </w:p>
        </w:tc>
      </w:tr>
      <w:tr>
        <w:tc>
          <w:tcPr>
            <w:tcW w:type="dxa" w:w="5156"/>
            <w:shd w:fill="D9EAF7"/>
          </w:tcPr>
          <w:p>
            <w:r>
              <w:rPr>
                <w:b/>
              </w:rPr>
              <w:t>Zweck</w:t>
            </w:r>
          </w:p>
        </w:tc>
        <w:tc>
          <w:tcPr>
            <w:tcW w:type="dxa" w:w="5156"/>
          </w:tcPr>
          <w:p>
            <w:r>
              <w:t>Phase 4 formal schließen und bestehende Phase-2-Regeln für KRANK/URLAUB-Eligibility sowie Schichtkonfiguration ohne Feature-Creep rückverfolgbar machen.</w:t>
            </w:r>
          </w:p>
        </w:tc>
      </w:tr>
      <w:tr>
        <w:tc>
          <w:tcPr>
            <w:tcW w:type="dxa" w:w="5156"/>
            <w:shd w:fill="D9EAF7"/>
          </w:tcPr>
          <w:p>
            <w:r>
              <w:rPr>
                <w:b/>
              </w:rPr>
              <w:t>Basis</w:t>
            </w:r>
          </w:p>
        </w:tc>
        <w:tc>
          <w:tcPr>
            <w:tcW w:type="dxa" w:w="5156"/>
          </w:tcPr>
          <w:p>
            <w:r>
              <w:t>Phase 4 v1.1 Professional + Phase 2 v1.1 + Phase 3 v1.1 + Phase 3.5 + CR-01</w:t>
            </w:r>
          </w:p>
        </w:tc>
      </w:tr>
    </w:tbl>
    <w:p>
      <w:r>
        <w:br w:type="page"/>
      </w:r>
    </w:p>
    <w:p>
      <w:pPr>
        <w:pStyle w:val="Heading1"/>
      </w:pPr>
      <w:r>
        <w:t>1. Status und Geltung</w:t>
      </w:r>
    </w:p>
    <w:p>
      <w:r>
        <w:t>Die fachlichen 17 Use Cases aus Phase 4 v1.1 bleiben unverändert gültig. Diese v1.2 finalisiert die zuvor als REVIEWED DRAFT markierte Systemanalyse und ergänzt zwei Traceability-Clarifications zu bereits freigegebenen Phase-2-Regeln. Es werden keine neuen MVP-Vertikalen eingeführt.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2EFDA"/>
          </w:tcPr>
          <w:p>
            <w:r>
              <w:rPr>
                <w:b/>
              </w:rPr>
              <w:t>PHASE 4 wird mit v1.2 formal FINAL / APPROVED. Der 17-Use-Case-Katalog bleibt bestehen; die folgenden Clarifications werden in UC-15 bzw. UC-16 eingeordnet.</w:t>
            </w:r>
          </w:p>
        </w:tc>
      </w:tr>
    </w:tbl>
    <w:p>
      <w:pPr>
        <w:pStyle w:val="Heading1"/>
      </w:pPr>
      <w:r>
        <w:t>2. Unveränderter System- und Use-Case-Scope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D9EAF7"/>
          </w:tcPr>
          <w:p>
            <w:r>
              <w:rPr>
                <w:b/>
              </w:rPr>
              <w:t>Bereich</w:t>
            </w:r>
          </w:p>
        </w:tc>
        <w:tc>
          <w:tcPr>
            <w:tcW w:type="dxa" w:w="5156"/>
            <w:shd w:fill="D9EAF7"/>
          </w:tcPr>
          <w:p>
            <w:r>
              <w:rPr>
                <w:b/>
              </w:rPr>
              <w:t>Use Cases</w:t>
            </w:r>
          </w:p>
        </w:tc>
      </w:tr>
      <w:tr>
        <w:tc>
          <w:tcPr>
            <w:tcW w:type="dxa" w:w="5156"/>
            <w:vAlign w:val="top"/>
          </w:tcPr>
          <w:p>
            <w:r>
              <w:t>Authentifizierung</w:t>
            </w:r>
          </w:p>
        </w:tc>
        <w:tc>
          <w:tcPr>
            <w:tcW w:type="dxa" w:w="5156"/>
            <w:vAlign w:val="top"/>
          </w:tcPr>
          <w:p>
            <w:r>
              <w:t>UC-01 Anmelden; UC-02 Abmelden</w:t>
            </w:r>
          </w:p>
        </w:tc>
      </w:tr>
      <w:tr>
        <w:tc>
          <w:tcPr>
            <w:tcW w:type="dxa" w:w="5156"/>
            <w:vAlign w:val="top"/>
          </w:tcPr>
          <w:p>
            <w:r>
              <w:t>Monatsplanung</w:t>
            </w:r>
          </w:p>
        </w:tc>
        <w:tc>
          <w:tcPr>
            <w:tcW w:type="dxa" w:w="5156"/>
            <w:vAlign w:val="top"/>
          </w:tcPr>
          <w:p>
            <w:r>
              <w:t>UC-03 Erstellen; UC-04 Bearbeiten; UC-05 Veröffentlichen; UC-06 Eigenen Plan anzeigen</w:t>
            </w:r>
          </w:p>
        </w:tc>
      </w:tr>
      <w:tr>
        <w:tc>
          <w:tcPr>
            <w:tcW w:type="dxa" w:w="5156"/>
            <w:vAlign w:val="top"/>
          </w:tcPr>
          <w:p>
            <w:r>
              <w:t>Absage &amp; Ersatz</w:t>
            </w:r>
          </w:p>
        </w:tc>
        <w:tc>
          <w:tcPr>
            <w:tcW w:type="dxa" w:w="5156"/>
            <w:vAlign w:val="top"/>
          </w:tcPr>
          <w:p>
            <w:r>
              <w:t>UC-07 bis UC-14</w:t>
            </w:r>
          </w:p>
        </w:tc>
      </w:tr>
      <w:tr>
        <w:tc>
          <w:tcPr>
            <w:tcW w:type="dxa" w:w="5156"/>
            <w:vAlign w:val="top"/>
          </w:tcPr>
          <w:p>
            <w:r>
              <w:t>Administration &amp; Stammdaten</w:t>
            </w:r>
          </w:p>
        </w:tc>
        <w:tc>
          <w:tcPr>
            <w:tcW w:type="dxa" w:w="5156"/>
            <w:vAlign w:val="top"/>
          </w:tcPr>
          <w:p>
            <w:r>
              <w:t>UC-15 Mitarbeiter verwalten; UC-16 Projekte und Projektzuordnungen verwalten</w:t>
            </w:r>
          </w:p>
        </w:tc>
      </w:tr>
      <w:tr>
        <w:tc>
          <w:tcPr>
            <w:tcW w:type="dxa" w:w="5156"/>
            <w:vAlign w:val="top"/>
          </w:tcPr>
          <w:p>
            <w:r>
              <w:t>Statistik</w:t>
            </w:r>
          </w:p>
        </w:tc>
        <w:tc>
          <w:tcPr>
            <w:tcW w:type="dxa" w:w="5156"/>
            <w:vAlign w:val="top"/>
          </w:tcPr>
          <w:p>
            <w:r>
              <w:t>UC-17 Eigene planbasierte Statistik anzeigen</w:t>
            </w:r>
          </w:p>
        </w:tc>
      </w:tr>
    </w:tbl>
    <w:p>
      <w:pPr>
        <w:pStyle w:val="Heading1"/>
      </w:pPr>
      <w:r>
        <w:t>3. Clarification CL-04-01 – Administrative Verfügbarkeit für Ersatz-Eligibility</w:t>
      </w:r>
    </w:p>
    <w:p>
      <w:r>
        <w:t>Aus Phase 2 und der Zielgruppenvalidierung ist bereits verbindlich, dass KRANK oder genehmigter URLAUB einen Ersatzkandidaten für den betroffenen Zeitraum ausschließen. Phase 4 v1.1 prüft in UC-10/UC-11 die Verfügbarkeit, dokumentiert aber den administrativen Pflegeweg nicht explizit. Diese Lücke wird wie folgt geschlossen: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D9EAF7"/>
          </w:tcPr>
          <w:p>
            <w:r>
              <w:rPr>
                <w:b/>
              </w:rPr>
              <w:t>Zuordnung</w:t>
            </w:r>
          </w:p>
        </w:tc>
        <w:tc>
          <w:tcPr>
            <w:tcW w:type="dxa" w:w="5156"/>
            <w:shd w:fill="D9EAF7"/>
          </w:tcPr>
          <w:p>
            <w:r>
              <w:rPr>
                <w:b/>
              </w:rPr>
              <w:t>Finale Klarstellung</w:t>
            </w:r>
          </w:p>
        </w:tc>
      </w:tr>
      <w:tr>
        <w:tc>
          <w:tcPr>
            <w:tcW w:type="dxa" w:w="5156"/>
            <w:vAlign w:val="top"/>
          </w:tcPr>
          <w:p>
            <w:r>
              <w:t>UC-15 Mitarbeiter verwalten</w:t>
            </w:r>
          </w:p>
        </w:tc>
        <w:tc>
          <w:tcPr>
            <w:tcW w:type="dxa" w:w="5156"/>
            <w:vAlign w:val="top"/>
          </w:tcPr>
          <w:p>
            <w:r>
              <w:t>Büro/Admin darf die für Ersatz-Eligibility erforderlichen minimalen Abwesenheits-/Verfügbarkeitsinformationen eines Mitarbeiters pflegen.</w:t>
            </w:r>
          </w:p>
        </w:tc>
      </w:tr>
      <w:tr>
        <w:tc>
          <w:tcPr>
            <w:tcW w:type="dxa" w:w="5156"/>
            <w:vAlign w:val="top"/>
          </w:tcPr>
          <w:p>
            <w:r>
              <w:t>KRANK</w:t>
            </w:r>
          </w:p>
        </w:tc>
        <w:tc>
          <w:tcPr>
            <w:tcW w:type="dxa" w:w="5156"/>
            <w:vAlign w:val="top"/>
          </w:tcPr>
          <w:p>
            <w:r>
              <w:t>Es werden ausschließlich Datum/Zeitraum + Status KRANK gespeichert. Keine Diagnose, Symptome oder medizinischen Freitexte.</w:t>
            </w:r>
          </w:p>
        </w:tc>
      </w:tr>
      <w:tr>
        <w:tc>
          <w:tcPr>
            <w:tcW w:type="dxa" w:w="5156"/>
            <w:vAlign w:val="top"/>
          </w:tcPr>
          <w:p>
            <w:r>
              <w:t>Genehmigter URLAUB</w:t>
            </w:r>
          </w:p>
        </w:tc>
        <w:tc>
          <w:tcPr>
            <w:tcW w:type="dxa" w:w="5156"/>
            <w:vAlign w:val="top"/>
          </w:tcPr>
          <w:p>
            <w:r>
              <w:t>Für Eligibility wird ausschließlich die erforderliche genehmigte Abwesenheitsinformation berücksichtigt.</w:t>
            </w:r>
          </w:p>
        </w:tc>
      </w:tr>
      <w:tr>
        <w:tc>
          <w:tcPr>
            <w:tcW w:type="dxa" w:w="5156"/>
            <w:vAlign w:val="top"/>
          </w:tcPr>
          <w:p>
            <w:r>
              <w:t>Nicht enthalten</w:t>
            </w:r>
          </w:p>
        </w:tc>
        <w:tc>
          <w:tcPr>
            <w:tcW w:type="dxa" w:w="5156"/>
            <w:vAlign w:val="top"/>
          </w:tcPr>
          <w:p>
            <w:r>
              <w:t>Kein digitaler Urlaubsantrag, kein Urlaubskonto und keine automatische Rechts-/Anspruchsberechnung im Praktikums-MVP.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2CC"/>
          </w:tcPr>
          <w:p>
            <w:r>
              <w:rPr>
                <w:b/>
              </w:rPr>
              <w:t>CL-04-01 ist eine Traceability-Klarstellung vorhandener Requirements und kein neuer MVP-Vertical.</w:t>
            </w:r>
          </w:p>
        </w:tc>
      </w:tr>
    </w:tbl>
    <w:p>
      <w:pPr>
        <w:pStyle w:val="Heading1"/>
      </w:pPr>
      <w:r>
        <w:t>4. Clarification CL-04-02 – Projektbezogene Schichtkonfiguration</w:t>
      </w:r>
    </w:p>
    <w:p>
      <w:r>
        <w:t>Phase 2 verlangt projektbezogene Schichtarten und Start-/Endzeiten. Phase 4 v1.1 enthält diese Regel nicht ausdrücklich im Projekt-Use-Case. Sie wird ohne neuen Use Case in UC-16 eingeordnet: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D9EAF7"/>
          </w:tcPr>
          <w:p>
            <w:r>
              <w:rPr>
                <w:b/>
              </w:rPr>
              <w:t>Zuordnung</w:t>
            </w:r>
          </w:p>
        </w:tc>
        <w:tc>
          <w:tcPr>
            <w:tcW w:type="dxa" w:w="5156"/>
            <w:shd w:fill="D9EAF7"/>
          </w:tcPr>
          <w:p>
            <w:r>
              <w:rPr>
                <w:b/>
              </w:rPr>
              <w:t>Finale Klarstellung</w:t>
            </w:r>
          </w:p>
        </w:tc>
      </w:tr>
      <w:tr>
        <w:tc>
          <w:tcPr>
            <w:tcW w:type="dxa" w:w="5156"/>
            <w:vAlign w:val="top"/>
          </w:tcPr>
          <w:p>
            <w:r>
              <w:t>UC-16 Projekte und Projektzuordnungen verwalten</w:t>
            </w:r>
          </w:p>
        </w:tc>
        <w:tc>
          <w:tcPr>
            <w:tcW w:type="dxa" w:w="5156"/>
            <w:vAlign w:val="top"/>
          </w:tcPr>
          <w:p>
            <w:r>
              <w:t>Büro/Admin darf die für das Projekt geltenden Schichtarten und Start-/Endzeiten pflegen.</w:t>
            </w:r>
          </w:p>
        </w:tc>
      </w:tr>
      <w:tr>
        <w:tc>
          <w:tcPr>
            <w:tcW w:type="dxa" w:w="5156"/>
            <w:vAlign w:val="top"/>
          </w:tcPr>
          <w:p>
            <w:r>
              <w:t>Aktueller Projektkontext</w:t>
            </w:r>
          </w:p>
        </w:tc>
        <w:tc>
          <w:tcPr>
            <w:tcW w:type="dxa" w:w="5156"/>
            <w:vAlign w:val="top"/>
          </w:tcPr>
          <w:p>
            <w:r>
              <w:t>TAG 06:00–18:00; NACHT 18:00–06:00 Folgetag gemäß bestehender Requirement-Baseline.</w:t>
            </w:r>
          </w:p>
        </w:tc>
      </w:tr>
      <w:tr>
        <w:tc>
          <w:tcPr>
            <w:tcW w:type="dxa" w:w="5156"/>
            <w:vAlign w:val="top"/>
          </w:tcPr>
          <w:p>
            <w:r>
              <w:t>Planung</w:t>
            </w:r>
          </w:p>
        </w:tc>
        <w:tc>
          <w:tcPr>
            <w:tcW w:type="dxa" w:w="5156"/>
            <w:vAlign w:val="top"/>
          </w:tcPr>
          <w:p>
            <w:r>
              <w:t>Planning verwendet die projektbezogene Schichtkonfiguration; die Anzeige kann primär TAG/NACHT verwenden.</w:t>
            </w:r>
          </w:p>
        </w:tc>
      </w:tr>
      <w:tr>
        <w:tc>
          <w:tcPr>
            <w:tcW w:type="dxa" w:w="5156"/>
            <w:vAlign w:val="top"/>
          </w:tcPr>
          <w:p>
            <w:r>
              <w:t>Production Follow-up</w:t>
            </w:r>
          </w:p>
        </w:tc>
        <w:tc>
          <w:tcPr>
            <w:tcW w:type="dxa" w:w="5156"/>
            <w:vAlign w:val="top"/>
          </w:tcPr>
          <w:p>
            <w:r>
              <w:t>Konkrete Ruhe-/Arbeitszeit-Compliance bleibt Production Gate und wird nicht durch erfundene Grenzwerte ersetzt.</w:t>
            </w:r>
          </w:p>
        </w:tc>
      </w:tr>
    </w:tbl>
    <w:p>
      <w:pPr>
        <w:pStyle w:val="Heading1"/>
      </w:pPr>
      <w:r>
        <w:t>5. Aktualisierte querschnittliche Konsistenzpunkte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D9EAF7"/>
          </w:tcPr>
          <w:p>
            <w:r>
              <w:rPr>
                <w:b/>
              </w:rPr>
              <w:t>Bereich</w:t>
            </w:r>
          </w:p>
        </w:tc>
        <w:tc>
          <w:tcPr>
            <w:tcW w:type="dxa" w:w="5156"/>
            <w:shd w:fill="D9EAF7"/>
          </w:tcPr>
          <w:p>
            <w:r>
              <w:rPr>
                <w:b/>
              </w:rPr>
              <w:t>Konsistenzregel</w:t>
            </w:r>
          </w:p>
        </w:tc>
      </w:tr>
      <w:tr>
        <w:tc>
          <w:tcPr>
            <w:tcW w:type="dxa" w:w="5156"/>
            <w:vAlign w:val="top"/>
          </w:tcPr>
          <w:p>
            <w:r>
              <w:t>Autorisierung</w:t>
            </w:r>
          </w:p>
        </w:tc>
        <w:tc>
          <w:tcPr>
            <w:tcW w:type="dxa" w:w="5156"/>
            <w:vAlign w:val="top"/>
          </w:tcPr>
          <w:p>
            <w:r>
              <w:t>Serverseitig; Mitarbeiter sehen nur eigene/fachlich freigegebene Ressourcen.</w:t>
            </w:r>
          </w:p>
        </w:tc>
      </w:tr>
      <w:tr>
        <w:tc>
          <w:tcPr>
            <w:tcW w:type="dxa" w:w="5156"/>
            <w:vAlign w:val="top"/>
          </w:tcPr>
          <w:p>
            <w:r>
              <w:t>Published State</w:t>
            </w:r>
          </w:p>
        </w:tc>
        <w:tc>
          <w:tcPr>
            <w:tcW w:type="dxa" w:w="5156"/>
            <w:vAlign w:val="top"/>
          </w:tcPr>
          <w:p>
            <w:r>
              <w:t>Der veröffentlichte Monatsplan ist Source of Truth für Mitarbeiter und Folgeprozesse.</w:t>
            </w:r>
          </w:p>
        </w:tc>
      </w:tr>
      <w:tr>
        <w:tc>
          <w:tcPr>
            <w:tcW w:type="dxa" w:w="5156"/>
            <w:vAlign w:val="top"/>
          </w:tcPr>
          <w:p>
            <w:r>
              <w:t>Absage/Ersatz</w:t>
            </w:r>
          </w:p>
        </w:tc>
        <w:tc>
          <w:tcPr>
            <w:tcW w:type="dxa" w:w="5156"/>
            <w:vAlign w:val="top"/>
          </w:tcPr>
          <w:p>
            <w:r>
              <w:t>Absage ist Antrag; genau ein Ersatz kann final ausgewählt werden; Planänderung atomar.</w:t>
            </w:r>
          </w:p>
        </w:tc>
      </w:tr>
      <w:tr>
        <w:tc>
          <w:tcPr>
            <w:tcW w:type="dxa" w:w="5156"/>
            <w:vAlign w:val="top"/>
          </w:tcPr>
          <w:p>
            <w:r>
              <w:t>Eligibility</w:t>
            </w:r>
          </w:p>
        </w:tc>
        <w:tc>
          <w:tcPr>
            <w:tcW w:type="dxa" w:w="5156"/>
            <w:vAlign w:val="top"/>
          </w:tcPr>
          <w:p>
            <w:r>
              <w:t>TAG/NACHT-Eignung sowie KRANK/genehmigter URLAUB werden berücksichtigt.</w:t>
            </w:r>
          </w:p>
        </w:tc>
      </w:tr>
      <w:tr>
        <w:tc>
          <w:tcPr>
            <w:tcW w:type="dxa" w:w="5156"/>
            <w:vAlign w:val="top"/>
          </w:tcPr>
          <w:p>
            <w:r>
              <w:t>Privacy KRANK</w:t>
            </w:r>
          </w:p>
        </w:tc>
        <w:tc>
          <w:tcPr>
            <w:tcW w:type="dxa" w:w="5156"/>
            <w:vAlign w:val="top"/>
          </w:tcPr>
          <w:p>
            <w:r>
              <w:t>Nur Datum/Zeitraum + Status; keine medizinischen Freitexte.</w:t>
            </w:r>
          </w:p>
        </w:tc>
      </w:tr>
      <w:tr>
        <w:tc>
          <w:tcPr>
            <w:tcW w:type="dxa" w:w="5156"/>
            <w:vAlign w:val="top"/>
          </w:tcPr>
          <w:p>
            <w:r>
              <w:t>Schichtkonfiguration</w:t>
            </w:r>
          </w:p>
        </w:tc>
        <w:tc>
          <w:tcPr>
            <w:tcW w:type="dxa" w:w="5156"/>
            <w:vAlign w:val="top"/>
          </w:tcPr>
          <w:p>
            <w:r>
              <w:t>Projektbezogene Schichtarten und Zeiten gehören zur Projektverwaltung.</w:t>
            </w:r>
          </w:p>
        </w:tc>
      </w:tr>
      <w:tr>
        <w:tc>
          <w:tcPr>
            <w:tcW w:type="dxa" w:w="5156"/>
            <w:vAlign w:val="top"/>
          </w:tcPr>
          <w:p>
            <w:r>
              <w:t>CR-01</w:t>
            </w:r>
          </w:p>
        </w:tc>
        <w:tc>
          <w:tcPr>
            <w:tcW w:type="dxa" w:w="5156"/>
            <w:vAlign w:val="top"/>
          </w:tcPr>
          <w:p>
            <w:r>
              <w:t>Kein festes 3er-Ersatzlimit.</w:t>
            </w:r>
          </w:p>
        </w:tc>
      </w:tr>
      <w:tr>
        <w:tc>
          <w:tcPr>
            <w:tcW w:type="dxa" w:w="5156"/>
            <w:vAlign w:val="top"/>
          </w:tcPr>
          <w:p>
            <w:r>
              <w:t>Statistik</w:t>
            </w:r>
          </w:p>
        </w:tc>
        <w:tc>
          <w:tcPr>
            <w:tcW w:type="dxa" w:w="5156"/>
            <w:vAlign w:val="top"/>
          </w:tcPr>
          <w:p>
            <w:r>
              <w:t>Planbasiert; keine Arbeitszeiterfassung.</w:t>
            </w:r>
          </w:p>
        </w:tc>
      </w:tr>
    </w:tbl>
    <w:p>
      <w:pPr>
        <w:pStyle w:val="Heading1"/>
      </w:pPr>
      <w:r>
        <w:t>6. Gate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D9EAF7"/>
          </w:tcPr>
          <w:p>
            <w:r>
              <w:rPr>
                <w:b/>
              </w:rPr>
              <w:t>Prüfpunkt</w:t>
            </w:r>
          </w:p>
        </w:tc>
        <w:tc>
          <w:tcPr>
            <w:tcW w:type="dxa" w:w="5156"/>
            <w:shd w:fill="D9EAF7"/>
          </w:tcPr>
          <w:p>
            <w:r>
              <w:rPr>
                <w:b/>
              </w:rPr>
              <w:t>Ergebnis</w:t>
            </w:r>
          </w:p>
        </w:tc>
      </w:tr>
      <w:tr>
        <w:tc>
          <w:tcPr>
            <w:tcW w:type="dxa" w:w="5156"/>
            <w:vAlign w:val="top"/>
          </w:tcPr>
          <w:p>
            <w:r>
              <w:t>Systemkontext und Boundary</w:t>
            </w:r>
          </w:p>
        </w:tc>
        <w:tc>
          <w:tcPr>
            <w:tcW w:type="dxa" w:w="5156"/>
            <w:vAlign w:val="top"/>
          </w:tcPr>
          <w:p>
            <w:r>
              <w:t>PASS</w:t>
            </w:r>
          </w:p>
        </w:tc>
      </w:tr>
      <w:tr>
        <w:tc>
          <w:tcPr>
            <w:tcW w:type="dxa" w:w="5156"/>
            <w:vAlign w:val="top"/>
          </w:tcPr>
          <w:p>
            <w:r>
              <w:t>17 Use Cases</w:t>
            </w:r>
          </w:p>
        </w:tc>
        <w:tc>
          <w:tcPr>
            <w:tcW w:type="dxa" w:w="5156"/>
            <w:vAlign w:val="top"/>
          </w:tcPr>
          <w:p>
            <w:r>
              <w:t>PASS – unverändert</w:t>
            </w:r>
          </w:p>
        </w:tc>
      </w:tr>
      <w:tr>
        <w:tc>
          <w:tcPr>
            <w:tcW w:type="dxa" w:w="5156"/>
            <w:vAlign w:val="top"/>
          </w:tcPr>
          <w:p>
            <w:r>
              <w:t>Detaillierte Spezifikationen aus v1.1</w:t>
            </w:r>
          </w:p>
        </w:tc>
        <w:tc>
          <w:tcPr>
            <w:tcW w:type="dxa" w:w="5156"/>
            <w:vAlign w:val="top"/>
          </w:tcPr>
          <w:p>
            <w:r>
              <w:t>PASS – weiterhin gültig</w:t>
            </w:r>
          </w:p>
        </w:tc>
      </w:tr>
      <w:tr>
        <w:tc>
          <w:tcPr>
            <w:tcW w:type="dxa" w:w="5156"/>
            <w:vAlign w:val="top"/>
          </w:tcPr>
          <w:p>
            <w:r>
              <w:t>KRANK/URLAUB-Eligibility traceable</w:t>
            </w:r>
          </w:p>
        </w:tc>
        <w:tc>
          <w:tcPr>
            <w:tcW w:type="dxa" w:w="5156"/>
            <w:vAlign w:val="top"/>
          </w:tcPr>
          <w:p>
            <w:r>
              <w:t>PASS – CL-04-01</w:t>
            </w:r>
          </w:p>
        </w:tc>
      </w:tr>
      <w:tr>
        <w:tc>
          <w:tcPr>
            <w:tcW w:type="dxa" w:w="5156"/>
            <w:vAlign w:val="top"/>
          </w:tcPr>
          <w:p>
            <w:r>
              <w:t>Schichtkonfiguration traceable</w:t>
            </w:r>
          </w:p>
        </w:tc>
        <w:tc>
          <w:tcPr>
            <w:tcW w:type="dxa" w:w="5156"/>
            <w:vAlign w:val="top"/>
          </w:tcPr>
          <w:p>
            <w:r>
              <w:t>PASS – CL-04-02</w:t>
            </w:r>
          </w:p>
        </w:tc>
      </w:tr>
      <w:tr>
        <w:tc>
          <w:tcPr>
            <w:tcW w:type="dxa" w:w="5156"/>
            <w:vAlign w:val="top"/>
          </w:tcPr>
          <w:p>
            <w:r>
              <w:t>CR-01 berücksichtigt</w:t>
            </w:r>
          </w:p>
        </w:tc>
        <w:tc>
          <w:tcPr>
            <w:tcW w:type="dxa" w:w="5156"/>
            <w:vAlign w:val="top"/>
          </w:tcPr>
          <w:p>
            <w:r>
              <w:t>PASS</w:t>
            </w:r>
          </w:p>
        </w:tc>
      </w:tr>
      <w:tr>
        <w:tc>
          <w:tcPr>
            <w:tcW w:type="dxa" w:w="5156"/>
            <w:vAlign w:val="top"/>
          </w:tcPr>
          <w:p>
            <w:r>
              <w:t>Neue MVP-Features eingeführt</w:t>
            </w:r>
          </w:p>
        </w:tc>
        <w:tc>
          <w:tcPr>
            <w:tcW w:type="dxa" w:w="5156"/>
            <w:vAlign w:val="top"/>
          </w:tcPr>
          <w:p>
            <w:r>
              <w:t>NEIN</w:t>
            </w:r>
          </w:p>
        </w:tc>
      </w:tr>
      <w:tr>
        <w:tc>
          <w:tcPr>
            <w:tcW w:type="dxa" w:w="5156"/>
            <w:vAlign w:val="top"/>
          </w:tcPr>
          <w:p>
            <w:r>
              <w:t>Phase-4-Gate</w:t>
            </w:r>
          </w:p>
        </w:tc>
        <w:tc>
          <w:tcPr>
            <w:tcW w:type="dxa" w:w="5156"/>
            <w:vAlign w:val="top"/>
          </w:tcPr>
          <w:p>
            <w:r>
              <w:t>FINAL · APPROVED</w:t>
            </w:r>
          </w:p>
        </w:tc>
      </w:tr>
    </w:tbl>
    <w:sectPr w:rsidR="00FC693F" w:rsidRPr="0006063C" w:rsidSect="00034616">
      <w:pgSz w:w="12240" w:h="15840"/>
      <w:pgMar w:top="964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