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Liberation Sans" w:hAnsi="Liberation Sans"/>
          <w:b/>
          <w:color w:val="17365D"/>
          <w:sz w:val="44"/>
        </w:rPr>
        <w:t>SecurePlan – Change Request CR-03</w:t>
      </w:r>
    </w:p>
    <w:p>
      <w:r>
        <w:rPr>
          <w:rFonts w:ascii="Liberation Sans" w:hAnsi="Liberation Sans"/>
          <w:b w:val="0"/>
          <w:color w:val="555555"/>
          <w:sz w:val="22"/>
        </w:rPr>
        <w:t>Direkte Wirksamkeit veröffentlichter Monatsplanänderungen</w:t>
      </w:r>
    </w:p>
    <w:p>
      <w:r>
        <w:rPr>
          <w:rFonts w:ascii="Liberation Sans" w:hAnsi="Liberation Sans"/>
          <w:b/>
          <w:color w:val="2F5597"/>
          <w:sz w:val="19"/>
        </w:rPr>
        <w:t>Version 1.0 · FINAL / APPROVED · Normative Baseline-Änderung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4"/>
        <w:gridCol w:w="6803"/>
      </w:tblGrid>
      <w:tr>
        <w:trPr>
          <w:tblHeader w:val="true"/>
        </w:trPr>
        <w:tc>
          <w:tcPr>
            <w:tcW w:type="dxa" w:w="510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Feld</w:t>
            </w:r>
          </w:p>
        </w:tc>
        <w:tc>
          <w:tcPr>
            <w:tcW w:type="dxa" w:w="510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Wert</w:t>
            </w:r>
          </w:p>
        </w:tc>
      </w:tr>
      <w:tr>
        <w:tc>
          <w:tcPr>
            <w:tcW w:type="dxa" w:w="2494"/>
            <w:shd w:fill="EEF4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Liberation Sans" w:hAnsi="Liberation Sans"/>
                <w:b/>
                <w:color w:val="1F1F1F"/>
                <w:sz w:val="17"/>
              </w:rPr>
              <w:t>Dokument</w:t>
            </w:r>
          </w:p>
        </w:tc>
        <w:tc>
          <w:tcPr>
            <w:tcW w:type="dxa" w:w="68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Liberation Sans" w:hAnsi="Liberation Sans"/>
                <w:b w:val="0"/>
                <w:color w:val="1F1F1F"/>
                <w:sz w:val="17"/>
              </w:rPr>
              <w:t>SecurePlan – CR-03 Direkte Published-Plan-Mutation</w:t>
            </w:r>
          </w:p>
        </w:tc>
      </w:tr>
      <w:tr>
        <w:tc>
          <w:tcPr>
            <w:tcW w:type="dxa" w:w="2494"/>
            <w:shd w:fill="EEF4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Liberation Sans" w:hAnsi="Liberation Sans"/>
                <w:b/>
                <w:color w:val="1F1F1F"/>
                <w:sz w:val="17"/>
              </w:rPr>
              <w:t>Version</w:t>
            </w:r>
          </w:p>
        </w:tc>
        <w:tc>
          <w:tcPr>
            <w:tcW w:type="dxa" w:w="68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Liberation Sans" w:hAnsi="Liberation Sans"/>
                <w:b w:val="0"/>
                <w:color w:val="1F1F1F"/>
                <w:sz w:val="17"/>
              </w:rPr>
              <w:t>v1.0</w:t>
            </w:r>
          </w:p>
        </w:tc>
      </w:tr>
      <w:tr>
        <w:tc>
          <w:tcPr>
            <w:tcW w:type="dxa" w:w="2494"/>
            <w:shd w:fill="EEF4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Liberation Sans" w:hAnsi="Liberation Sans"/>
                <w:b/>
                <w:color w:val="1F1F1F"/>
                <w:sz w:val="17"/>
              </w:rPr>
              <w:t>Stand</w:t>
            </w:r>
          </w:p>
        </w:tc>
        <w:tc>
          <w:tcPr>
            <w:tcW w:type="dxa" w:w="68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Liberation Sans" w:hAnsi="Liberation Sans"/>
                <w:b w:val="0"/>
                <w:color w:val="1F1F1F"/>
                <w:sz w:val="17"/>
              </w:rPr>
              <w:t>23.09.2026</w:t>
            </w:r>
          </w:p>
        </w:tc>
      </w:tr>
      <w:tr>
        <w:tc>
          <w:tcPr>
            <w:tcW w:type="dxa" w:w="2494"/>
            <w:shd w:fill="EEF4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Liberation Sans" w:hAnsi="Liberation Sans"/>
                <w:b/>
                <w:color w:val="1F1F1F"/>
                <w:sz w:val="17"/>
              </w:rPr>
              <w:t>Status</w:t>
            </w:r>
          </w:p>
        </w:tc>
        <w:tc>
          <w:tcPr>
            <w:tcW w:type="dxa" w:w="68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Liberation Sans" w:hAnsi="Liberation Sans"/>
                <w:b w:val="0"/>
                <w:color w:val="1F1F1F"/>
                <w:sz w:val="17"/>
              </w:rPr>
              <w:t>FINAL / APPROVED</w:t>
            </w:r>
          </w:p>
        </w:tc>
      </w:tr>
      <w:tr>
        <w:tc>
          <w:tcPr>
            <w:tcW w:type="dxa" w:w="2494"/>
            <w:shd w:fill="EEF4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Liberation Sans" w:hAnsi="Liberation Sans"/>
                <w:b/>
                <w:color w:val="1F1F1F"/>
                <w:sz w:val="17"/>
              </w:rPr>
              <w:t>Entscheider</w:t>
            </w:r>
          </w:p>
        </w:tc>
        <w:tc>
          <w:tcPr>
            <w:tcW w:type="dxa" w:w="68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Liberation Sans" w:hAnsi="Liberation Sans"/>
                <w:b w:val="0"/>
                <w:color w:val="1F1F1F"/>
                <w:sz w:val="17"/>
              </w:rPr>
              <w:t>Product Owner / Projektverantwortlicher</w:t>
            </w:r>
          </w:p>
        </w:tc>
      </w:tr>
      <w:tr>
        <w:tc>
          <w:tcPr>
            <w:tcW w:type="dxa" w:w="2494"/>
            <w:shd w:fill="EEF4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Liberation Sans" w:hAnsi="Liberation Sans"/>
                <w:b/>
                <w:color w:val="1F1F1F"/>
                <w:sz w:val="17"/>
              </w:rPr>
              <w:t>Betroffene Baselines</w:t>
            </w:r>
          </w:p>
        </w:tc>
        <w:tc>
          <w:tcPr>
            <w:tcW w:type="dxa" w:w="68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Liberation Sans" w:hAnsi="Liberation Sans"/>
                <w:b w:val="0"/>
                <w:color w:val="1F1F1F"/>
                <w:sz w:val="17"/>
              </w:rPr>
              <w:t>Phase 2 Requirements v1.1; Phase 4 Systemanalyse; Phase 5 UX/UI; Phase 6.1; Phase 6.3</w:t>
            </w:r>
          </w:p>
        </w:tc>
      </w:tr>
      <w:tr>
        <w:tc>
          <w:tcPr>
            <w:tcW w:type="dxa" w:w="2494"/>
            <w:shd w:fill="EEF4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Liberation Sans" w:hAnsi="Liberation Sans"/>
                <w:b/>
                <w:color w:val="1F1F1F"/>
                <w:sz w:val="17"/>
              </w:rPr>
              <w:t>Auslöser</w:t>
            </w:r>
          </w:p>
        </w:tc>
        <w:tc>
          <w:tcPr>
            <w:tcW w:type="dxa" w:w="68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Liberation Sans" w:hAnsi="Liberation Sans"/>
                <w:b w:val="0"/>
                <w:color w:val="1F1F1F"/>
                <w:sz w:val="17"/>
              </w:rPr>
              <w:t>Fachliche Klarstellung: Nach der erstmaligen Veröffentlichung sollen genehmigte Änderungen unmittelbar im aktuellen Monatsplan wirksam werden; kein Draft-/Re-Publish-Workflow.</w:t>
            </w:r>
          </w:p>
        </w:tc>
      </w:tr>
    </w:tbl>
    <w:p/>
    <w:p>
      <w:pPr>
        <w:pStyle w:val="Heading1"/>
      </w:pPr>
      <w:r>
        <w:t>1. Entscheidung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9"/>
              </w:rPr>
              <w:t>Normative Entscheidung</w:t>
              <w:br/>
            </w:r>
            <w:r>
              <w:rPr>
                <w:rFonts w:ascii="Liberation Sans" w:hAnsi="Liberation Sans"/>
                <w:b w:val="0"/>
                <w:color w:val="1F1F1F"/>
                <w:sz w:val="18"/>
              </w:rPr>
              <w:t>Der Monatsplan wird vor der ersten Veröffentlichung erstellt und ist bis dahin nicht für Mitarbeiter bzw. Folgeprozesse verbindlich. Nach der erstmaligen Veröffentlichung existiert kein paralleler Draft-Zustand. Jede durch Büro/Admin autorisierte Planänderung wird nach serverseitiger Revalidierung und erfolgreichem Commit unmittelbar im aktuell veröffentlichten Monatsplan wirksam. Eine zusätzliche Re-Publish-Aktion entfällt.</w:t>
            </w:r>
          </w:p>
        </w:tc>
      </w:tr>
    </w:tbl>
    <w:p/>
    <w:p>
      <w:pPr>
        <w:pStyle w:val="Heading1"/>
      </w:pPr>
      <w:r>
        <w:t>2. Begründung</w:t>
      </w:r>
    </w:p>
    <w:p>
      <w:pPr>
        <w:pStyle w:val="ListBullet"/>
        <w:spacing w:after="50"/>
      </w:pPr>
      <w:r>
        <w:rPr>
          <w:rFonts w:ascii="Liberation Sans" w:hAnsi="Liberation Sans"/>
          <w:sz w:val="18"/>
        </w:rPr>
        <w:t>Der fachliche Ist-Prozess sieht Büro/Admin als finale Entscheidungsinstanz vor; eine zweite Bestätigung derselben Änderung besitzt keinen zusätzlichen Business-Wert.</w:t>
      </w:r>
    </w:p>
    <w:p>
      <w:pPr>
        <w:pStyle w:val="ListBullet"/>
        <w:spacing w:after="50"/>
      </w:pPr>
      <w:r>
        <w:rPr>
          <w:rFonts w:ascii="Liberation Sans" w:hAnsi="Liberation Sans"/>
          <w:sz w:val="18"/>
        </w:rPr>
        <w:t>Der Monatsplan bleibt die stabile Planungseinheit für Projekt + Kalendermonat. Operative Änderungen betreffen einzelne Dienste/Planungseinheiten, nicht eine neue vollständige Monatsplan-Kopie.</w:t>
      </w:r>
    </w:p>
    <w:p>
      <w:pPr>
        <w:pStyle w:val="ListBullet"/>
        <w:spacing w:after="50"/>
      </w:pPr>
      <w:r>
        <w:rPr>
          <w:rFonts w:ascii="Liberation Sans" w:hAnsi="Liberation Sans"/>
          <w:sz w:val="18"/>
        </w:rPr>
        <w:t>Absage/Ersatz wird dadurch konsistenter: Die finale Admin-Entscheidung und die wirksame Planänderung bilden einen einzigen fachlichen Vorgang.</w:t>
      </w:r>
    </w:p>
    <w:p>
      <w:pPr>
        <w:pStyle w:val="ListBullet"/>
        <w:spacing w:after="50"/>
      </w:pPr>
      <w:r>
        <w:rPr>
          <w:rFonts w:ascii="Liberation Sans" w:hAnsi="Liberation Sans"/>
          <w:sz w:val="18"/>
        </w:rPr>
        <w:t>Audit, Optimistic Concurrency und atomare Transaktionen sichern Nachvollziehbarkeit und Datenintegrität ohne fachliche Monatsplan-Versionierung.</w:t>
      </w:r>
    </w:p>
    <w:p>
      <w:pPr>
        <w:pStyle w:val="Heading1"/>
      </w:pPr>
      <w:r>
        <w:t>3. Normative Änderungen an Phase 2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701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Referenz</w:t>
            </w:r>
          </w:p>
        </w:tc>
        <w:tc>
          <w:tcPr>
            <w:tcW w:type="dxa" w:w="7483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Neuer normativer Zustand</w:t>
            </w:r>
          </w:p>
        </w:tc>
      </w:tr>
      <w:t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BR-MP-04</w:t>
            </w:r>
          </w:p>
        </w:tc>
        <w:tc>
          <w:tcPr>
            <w:tcW w:type="dxa" w:w="74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ERSETZT: Vor der erstmaligen Veröffentlichung ist der Plan nicht für Mitarbeiter oder Folgeprozesse verbindlich. Nach der erstmaligen Veröffentlichung wird kein paralleler Draft geführt.</w:t>
            </w:r>
          </w:p>
        </w:tc>
      </w:tr>
      <w:tr>
        <w:tc>
          <w:tcPr>
            <w:tcW w:type="dxa" w:w="1701"/>
            <w:shd w:fill="F8FAFC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BR-MP-05</w:t>
            </w:r>
          </w:p>
        </w:tc>
        <w:tc>
          <w:tcPr>
            <w:tcW w:type="dxa" w:w="7483"/>
            <w:shd w:fill="F8FAFC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BLEIBT: Folgeprozesse basieren auf dem aktuell veröffentlichten Monatsplan.</w:t>
            </w:r>
          </w:p>
        </w:tc>
      </w:tr>
      <w:t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BR-MP-06</w:t>
            </w:r>
          </w:p>
        </w:tc>
        <w:tc>
          <w:tcPr>
            <w:tcW w:type="dxa" w:w="74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ENTFÄLLT: Ein Re-Publish unveränderter Versionen ist nicht mehr Teil des fachlichen Modells.</w:t>
            </w:r>
          </w:p>
        </w:tc>
      </w:tr>
      <w:tr>
        <w:tc>
          <w:tcPr>
            <w:tcW w:type="dxa" w:w="1701"/>
            <w:shd w:fill="F8FAFC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BR-MP-07</w:t>
            </w:r>
          </w:p>
        </w:tc>
        <w:tc>
          <w:tcPr>
            <w:tcW w:type="dxa" w:w="7483"/>
            <w:shd w:fill="F8FAFC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ERSETZT: Autorisierte Änderungen an einem bereits veröffentlichten Monatsplan werden nach erfolgreicher Revalidierung und Transaktion unmittelbar verbindlich.</w:t>
            </w:r>
          </w:p>
        </w:tc>
      </w:tr>
      <w:t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BR-MP-08</w:t>
            </w:r>
          </w:p>
        </w:tc>
        <w:tc>
          <w:tcPr>
            <w:tcW w:type="dxa" w:w="74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ERSETZT: Jede wirksame Planänderung wird unmittelbar vor Commit erneut gegen die relevanten Projekt-, Schicht-, Zuordnungs- und Eligibility-Regeln validiert.</w:t>
            </w:r>
          </w:p>
        </w:tc>
      </w:tr>
      <w:tr>
        <w:tc>
          <w:tcPr>
            <w:tcW w:type="dxa" w:w="1701"/>
            <w:shd w:fill="F8FAFC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BR-NOT-04</w:t>
            </w:r>
          </w:p>
        </w:tc>
        <w:tc>
          <w:tcPr>
            <w:tcW w:type="dxa" w:w="7483"/>
            <w:shd w:fill="F8FAFC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ERSETZT: Doppelte Benachrichtigungen werden durch Ereignis-/Idempotenzregeln verhindert; Re-Publish ist kein Auslöser mehr.</w:t>
            </w:r>
          </w:p>
        </w:tc>
      </w:tr>
    </w:tbl>
    <w:p/>
    <w:p>
      <w:pPr>
        <w:pStyle w:val="Heading1"/>
      </w:pPr>
      <w:r>
        <w:t>4. Auswirkungen auf nachgelagerte Baselines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15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Dokument</w:t>
            </w:r>
          </w:p>
        </w:tc>
        <w:tc>
          <w:tcPr>
            <w:tcW w:type="dxa" w:w="703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Auswirkung</w:t>
            </w:r>
          </w:p>
        </w:tc>
      </w:tr>
      <w:tr>
        <w:tc>
          <w:tcPr>
            <w:tcW w:type="dxa" w:w="215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Phase 3 Scope/MVP</w:t>
            </w:r>
          </w:p>
        </w:tc>
        <w:tc>
          <w:tcPr>
            <w:tcW w:type="dxa" w:w="703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Kein Scope-Zuwachs. Der Kernflow bleibt Monatsplan → Publish → Absage/Ersatz → Büroentscheidung → aktualisierter veröffentlichter Plan.</w:t>
            </w:r>
          </w:p>
        </w:tc>
      </w:tr>
      <w:tr>
        <w:tc>
          <w:tcPr>
            <w:tcW w:type="dxa" w:w="2154"/>
            <w:shd w:fill="F8FAFC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Phase 4 Systemanalyse</w:t>
            </w:r>
          </w:p>
        </w:tc>
        <w:tc>
          <w:tcPr>
            <w:tcW w:type="dxa" w:w="7030"/>
            <w:shd w:fill="F8FAFC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UC-05 beschreibt die erstmalige Veröffentlichung. UC-04 bearbeitet einen veröffentlichten Plan direkt wirksam nach Validierung. UC-12 bleibt atomare Ersatzentscheidung + Planänderung.</w:t>
            </w:r>
          </w:p>
        </w:tc>
      </w:tr>
      <w:tr>
        <w:tc>
          <w:tcPr>
            <w:tcW w:type="dxa" w:w="215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Phase 5 UX/UI</w:t>
            </w:r>
          </w:p>
        </w:tc>
        <w:tc>
          <w:tcPr>
            <w:tcW w:type="dxa" w:w="703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Kein separater Re-Publish-Schritt nach operativen Änderungen. Konflikt-/Stale-Data-State bleibt bestehen.</w:t>
            </w:r>
          </w:p>
        </w:tc>
      </w:tr>
      <w:tr>
        <w:tc>
          <w:tcPr>
            <w:tcW w:type="dxa" w:w="2154"/>
            <w:shd w:fill="F8FAFC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Phase 6.1 G6</w:t>
            </w:r>
          </w:p>
        </w:tc>
        <w:tc>
          <w:tcPr>
            <w:tcW w:type="dxa" w:w="7030"/>
            <w:shd w:fill="F8FAFC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ERSETZT: Published Monatsplan ist Source of Truth. Vor der ersten Veröffentlichung ist der Plan unveröffentlicht; danach gibt es keinen parallelen Draft.</w:t>
            </w:r>
          </w:p>
        </w:tc>
      </w:tr>
      <w:tr>
        <w:tc>
          <w:tcPr>
            <w:tcW w:type="dxa" w:w="2154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Phase 6.3 Planning Ownership</w:t>
            </w:r>
          </w:p>
        </w:tc>
        <w:tc>
          <w:tcPr>
            <w:tcW w:type="dxa" w:w="7030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ERSETZT: Planning besitzt MonthlyPlan, Plan Entries, Erstveröffentlichung, direkte wirksame Planmutation, Validierung und Concurrency Control. Draft/Re-Publish entfällt.</w:t>
            </w:r>
          </w:p>
        </w:tc>
      </w:tr>
      <w:tr>
        <w:tc>
          <w:tcPr>
            <w:tcW w:type="dxa" w:w="2154"/>
            <w:shd w:fill="F8FAFC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Phase 6.4 Public Contracts</w:t>
            </w:r>
          </w:p>
        </w:tc>
        <w:tc>
          <w:tcPr>
            <w:tcW w:type="dxa" w:w="7030"/>
            <w:shd w:fill="F8FAFC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r>
              <w:rPr>
                <w:rFonts w:ascii="Liberation Sans" w:hAnsi="Liberation Sans"/>
                <w:sz w:val="16"/>
              </w:rPr>
              <w:t>BLEIBT: Absage &amp; Ersatz mutiert Planning nicht direkt, sondern nutzt den öffentlichen Planning-Contract.</w:t>
            </w:r>
          </w:p>
        </w:tc>
      </w:tr>
    </w:tbl>
    <w:p/>
    <w:p>
      <w:pPr>
        <w:pStyle w:val="Heading1"/>
      </w:pPr>
      <w:r>
        <w:t>5. Unveränderte Kernregeln</w:t>
      </w:r>
    </w:p>
    <w:p>
      <w:pPr>
        <w:pStyle w:val="ListBullet"/>
        <w:spacing w:after="50"/>
      </w:pPr>
      <w:r>
        <w:rPr>
          <w:rFonts w:ascii="Liberation Sans" w:hAnsi="Liberation Sans"/>
          <w:sz w:val="18"/>
        </w:rPr>
        <w:t>Nur autorisierte Büro/Admin-Aktionen dürfen produktive Planänderungen auslösen.</w:t>
      </w:r>
    </w:p>
    <w:p>
      <w:pPr>
        <w:pStyle w:val="ListBullet"/>
        <w:spacing w:after="50"/>
      </w:pPr>
      <w:r>
        <w:rPr>
          <w:rFonts w:ascii="Liberation Sans" w:hAnsi="Liberation Sans"/>
          <w:sz w:val="18"/>
        </w:rPr>
        <w:t>Der aktuell veröffentlichte Monatsplan bleibt die fachliche Source of Truth.</w:t>
      </w:r>
    </w:p>
    <w:p>
      <w:pPr>
        <w:pStyle w:val="ListBullet"/>
        <w:spacing w:after="50"/>
      </w:pPr>
      <w:r>
        <w:rPr>
          <w:rFonts w:ascii="Liberation Sans" w:hAnsi="Liberation Sans"/>
          <w:sz w:val="18"/>
        </w:rPr>
        <w:t>Absage ist zunächst ein Antrag und verändert den Plan nicht automatisch.</w:t>
      </w:r>
    </w:p>
    <w:p>
      <w:pPr>
        <w:pStyle w:val="ListBullet"/>
        <w:spacing w:after="50"/>
      </w:pPr>
      <w:r>
        <w:rPr>
          <w:rFonts w:ascii="Liberation Sans" w:hAnsi="Liberation Sans"/>
          <w:sz w:val="18"/>
        </w:rPr>
        <w:t>Genehmigte Ersatzübernahmen werden atomar umgesetzt.</w:t>
      </w:r>
    </w:p>
    <w:p>
      <w:pPr>
        <w:pStyle w:val="ListBullet"/>
        <w:spacing w:after="50"/>
      </w:pPr>
      <w:r>
        <w:rPr>
          <w:rFonts w:ascii="Liberation Sans" w:hAnsi="Liberation Sans"/>
          <w:sz w:val="18"/>
        </w:rPr>
        <w:t>Kritische Änderungen bleiben auditierbar, idempotent und gegen konkurrierende Lost Updates geschützt.</w:t>
      </w:r>
    </w:p>
    <w:p>
      <w:pPr>
        <w:pStyle w:val="ListBullet"/>
        <w:spacing w:after="50"/>
      </w:pPr>
      <w:r>
        <w:rPr>
          <w:rFonts w:ascii="Liberation Sans" w:hAnsi="Liberation Sans"/>
          <w:sz w:val="18"/>
        </w:rPr>
        <w:t>Mitarbeiter sehen ausschließlich den für sie relevanten aktuellen Planstand.</w:t>
      </w:r>
    </w:p>
    <w:p>
      <w:r>
        <w:rPr>
          <w:rFonts w:ascii="Liberation Sans" w:hAnsi="Liberation Sans"/>
          <w:b/>
          <w:color w:val="17365D"/>
          <w:sz w:val="18"/>
        </w:rPr>
        <w:t xml:space="preserve">Gate: APPROVED. </w:t>
      </w:r>
      <w:r>
        <w:rPr>
          <w:rFonts w:ascii="Liberation Sans" w:hAnsi="Liberation Sans"/>
          <w:sz w:val="18"/>
        </w:rPr>
        <w:t>Diese Änderung ist ab 23.09.2026 normativ und hat bei widersprechenden älteren Formulierungen Vorrang. Sie ist verbindlicher Input für Phase 6.5.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b w:val="0"/>
        <w:color w:val="7F7F7F"/>
        <w:sz w:val="16"/>
      </w:rPr>
      <w:t>SecurePlan · Architektur-Baseline · 23.09.2026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6B7280"/>
        <w:sz w:val="16"/>
      </w:rPr>
      <w:t>SECUREPLAN  |  CR-03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83" w:right="170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