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60"/>
      </w:pPr>
      <w:r>
        <w:rPr>
          <w:rFonts w:ascii="Times" w:hAnsi="Times" w:cs="Times"/>
          <w:sz w:val="32"/>
          <w:sz-cs w:val="32"/>
          <w:b/>
        </w:rPr>
        <w:t xml:space="preserve">CARDIOLOGIST'S QUALITY ASSESSMENT REPORT</w:t>
      </w:r>
    </w:p>
    <w:p>
      <w:pPr>
        <w:jc w:val="center"/>
        <w:spacing w:after="60"/>
      </w:pPr>
      <w:r>
        <w:rPr>
          <w:rFonts w:ascii="Times" w:hAnsi="Times" w:cs="Times"/>
          <w:sz w:val="26"/>
          <w:sz-cs w:val="26"/>
        </w:rPr>
        <w:t xml:space="preserve">On the 12-Lead ECG Record and Accompanying Display Image</w:t>
      </w:r>
    </w:p>
    <w:p>
      <w:pPr>
        <w:jc w:val="center"/>
        <w:spacing w:after="320"/>
      </w:pPr>
      <w:r>
        <w:rPr>
          <w:rFonts w:ascii="Times" w:hAnsi="Times" w:cs="Times"/>
          <w:sz w:val="22"/>
          <w:sz-cs w:val="22"/>
        </w:rPr>
        <w:t xml:space="preserve">Prepared in the capacity of a Senior Consultant Cardiologist</w:t>
      </w:r>
    </w:p>
    <w:p>
      <w:pPr>
        <w:spacing w:before="240" w:after="120"/>
      </w:pPr>
      <w:r>
        <w:rPr>
          <w:rFonts w:ascii="Times" w:hAnsi="Times" w:cs="Times"/>
          <w:sz w:val="24"/>
          <w:sz-cs w:val="24"/>
        </w:rPr>
        <w:t xml:space="preserve">I. PRELIMINARIES</w:t>
      </w:r>
    </w:p>
    <w:p>
      <w:pPr>
        <w:jc w:val="both"/>
        <w:spacing w:after="120"/>
      </w:pPr>
      <w:r>
        <w:rPr>
          <w:rFonts w:ascii="Times" w:hAnsi="Times" w:cs="Times"/>
          <w:sz w:val="24"/>
          <w:sz-cs w:val="24"/>
          <w:b/>
          <w:color w:val="000000"/>
        </w:rPr>
        <w:t xml:space="preserve">Subject Record: </w:t>
      </w:r>
      <w:r>
        <w:rPr>
          <w:rFonts w:ascii="Times" w:hAnsi="Times" w:cs="Times"/>
          <w:sz w:val="24"/>
          <w:sz-cs w:val="24"/>
          <w:color w:val="000000"/>
        </w:rPr>
        <w:t xml:space="preserve">tech1 ECG Corpus, Record No. b7e42d19-3c81-4f05-9a17-6c84d2e0b351, recorded on 18 January 2025.</w:t>
      </w:r>
    </w:p>
    <w:p>
      <w:pPr>
        <w:jc w:val="both"/>
        <w:spacing w:after="120"/>
      </w:pPr>
      <w:r>
        <w:rPr>
          <w:rFonts w:ascii="Times" w:hAnsi="Times" w:cs="Times"/>
          <w:sz w:val="24"/>
          <w:sz-cs w:val="24"/>
          <w:b/>
          <w:color w:val="000000"/>
        </w:rPr>
        <w:t xml:space="preserve">Documents Examined: </w:t>
      </w:r>
      <w:r>
        <w:rPr>
          <w:rFonts w:ascii="Times" w:hAnsi="Times" w:cs="Times"/>
          <w:sz w:val="24"/>
          <w:sz-cs w:val="24"/>
          <w:color w:val="000000"/>
        </w:rPr>
        <w:t xml:space="preserve">(i) the raw digital record in JSON format (Record_b__.json); and (ii) the rendered 12-lead display image (Record_b__.png) showing the standard Cabrera-adjacent 4 × 3 layout with a Lead II rhythm strip.</w:t>
      </w:r>
    </w:p>
    <w:p>
      <w:pPr>
        <w:jc w:val="both"/>
        <w:spacing w:after="120"/>
      </w:pPr>
      <w:r>
        <w:rPr>
          <w:rFonts w:ascii="Times" w:hAnsi="Times" w:cs="Times"/>
          <w:sz w:val="24"/>
          <w:sz-cs w:val="24"/>
          <w:b/>
          <w:color w:val="000000"/>
        </w:rPr>
        <w:t xml:space="preserve">Patient (de-identified): </w:t>
      </w:r>
      <w:r>
        <w:rPr>
          <w:rFonts w:ascii="Times" w:hAnsi="Times" w:cs="Times"/>
          <w:sz w:val="24"/>
          <w:sz-cs w:val="24"/>
          <w:color w:val="000000"/>
        </w:rPr>
        <w:t xml:space="preserve">Male, 66 years; blood pressure 152/88 mmHg; known diabetic and hypertensive; non-smoker; fasting/random blood sugar 129 mg/dL.</w:t>
      </w:r>
    </w:p>
    <w:p>
      <w:pPr>
        <w:jc w:val="both"/>
        <w:spacing w:after="120"/>
      </w:pPr>
      <w:r>
        <w:rPr>
          <w:rFonts w:ascii="Times" w:hAnsi="Times" w:cs="Times"/>
          <w:sz w:val="24"/>
          <w:sz-cs w:val="24"/>
          <w:b/>
          <w:color w:val="000000"/>
        </w:rPr>
        <w:t xml:space="preserve">Acquisition Specifications: </w:t>
      </w:r>
      <w:r>
        <w:rPr>
          <w:rFonts w:ascii="Times" w:hAnsi="Times" w:cs="Times"/>
          <w:sz w:val="24"/>
          <w:sz-cs w:val="24"/>
          <w:color w:val="000000"/>
        </w:rPr>
        <w:t xml:space="preserve">Sampling rate 500 Hz; ADC resolution 12-bit; ADC range ±4 mV; LSB ≈ 1.953 µV; bandpass 0.05–150 Hz with a 50 Hz notch (Butterworth 4th-order); paper speed 25 mm/s; gain 10 mm/mV.</w:t>
      </w:r>
    </w:p>
    <w:p>
      <w:pPr>
        <w:jc w:val="both"/>
        <w:spacing w:after="120"/>
      </w:pPr>
      <w:r>
        <w:rPr>
          <w:rFonts w:ascii="Times" w:hAnsi="Times" w:cs="Times"/>
          <w:sz w:val="24"/>
          <w:sz-cs w:val="24"/>
          <w:b/>
          <w:color w:val="000000"/>
        </w:rPr>
        <w:t xml:space="preserve">Mandate: </w:t>
      </w:r>
      <w:r>
        <w:rPr>
          <w:rFonts w:ascii="Times" w:hAnsi="Times" w:cs="Times"/>
          <w:sz w:val="24"/>
          <w:sz-cs w:val="24"/>
          <w:color w:val="000000"/>
        </w:rPr>
        <w:t xml:space="preserve">To opine, as a senior cardiologist of more than three decades' standing, upon the technical and clinical quality of the documents on four specific parameters set out below.</w:t>
      </w:r>
    </w:p>
    <w:p>
      <w:pPr>
        <w:spacing w:before="240" w:after="120"/>
      </w:pPr>
      <w:r>
        <w:rPr>
          <w:rFonts w:ascii="Times" w:hAnsi="Times" w:cs="Times"/>
          <w:sz w:val="24"/>
          <w:sz-cs w:val="24"/>
        </w:rPr>
        <w:t xml:space="preserve">II. PARAMETER 1 — WHETHER THE DOCUMENTS ARE IN PROPER AMPLITUDE</w:t>
      </w:r>
    </w:p>
    <w:p>
      <w:pPr>
        <w:jc w:val="both"/>
        <w:ind w:left="720" w:first-line="-720"/>
        <w:spacing w:after="120"/>
      </w:pPr>
      <w:r>
        <w:rPr>
          <w:rFonts w:ascii="Times" w:hAnsi="Times" w:cs="Times"/>
          <w:sz w:val="24"/>
          <w:sz-cs w:val="24"/>
          <w:b/>
          <w:color w:val="000000"/>
        </w:rPr>
        <w:t xml:space="preserve"/>
        <w:tab/>
        <w:t xml:space="preserve">•</w:t>
        <w:tab/>
        <w:t xml:space="preserve">Calibration is in order. </w:t>
      </w:r>
      <w:r>
        <w:rPr>
          <w:rFonts w:ascii="Times" w:hAnsi="Times" w:cs="Times"/>
          <w:sz w:val="24"/>
          <w:sz-cs w:val="24"/>
          <w:color w:val="000000"/>
        </w:rPr>
        <w:t xml:space="preserve">The record is acquired with a stated gain of 10 mm/mV and paper speed of 25 mm/sec, which are the universally accepted IEC/AHA standards. The display image reproduces a calibration block of 0.42 mV at the start of each row, consistent with the encoded gain. Each lead trace in the image scales correctly to one large square (5 mm) per millivolt.</w:t>
      </w:r>
    </w:p>
    <w:p>
      <w:pPr>
        <w:jc w:val="both"/>
        <w:ind w:left="720" w:first-line="-720"/>
        <w:spacing w:after="120"/>
      </w:pPr>
      <w:r>
        <w:rPr>
          <w:rFonts w:ascii="Times" w:hAnsi="Times" w:cs="Times"/>
          <w:sz w:val="24"/>
          <w:sz-cs w:val="24"/>
          <w:b/>
          <w:color w:val="000000"/>
        </w:rPr>
        <w:t xml:space="preserve"/>
        <w:tab/>
        <w:t xml:space="preserve">•</w:t>
        <w:tab/>
        <w:t xml:space="preserve">Digitisation headroom is comfortable. </w:t>
      </w:r>
      <w:r>
        <w:rPr>
          <w:rFonts w:ascii="Times" w:hAnsi="Times" w:cs="Times"/>
          <w:sz w:val="24"/>
          <w:sz-cs w:val="24"/>
          <w:color w:val="000000"/>
        </w:rPr>
        <w:t xml:space="preserve">The 12-bit ADC over ±4 mV gives a least-significant bit of ≈ 1.953 µV — far below the noise floor of any clinical electrode interface, and well within the IEC 60601-2-25 requirement of ≤ 5 µV quantisation. No sample in any of the twelve leads approaches the ±4 mV rail. The maximum recorded excursions are V1 (−1.05 mV) and V5 (+1.04 mV), which is well within range.</w:t>
      </w:r>
    </w:p>
    <w:p>
      <w:pPr>
        <w:jc w:val="both"/>
        <w:ind w:left="720" w:first-line="-720"/>
        <w:spacing w:after="120"/>
      </w:pPr>
      <w:r>
        <w:rPr>
          <w:rFonts w:ascii="Times" w:hAnsi="Times" w:cs="Times"/>
          <w:sz w:val="24"/>
          <w:sz-cs w:val="24"/>
          <w:b/>
          <w:color w:val="000000"/>
        </w:rPr>
        <w:t xml:space="preserve"/>
        <w:tab/>
        <w:t xml:space="preserve">•</w:t>
        <w:tab/>
        <w:t xml:space="preserve">Peak-to-peak amplitudes are physiological. </w:t>
      </w:r>
      <w:r>
        <w:rPr>
          <w:rFonts w:ascii="Times" w:hAnsi="Times" w:cs="Times"/>
          <w:sz w:val="24"/>
          <w:sz-cs w:val="24"/>
          <w:color w:val="000000"/>
        </w:rPr>
        <w:t xml:space="preserve">The peak-to-peak excursions are: I = 0.97 mV; II = 0.62 mV; III = 0.44 mV; aVR = 0.77 mV; aVL = 0.70 mV; aVF = 0.24 mV; V1 = 1.64 mV; V2 = 1.57 mV; V3 = 1.25 mV; V4 = 0.85 mV; V5 = 1.44 mV; V6 = 1.23 mV. These values are entirely within the expected physiological band and there is no evidence of low-voltage QRS (limb-lead QRS &lt; 0.5 mV in all limb leads would have raised that concern; here lead aVF is modest at 0.24 mV but the precordial voltages are robust and the diagnosis is not low-voltage).</w:t>
      </w:r>
    </w:p>
    <w:p>
      <w:pPr>
        <w:jc w:val="both"/>
        <w:ind w:left="720" w:first-line="-720"/>
        <w:spacing w:after="120"/>
      </w:pPr>
      <w:r>
        <w:rPr>
          <w:rFonts w:ascii="Times" w:hAnsi="Times" w:cs="Times"/>
          <w:sz w:val="24"/>
          <w:sz-cs w:val="24"/>
          <w:b/>
          <w:color w:val="000000"/>
        </w:rPr>
        <w:t xml:space="preserve"/>
        <w:tab/>
        <w:t xml:space="preserve">•</w:t>
        <w:tab/>
        <w:t xml:space="preserve">No clipping, no saturation. </w:t>
      </w:r>
      <w:r>
        <w:rPr>
          <w:rFonts w:ascii="Times" w:hAnsi="Times" w:cs="Times"/>
          <w:sz w:val="24"/>
          <w:sz-cs w:val="24"/>
          <w:color w:val="000000"/>
        </w:rPr>
        <w:t xml:space="preserve">A sample-by-sample search of all twelve leads for values exceeding ±3.9 mV returned a count of zero in every lead. There is therefore no amplitude clipping at the ADC ceiling and the morphology in V1, V2 and V5 — where excursions are largest by virtue of the underlying left bundle branch block pathology — is faithfully captured.</w:t>
      </w:r>
    </w:p>
    <w:p>
      <w:pPr>
        <w:jc w:val="both"/>
        <w:ind w:left="720" w:first-line="-720"/>
        <w:spacing w:after="120"/>
      </w:pPr>
      <w:r>
        <w:rPr>
          <w:rFonts w:ascii="Times" w:hAnsi="Times" w:cs="Times"/>
          <w:sz w:val="24"/>
          <w:sz-cs w:val="24"/>
          <w:b/>
          <w:color w:val="000000"/>
        </w:rPr>
        <w:t xml:space="preserve"/>
        <w:tab/>
        <w:t xml:space="preserve">•</w:t>
        <w:tab/>
        <w:t xml:space="preserve">Baseline wander is well-controlled. </w:t>
      </w:r>
      <w:r>
        <w:rPr>
          <w:rFonts w:ascii="Times" w:hAnsi="Times" w:cs="Times"/>
          <w:sz w:val="24"/>
          <w:sz-cs w:val="24"/>
          <w:color w:val="000000"/>
        </w:rPr>
        <w:t xml:space="preserve">The median (DC) level of each lead lies within ±0.025 mV of zero in all twelve leads, confirming that the 0.05 Hz high-pass leg of the bandpass is functioning. Lead V3 (median +0.022 mV) shows the largest residual offset, which is clinically negligible.</w:t>
      </w:r>
    </w:p>
    <w:p>
      <w:pPr>
        <w:jc w:val="both"/>
        <w:ind w:left="720" w:first-line="-720"/>
        <w:spacing w:after="120"/>
      </w:pPr>
      <w:r>
        <w:rPr>
          <w:rFonts w:ascii="Times" w:hAnsi="Times" w:cs="Times"/>
          <w:sz w:val="24"/>
          <w:sz-cs w:val="24"/>
          <w:b/>
          <w:color w:val="000000"/>
        </w:rPr>
        <w:t xml:space="preserve"/>
        <w:tab/>
        <w:t xml:space="preserve">•</w:t>
        <w:tab/>
        <w:t xml:space="preserve">High-frequency noise is minimal. </w:t>
      </w:r>
      <w:r>
        <w:rPr>
          <w:rFonts w:ascii="Times" w:hAnsi="Times" w:cs="Times"/>
          <w:sz w:val="24"/>
          <w:sz-cs w:val="24"/>
          <w:color w:val="000000"/>
        </w:rPr>
        <w:t xml:space="preserve">An RMS estimate of energy in the 50–150 Hz band on lead II returns approximately 3 µV — i.e. on the order of two ADC LSBs. The 50 Hz notch is clearly effective. The image shows mild, uniform 'fuzz' in V1–V3 corresponding to ordinary myographic activity; it does not obscure the QRS-T morphology.</w:t>
      </w:r>
    </w:p>
    <w:p>
      <w:pPr>
        <w:jc w:val="both"/>
        <w:ind w:left="720" w:first-line="-720"/>
        <w:spacing w:after="120"/>
      </w:pPr>
      <w:r>
        <w:rPr>
          <w:rFonts w:ascii="Times" w:hAnsi="Times" w:cs="Times"/>
          <w:sz w:val="24"/>
          <w:sz-cs w:val="24"/>
          <w:b/>
          <w:color w:val="000000"/>
        </w:rPr>
        <w:t xml:space="preserve"/>
        <w:tab/>
        <w:t xml:space="preserve">•</w:t>
        <w:tab/>
        <w:t xml:space="preserve">Opinion on Parameter 1: </w:t>
      </w:r>
      <w:r>
        <w:rPr>
          <w:rFonts w:ascii="Times" w:hAnsi="Times" w:cs="Times"/>
          <w:sz w:val="24"/>
          <w:sz-cs w:val="24"/>
          <w:color w:val="000000"/>
        </w:rPr>
        <w:t xml:space="preserve">The amplitudes are proper. Calibration, gain, dynamic range, noise floor and baseline are all within accepted clinical standards. The record is fit for diagnostic interpretation on amplitude grounds.</w:t>
      </w:r>
    </w:p>
    <w:p>
      <w:pPr>
        <w:spacing w:before="240" w:after="120"/>
      </w:pPr>
      <w:r>
        <w:rPr>
          <w:rFonts w:ascii="Times" w:hAnsi="Times" w:cs="Times"/>
          <w:sz w:val="24"/>
          <w:sz-cs w:val="24"/>
        </w:rPr>
        <w:t xml:space="preserve">III. PARAMETER 2 — WHETHER THE DOCUMENTS ARE CORRECTLY LABELLED</w:t>
      </w:r>
    </w:p>
    <w:p>
      <w:pPr>
        <w:jc w:val="both"/>
        <w:ind w:left="720" w:first-line="-720"/>
        <w:spacing w:after="120"/>
      </w:pPr>
      <w:r>
        <w:rPr>
          <w:rFonts w:ascii="Times" w:hAnsi="Times" w:cs="Times"/>
          <w:sz w:val="24"/>
          <w:sz-cs w:val="24"/>
          <w:b/>
          <w:color w:val="000000"/>
        </w:rPr>
        <w:t xml:space="preserve"/>
        <w:tab/>
        <w:t xml:space="preserve">•</w:t>
        <w:tab/>
        <w:t xml:space="preserve">Layout matches Indian-standard 12-lead presentation. </w:t>
      </w:r>
      <w:r>
        <w:rPr>
          <w:rFonts w:ascii="Times" w:hAnsi="Times" w:cs="Times"/>
          <w:sz w:val="24"/>
          <w:sz-cs w:val="24"/>
          <w:color w:val="000000"/>
        </w:rPr>
        <w:t xml:space="preserve">The display image and the JSON 'display.layout' field both confirm the conventional 4-column × 3-row arrangement — Column 1: I, II, III; Column 2: aVR, aVL, aVF; Column 3: V1, V2, V3; Column 4: V4, V5, V6 — with a continuous Lead II rhythm strip at the bottom, at 2.5 seconds per column. This is the routine clinical presentation.</w:t>
      </w:r>
    </w:p>
    <w:p>
      <w:pPr>
        <w:jc w:val="both"/>
        <w:ind w:left="720" w:first-line="-720"/>
        <w:spacing w:after="120"/>
      </w:pPr>
      <w:r>
        <w:rPr>
          <w:rFonts w:ascii="Times" w:hAnsi="Times" w:cs="Times"/>
          <w:sz w:val="24"/>
          <w:sz-cs w:val="24"/>
          <w:b/>
          <w:color w:val="000000"/>
        </w:rPr>
        <w:t xml:space="preserve"/>
        <w:tab/>
        <w:t xml:space="preserve">•</w:t>
        <w:tab/>
        <w:t xml:space="preserve">Einthoven's Law is satisfied to machine precision. </w:t>
      </w:r>
      <w:r>
        <w:rPr>
          <w:rFonts w:ascii="Times" w:hAnsi="Times" w:cs="Times"/>
          <w:sz w:val="24"/>
          <w:sz-cs w:val="24"/>
          <w:color w:val="000000"/>
        </w:rPr>
        <w:t xml:space="preserve">The first internal consistency test for lead labelling is whether II = I + III at every sample. Computed across all 7,006 samples, the mean absolute residual |II − (I + III)| is 0.00000 mV. This is mathematically perfect — the limb leads I, II and III are correctly named with the correct polarities. Any electrode swap (LA–RA, LA–LL, etc.) would produce a residual of the order of 0.5–1.0 mV, which is not present.</w:t>
      </w:r>
    </w:p>
    <w:p>
      <w:pPr>
        <w:jc w:val="both"/>
        <w:ind w:left="720" w:first-line="-720"/>
        <w:spacing w:after="120"/>
      </w:pPr>
      <w:r>
        <w:rPr>
          <w:rFonts w:ascii="Times" w:hAnsi="Times" w:cs="Times"/>
          <w:sz w:val="24"/>
          <w:sz-cs w:val="24"/>
          <w:b/>
          <w:color w:val="000000"/>
        </w:rPr>
        <w:t xml:space="preserve"/>
        <w:tab/>
        <w:t xml:space="preserve">•</w:t>
        <w:tab/>
        <w:t xml:space="preserve">Goldberger's augmented leads are correctly derived. </w:t>
      </w:r>
      <w:r>
        <w:rPr>
          <w:rFonts w:ascii="Times" w:hAnsi="Times" w:cs="Times"/>
          <w:sz w:val="24"/>
          <w:sz-cs w:val="24"/>
          <w:color w:val="000000"/>
        </w:rPr>
        <w:t xml:space="preserve">Similarly, the mean absolute residuals |aVR − (−(I+II)/2)|, |aVL − (I−III)/2| and |aVF − (II+III)/2| are each ≈ 0.0005 mV — essentially limb-lead quantisation noise. The augmented leads aVR, aVL and aVF are therefore correctly named and correctly derived from the limb leads.</w:t>
      </w:r>
    </w:p>
    <w:p>
      <w:pPr>
        <w:jc w:val="both"/>
        <w:ind w:left="720" w:first-line="-720"/>
        <w:spacing w:after="120"/>
      </w:pPr>
      <w:r>
        <w:rPr>
          <w:rFonts w:ascii="Times" w:hAnsi="Times" w:cs="Times"/>
          <w:sz w:val="24"/>
          <w:sz-cs w:val="24"/>
          <w:b/>
          <w:color w:val="000000"/>
        </w:rPr>
        <w:t xml:space="preserve"/>
        <w:tab/>
        <w:t xml:space="preserve">•</w:t>
        <w:tab/>
        <w:t xml:space="preserve">Polarity in each lead is physiologically correct. </w:t>
      </w:r>
      <w:r>
        <w:rPr>
          <w:rFonts w:ascii="Times" w:hAnsi="Times" w:cs="Times"/>
          <w:sz w:val="24"/>
          <w:sz-cs w:val="24"/>
          <w:color w:val="000000"/>
        </w:rPr>
        <w:t xml:space="preserve">I is positive-dominant; aVR is negative-dominant (R-wave amplitude −0.555 mV against +0.211 mV) — exactly as expected when the electrodes are not reversed. V1 and V2 are negative-dominant (deep QS / rS pattern), V5 and V6 are positive-dominant (broad monophasic R), and the transition is in the V3–V4 zone. This pattern is congruent with sinus rhythm being conducted through a left bundle branch block — see Parameter 4 below — and confirms correct precordial electrode placement and labelling.</w:t>
      </w:r>
    </w:p>
    <w:p>
      <w:pPr>
        <w:jc w:val="both"/>
        <w:ind w:left="720" w:first-line="-720"/>
        <w:spacing w:after="120"/>
      </w:pPr>
      <w:r>
        <w:rPr>
          <w:rFonts w:ascii="Times" w:hAnsi="Times" w:cs="Times"/>
          <w:sz w:val="24"/>
          <w:sz-cs w:val="24"/>
          <w:b/>
          <w:color w:val="000000"/>
        </w:rPr>
        <w:t xml:space="preserve"/>
        <w:tab/>
        <w:t xml:space="preserve">•</w:t>
        <w:tab/>
        <w:t xml:space="preserve">Metadata labels are internally consistent. </w:t>
      </w:r>
      <w:r>
        <w:rPr>
          <w:rFonts w:ascii="Times" w:hAnsi="Times" w:cs="Times"/>
          <w:sz w:val="24"/>
          <w:sz-cs w:val="24"/>
          <w:color w:val="000000"/>
        </w:rPr>
        <w:t xml:space="preserve">The text panel in the image declares HR 78 bpm, QRS 148 ms, QT 400 ms, QTc 456 ms (Bazett), PR 164 ms and an electrical axis of −20°. These match, to one decimal place, the corresponding 'measurements' object in the JSON (HR 77.6 bpm; PR 164 ms; QRS 148 ms; QT 400 ms; QTc 456 ms; axis −20°). The displayed interpretation 'Left Bundle Branch Block' likewise matches 'interpretation.label' in the JSON. Risk-factor flags (DM, HTN) match the patient object.</w:t>
      </w:r>
    </w:p>
    <w:p>
      <w:pPr>
        <w:jc w:val="both"/>
        <w:ind w:left="720" w:first-line="-720"/>
        <w:spacing w:after="120"/>
      </w:pPr>
      <w:r>
        <w:rPr>
          <w:rFonts w:ascii="Times" w:hAnsi="Times" w:cs="Times"/>
          <w:sz w:val="24"/>
          <w:sz-cs w:val="24"/>
          <w:b/>
          <w:color w:val="000000"/>
        </w:rPr>
        <w:t xml:space="preserve"/>
        <w:tab/>
        <w:t xml:space="preserve">•</w:t>
        <w:tab/>
        <w:t xml:space="preserve">Opinion on Parameter 2: </w:t>
      </w:r>
      <w:r>
        <w:rPr>
          <w:rFonts w:ascii="Times" w:hAnsi="Times" w:cs="Times"/>
          <w:sz w:val="24"/>
          <w:sz-cs w:val="24"/>
          <w:color w:val="000000"/>
        </w:rPr>
        <w:t xml:space="preserve">The documents are correctly labelled. The lead names, channel polarities, calibration block, metadata bullet-points and clinical-finding text are all internally consistent between the JSON and the rendered image. There is no evidence of electrode reversal, of mis-named precordial channels, or of metadata-image mismatch.</w:t>
      </w:r>
    </w:p>
    <w:p>
      <w:pPr>
        <w:spacing w:before="240" w:after="120"/>
      </w:pPr>
      <w:r>
        <w:rPr>
          <w:rFonts w:ascii="Times" w:hAnsi="Times" w:cs="Times"/>
          <w:sz w:val="24"/>
          <w:sz-cs w:val="24"/>
        </w:rPr>
        <w:t xml:space="preserve">IV. PARAMETER 3 — WHAT IS THE LENGTH OF THE DATA</w:t>
      </w:r>
    </w:p>
    <w:p>
      <w:pPr>
        <w:jc w:val="both"/>
        <w:ind w:left="720" w:first-line="-720"/>
        <w:spacing w:after="120"/>
      </w:pPr>
      <w:r>
        <w:rPr>
          <w:rFonts w:ascii="Times" w:hAnsi="Times" w:cs="Times"/>
          <w:sz w:val="24"/>
          <w:sz-cs w:val="24"/>
          <w:b/>
          <w:color w:val="000000"/>
        </w:rPr>
        <w:t xml:space="preserve"/>
        <w:tab/>
        <w:t xml:space="preserve">•</w:t>
        <w:tab/>
        <w:t xml:space="preserve">Length of the raw signal: </w:t>
      </w:r>
      <w:r>
        <w:rPr>
          <w:rFonts w:ascii="Times" w:hAnsi="Times" w:cs="Times"/>
          <w:sz w:val="24"/>
          <w:sz-cs w:val="24"/>
          <w:color w:val="000000"/>
        </w:rPr>
        <w:t xml:space="preserve">Each of the twelve leads contains exactly 7,006 samples. At a sampling rate of 500 Hz, this corresponds to a duration of 7,006 ÷ 500 = 14.012 seconds. The JSON 'signal.duration_sec' field independently confirms this figure. All twelve leads are equal in length — there is no truncation or padding of any individual channel.</w:t>
      </w:r>
    </w:p>
    <w:p>
      <w:pPr>
        <w:jc w:val="both"/>
        <w:ind w:left="720" w:first-line="-720"/>
        <w:spacing w:after="120"/>
      </w:pPr>
      <w:r>
        <w:rPr>
          <w:rFonts w:ascii="Times" w:hAnsi="Times" w:cs="Times"/>
          <w:sz w:val="24"/>
          <w:sz-cs w:val="24"/>
          <w:b/>
          <w:color w:val="000000"/>
        </w:rPr>
        <w:t xml:space="preserve"/>
        <w:tab/>
        <w:t xml:space="preserve">•</w:t>
        <w:tab/>
        <w:t xml:space="preserve">Length of the rendered display: </w:t>
      </w:r>
      <w:r>
        <w:rPr>
          <w:rFonts w:ascii="Times" w:hAnsi="Times" w:cs="Times"/>
          <w:sz w:val="24"/>
          <w:sz-cs w:val="24"/>
          <w:color w:val="000000"/>
        </w:rPr>
        <w:t xml:space="preserve">The image displays four columns at 2.5 seconds per column, i.e. 10 seconds of signal across each row, with a continuous Lead II rhythm strip of 10 seconds at the bottom. This is the standard "10-second 12-lead" presentation. Approximately 4 seconds of the 14-second underlying record are therefore retained as overhead/calibration and are not plotted — which is normal practice.</w:t>
      </w:r>
    </w:p>
    <w:p>
      <w:pPr>
        <w:jc w:val="both"/>
        <w:ind w:left="720" w:first-line="-720"/>
        <w:spacing w:after="120"/>
      </w:pPr>
      <w:r>
        <w:rPr>
          <w:rFonts w:ascii="Times" w:hAnsi="Times" w:cs="Times"/>
          <w:sz w:val="24"/>
          <w:sz-cs w:val="24"/>
          <w:b/>
          <w:color w:val="000000"/>
        </w:rPr>
        <w:t xml:space="preserve"/>
        <w:tab/>
        <w:t xml:space="preserve">•</w:t>
        <w:tab/>
        <w:t xml:space="preserve">Number of complete cardiac cycles available: </w:t>
      </w:r>
      <w:r>
        <w:rPr>
          <w:rFonts w:ascii="Times" w:hAnsi="Times" w:cs="Times"/>
          <w:sz w:val="24"/>
          <w:sz-cs w:val="24"/>
          <w:color w:val="000000"/>
        </w:rPr>
        <w:t xml:space="preserve">An independent R-peak detection on the lead II rhythm strip identified 18 R-peaks across the 14.01-second record (mean RR 0.780 s; mean instantaneous heart rate 76.9 bpm — within 1% of the metadata's 77.6 bpm). This yields at least seventeen analysable RR intervals, which is more than adequate for rhythm characterisation, axis determination, intervals, and morphology assessment.</w:t>
      </w:r>
    </w:p>
    <w:p>
      <w:pPr>
        <w:jc w:val="both"/>
        <w:ind w:left="720" w:first-line="-720"/>
        <w:spacing w:after="120"/>
      </w:pPr>
      <w:r>
        <w:rPr>
          <w:rFonts w:ascii="Times" w:hAnsi="Times" w:cs="Times"/>
          <w:sz w:val="24"/>
          <w:sz-cs w:val="24"/>
          <w:b/>
          <w:color w:val="000000"/>
        </w:rPr>
        <w:t xml:space="preserve"/>
        <w:tab/>
        <w:t xml:space="preserve">•</w:t>
        <w:tab/>
        <w:t xml:space="preserve">Adequacy for diagnostic interpretation: </w:t>
      </w:r>
      <w:r>
        <w:rPr>
          <w:rFonts w:ascii="Times" w:hAnsi="Times" w:cs="Times"/>
          <w:sz w:val="24"/>
          <w:sz-cs w:val="24"/>
          <w:color w:val="000000"/>
        </w:rPr>
        <w:t xml:space="preserve">Fourteen seconds is comfortably above the AHA/ACC/HRS minimum of 10 seconds per standard resting 12-lead ECG, and is sufficient to comment confidently on rhythm, intervals, axis and morphology. It is, however, insufficient for arrhythmia screening of paroxysmal events, for which an ambulatory or Holter recording would be required.</w:t>
      </w:r>
    </w:p>
    <w:p>
      <w:pPr>
        <w:jc w:val="both"/>
        <w:ind w:left="720" w:first-line="-720"/>
        <w:spacing w:after="120"/>
      </w:pPr>
      <w:r>
        <w:rPr>
          <w:rFonts w:ascii="Times" w:hAnsi="Times" w:cs="Times"/>
          <w:sz w:val="24"/>
          <w:sz-cs w:val="24"/>
          <w:b/>
          <w:color w:val="000000"/>
        </w:rPr>
        <w:t xml:space="preserve"/>
        <w:tab/>
        <w:t xml:space="preserve">•</w:t>
        <w:tab/>
        <w:t xml:space="preserve">Opinion on Parameter 3: </w:t>
      </w:r>
      <w:r>
        <w:rPr>
          <w:rFonts w:ascii="Times" w:hAnsi="Times" w:cs="Times"/>
          <w:sz w:val="24"/>
          <w:sz-cs w:val="24"/>
          <w:color w:val="000000"/>
        </w:rPr>
        <w:t xml:space="preserve">The total length of the digital record is 14.012 seconds (7,006 samples per lead at 500 Hz). The rendered display preserves 10 seconds of that record across the standard 4-column layout, with a continuous 10-second Lead II rhythm strip. The record is of sufficient length for a complete resting 12-lead diagnostic interpretation.</w:t>
      </w:r>
    </w:p>
    <w:p>
      <w:pPr>
        <w:spacing w:before="240" w:after="120"/>
      </w:pPr>
      <w:r>
        <w:rPr>
          <w:rFonts w:ascii="Times" w:hAnsi="Times" w:cs="Times"/>
          <w:sz w:val="24"/>
          <w:sz-cs w:val="24"/>
        </w:rPr>
        <w:t xml:space="preserve">V. PARAMETER 4 — WHETHER A DISEASE CAN BE DETECTED</w:t>
      </w:r>
    </w:p>
    <w:p>
      <w:pPr>
        <w:jc w:val="both"/>
        <w:ind w:left="720" w:first-line="-720"/>
        <w:spacing w:after="120"/>
      </w:pPr>
      <w:r>
        <w:rPr>
          <w:rFonts w:ascii="Times" w:hAnsi="Times" w:cs="Times"/>
          <w:sz w:val="24"/>
          <w:sz-cs w:val="24"/>
          <w:b/>
          <w:color w:val="000000"/>
        </w:rPr>
        <w:t xml:space="preserve"/>
        <w:tab/>
        <w:t xml:space="preserve">•</w:t>
        <w:tab/>
        <w:t xml:space="preserve">Underlying rhythm. </w:t>
      </w:r>
      <w:r>
        <w:rPr>
          <w:rFonts w:ascii="Times" w:hAnsi="Times" w:cs="Times"/>
          <w:sz w:val="24"/>
          <w:sz-cs w:val="24"/>
          <w:color w:val="000000"/>
        </w:rPr>
        <w:t xml:space="preserve">The rhythm is regular sinus rhythm at 77 bpm. Upright P-waves are visible in leads I, II and aVF, with a constant P-R relationship; the RR variability across seventeen consecutive intervals is small (range 742–812 ms). PR interval is 164 ms — normal.</w:t>
      </w:r>
    </w:p>
    <w:p>
      <w:pPr>
        <w:jc w:val="both"/>
        <w:ind w:left="720" w:first-line="-720"/>
        <w:spacing w:after="120"/>
      </w:pPr>
      <w:r>
        <w:rPr>
          <w:rFonts w:ascii="Times" w:hAnsi="Times" w:cs="Times"/>
          <w:sz w:val="24"/>
          <w:sz-cs w:val="24"/>
          <w:b/>
          <w:color w:val="000000"/>
        </w:rPr>
        <w:t xml:space="preserve"/>
        <w:tab/>
        <w:t xml:space="preserve">•</w:t>
        <w:tab/>
        <w:t xml:space="preserve">Primary electrocardiographic diagnosis — Complete Left Bundle Branch Block. </w:t>
      </w:r>
      <w:r>
        <w:rPr>
          <w:rFonts w:ascii="Times" w:hAnsi="Times" w:cs="Times"/>
          <w:sz w:val="24"/>
          <w:sz-cs w:val="24"/>
          <w:color w:val="000000"/>
        </w:rPr>
        <w:t xml:space="preserve">All three Strauss criteria for complete LBBB are satisfied on the record:</w:t>
      </w:r>
    </w:p>
    <w:p>
      <w:pPr>
        <w:jc w:val="both"/>
        <w:ind w:left="720" w:first-line="-720"/>
        <w:spacing w:after="120"/>
      </w:pPr>
      <w:r>
        <w:rPr>
          <w:rFonts w:ascii="Times" w:hAnsi="Times" w:cs="Times"/>
          <w:sz w:val="24"/>
          <w:sz-cs w:val="24"/>
          <w:color w:val="000000"/>
        </w:rPr>
        <w:t xml:space="preserve"/>
        <w:tab/>
        <w:t xml:space="preserve">•</w:t>
        <w:tab/>
        <w:t xml:space="preserve">QRS duration ≥ 120 ms — measured QRS is 148 ms (markedly prolonged);</w:t>
      </w:r>
    </w:p>
    <w:p>
      <w:pPr>
        <w:jc w:val="both"/>
        <w:ind w:left="720" w:first-line="-720"/>
        <w:spacing w:after="120"/>
      </w:pPr>
      <w:r>
        <w:rPr>
          <w:rFonts w:ascii="Times" w:hAnsi="Times" w:cs="Times"/>
          <w:sz w:val="24"/>
          <w:sz-cs w:val="24"/>
          <w:color w:val="000000"/>
        </w:rPr>
        <w:t xml:space="preserve"/>
        <w:tab/>
        <w:t xml:space="preserve">•</w:t>
        <w:tab/>
        <w:t xml:space="preserve">Broad, monophasic and notched R-waves in I, aVL, V5 and V6 — well-visualised in the display image, with the characteristic 'M-shape' of the lateral leads;</w:t>
      </w:r>
    </w:p>
    <w:p>
      <w:pPr>
        <w:jc w:val="both"/>
        <w:ind w:left="720" w:first-line="-720"/>
        <w:spacing w:after="120"/>
      </w:pPr>
      <w:r>
        <w:rPr>
          <w:rFonts w:ascii="Times" w:hAnsi="Times" w:cs="Times"/>
          <w:sz w:val="24"/>
          <w:sz-cs w:val="24"/>
          <w:color w:val="000000"/>
        </w:rPr>
        <w:t xml:space="preserve"/>
        <w:tab/>
        <w:t xml:space="preserve">•</w:t>
        <w:tab/>
        <w:t xml:space="preserve">Deep, wide QS/rS complexes in V1 and V2, with absent septal Q-waves in the lateral leads.</w:t>
      </w:r>
    </w:p>
    <w:p>
      <w:pPr>
        <w:jc w:val="both"/>
        <w:ind w:left="720" w:first-line="-720"/>
        <w:spacing w:after="120"/>
      </w:pPr>
      <w:r>
        <w:rPr>
          <w:rFonts w:ascii="Times" w:hAnsi="Times" w:cs="Times"/>
          <w:sz w:val="24"/>
          <w:sz-cs w:val="24"/>
          <w:b/>
          <w:color w:val="000000"/>
        </w:rPr>
        <w:t xml:space="preserve"/>
        <w:tab/>
        <w:t xml:space="preserve">•</w:t>
        <w:tab/>
        <w:t xml:space="preserve">Secondary repolarisation changes — appropriate. </w:t>
      </w:r>
      <w:r>
        <w:rPr>
          <w:rFonts w:ascii="Times" w:hAnsi="Times" w:cs="Times"/>
          <w:sz w:val="24"/>
          <w:sz-cs w:val="24"/>
          <w:color w:val="000000"/>
        </w:rPr>
        <w:t xml:space="preserve">The ST-segment and T-wave changes seen in V1–V3 (concordant ST elevation with upright T) and in I, aVL, V5–V6 (discordant ST depression with T-wave inversion) are the expected appropriate discordant ST-T changes secondary to the bundle branch block, governed by Sgarbossa's principle of appropriate discordance. They do not, on their own, imply ischaemia.</w:t>
      </w:r>
    </w:p>
    <w:p>
      <w:pPr>
        <w:jc w:val="both"/>
        <w:ind w:left="720" w:first-line="-720"/>
        <w:spacing w:after="120"/>
      </w:pPr>
      <w:r>
        <w:rPr>
          <w:rFonts w:ascii="Times" w:hAnsi="Times" w:cs="Times"/>
          <w:sz w:val="24"/>
          <w:sz-cs w:val="24"/>
          <w:b/>
          <w:color w:val="000000"/>
        </w:rPr>
        <w:t xml:space="preserve"/>
        <w:tab/>
        <w:t xml:space="preserve">•</w:t>
        <w:tab/>
        <w:t xml:space="preserve">Axis. </w:t>
      </w:r>
      <w:r>
        <w:rPr>
          <w:rFonts w:ascii="Times" w:hAnsi="Times" w:cs="Times"/>
          <w:sz w:val="24"/>
          <w:sz-cs w:val="24"/>
          <w:color w:val="000000"/>
        </w:rPr>
        <w:t xml:space="preserve">Mean frontal-plane QRS axis is −20° — left axis deviation, which is a frequent accompaniment of LBBB and may represent a degree of left anterior fascicular involvement.</w:t>
      </w:r>
    </w:p>
    <w:p>
      <w:pPr>
        <w:jc w:val="both"/>
        <w:ind w:left="720" w:first-line="-720"/>
        <w:spacing w:after="120"/>
      </w:pPr>
      <w:r>
        <w:rPr>
          <w:rFonts w:ascii="Times" w:hAnsi="Times" w:cs="Times"/>
          <w:sz w:val="24"/>
          <w:sz-cs w:val="24"/>
          <w:b/>
          <w:color w:val="000000"/>
        </w:rPr>
        <w:t xml:space="preserve"/>
        <w:tab/>
        <w:t xml:space="preserve">•</w:t>
        <w:tab/>
        <w:t xml:space="preserve">QTc. </w:t>
      </w:r>
      <w:r>
        <w:rPr>
          <w:rFonts w:ascii="Times" w:hAnsi="Times" w:cs="Times"/>
          <w:sz w:val="24"/>
          <w:sz-cs w:val="24"/>
          <w:color w:val="000000"/>
        </w:rPr>
        <w:t xml:space="preserve">QTc by Bazett's formula is 456 ms — marginally prolonged for a male (upper limit ~ 440 ms). However, this measurement carries reduced reliability in the presence of LBBB because the wide QRS inflates QT. A more appropriate adjusted QT or use of the Bogossian/Rautaharju correction for LBBB would likely return the QTc to the normal range.</w:t>
      </w:r>
    </w:p>
    <w:p>
      <w:pPr>
        <w:jc w:val="both"/>
        <w:ind w:left="720" w:first-line="-720"/>
        <w:spacing w:after="120"/>
      </w:pPr>
      <w:r>
        <w:rPr>
          <w:rFonts w:ascii="Times" w:hAnsi="Times" w:cs="Times"/>
          <w:sz w:val="24"/>
          <w:sz-cs w:val="24"/>
          <w:b/>
          <w:color w:val="000000"/>
        </w:rPr>
        <w:t xml:space="preserve"/>
        <w:tab/>
        <w:t xml:space="preserve">•</w:t>
        <w:tab/>
        <w:t xml:space="preserve">Co-morbid risk profile evident on the record. </w:t>
      </w:r>
      <w:r>
        <w:rPr>
          <w:rFonts w:ascii="Times" w:hAnsi="Times" w:cs="Times"/>
          <w:sz w:val="24"/>
          <w:sz-cs w:val="24"/>
          <w:color w:val="000000"/>
        </w:rPr>
        <w:t xml:space="preserve">The accompanying clinical data demonstrate Stage-2 hypertension (152/88 mmHg) and known Type-2 diabetes mellitus, both of which are recognised risk factors for, and frequent antecedents of, conduction-system disease in the sixth–seventh decade.</w:t>
      </w:r>
    </w:p>
    <w:p>
      <w:pPr>
        <w:jc w:val="both"/>
        <w:ind w:left="720" w:first-line="-720"/>
        <w:spacing w:after="120"/>
      </w:pPr>
      <w:r>
        <w:rPr>
          <w:rFonts w:ascii="Times" w:hAnsi="Times" w:cs="Times"/>
          <w:sz w:val="24"/>
          <w:sz-cs w:val="24"/>
          <w:b/>
          <w:color w:val="000000"/>
        </w:rPr>
        <w:t xml:space="preserve"/>
        <w:tab/>
        <w:t xml:space="preserve">•</w:t>
        <w:tab/>
        <w:t xml:space="preserve">Clinical significance and recommended next steps. </w:t>
      </w:r>
      <w:r>
        <w:rPr>
          <w:rFonts w:ascii="Times" w:hAnsi="Times" w:cs="Times"/>
          <w:sz w:val="24"/>
          <w:sz-cs w:val="24"/>
          <w:color w:val="000000"/>
        </w:rPr>
        <w:t xml:space="preserve">Newly-detected complete LBBB in a 66-year-old hypertensive diabetic male warrants the following:</w:t>
      </w:r>
    </w:p>
    <w:p>
      <w:pPr>
        <w:jc w:val="both"/>
        <w:ind w:left="720" w:first-line="-720"/>
        <w:spacing w:after="120"/>
      </w:pPr>
      <w:r>
        <w:rPr>
          <w:rFonts w:ascii="Times" w:hAnsi="Times" w:cs="Times"/>
          <w:sz w:val="24"/>
          <w:sz-cs w:val="24"/>
          <w:color w:val="000000"/>
        </w:rPr>
        <w:t xml:space="preserve"/>
        <w:tab/>
        <w:t xml:space="preserve">•</w:t>
        <w:tab/>
        <w:t xml:space="preserve">comparison with any prior ECG, to determine whether the LBBB is new (mandates urgent evaluation for ACS) or chronic (less urgent but still significant);</w:t>
      </w:r>
    </w:p>
    <w:p>
      <w:pPr>
        <w:jc w:val="both"/>
        <w:ind w:left="720" w:first-line="-720"/>
        <w:spacing w:after="120"/>
      </w:pPr>
      <w:r>
        <w:rPr>
          <w:rFonts w:ascii="Times" w:hAnsi="Times" w:cs="Times"/>
          <w:sz w:val="24"/>
          <w:sz-cs w:val="24"/>
          <w:color w:val="000000"/>
        </w:rPr>
        <w:t xml:space="preserve"/>
        <w:tab/>
        <w:t xml:space="preserve">•</w:t>
        <w:tab/>
        <w:t xml:space="preserve">transthoracic echocardiography to assess left-ventricular size, systolic function (LVEF) and any regional wall-motion abnormality — LBBB by itself causes interventricular dyssynchrony and may reduce apparent LVEF;</w:t>
      </w:r>
    </w:p>
    <w:p>
      <w:pPr>
        <w:jc w:val="both"/>
        <w:ind w:left="720" w:first-line="-720"/>
        <w:spacing w:after="120"/>
      </w:pPr>
      <w:r>
        <w:rPr>
          <w:rFonts w:ascii="Times" w:hAnsi="Times" w:cs="Times"/>
          <w:sz w:val="24"/>
          <w:sz-cs w:val="24"/>
          <w:color w:val="000000"/>
        </w:rPr>
        <w:t xml:space="preserve"/>
        <w:tab/>
        <w:t xml:space="preserve">•</w:t>
        <w:tab/>
        <w:t xml:space="preserve">exclusion of myocardial ischaemia (high-sensitivity troponin, and where clinically warranted, coronary evaluation — bearing in mind that LBBB masks the ST-segment markers of ischaemia other than Sgarbossa criteria);</w:t>
      </w:r>
    </w:p>
    <w:p>
      <w:pPr>
        <w:jc w:val="both"/>
        <w:ind w:left="720" w:first-line="-720"/>
        <w:spacing w:after="120"/>
      </w:pPr>
      <w:r>
        <w:rPr>
          <w:rFonts w:ascii="Times" w:hAnsi="Times" w:cs="Times"/>
          <w:sz w:val="24"/>
          <w:sz-cs w:val="24"/>
          <w:color w:val="000000"/>
        </w:rPr>
        <w:t xml:space="preserve"/>
        <w:tab/>
        <w:t xml:space="preserve">•</w:t>
        <w:tab/>
        <w:t xml:space="preserve">optimisation of blood pressure (target 130/80 mmHg) and glycaemic control;</w:t>
      </w:r>
    </w:p>
    <w:p>
      <w:pPr>
        <w:jc w:val="both"/>
        <w:ind w:left="720" w:first-line="-720"/>
        <w:spacing w:after="120"/>
      </w:pPr>
      <w:r>
        <w:rPr>
          <w:rFonts w:ascii="Times" w:hAnsi="Times" w:cs="Times"/>
          <w:sz w:val="24"/>
          <w:sz-cs w:val="24"/>
          <w:color w:val="000000"/>
        </w:rPr>
        <w:t xml:space="preserve"/>
        <w:tab/>
        <w:t xml:space="preserve">•</w:t>
        <w:tab/>
        <w:t xml:space="preserve">long-term surveillance for progression to higher-grade AV block, and reassessment for cardiac resynchronisation therapy (CRT) eligibility should the LVEF subsequently fall to ≤ 35% with QRS ≥ 150 ms — a threshold this record's QRS already exceeds at 148 ms (and would meet at the ≥ 130 ms threshold under the current ESC 2021 HF guideline).</w:t>
      </w:r>
    </w:p>
    <w:p>
      <w:pPr>
        <w:jc w:val="both"/>
        <w:ind w:left="720" w:first-line="-720"/>
        <w:spacing w:after="120"/>
      </w:pPr>
      <w:r>
        <w:rPr>
          <w:rFonts w:ascii="Times" w:hAnsi="Times" w:cs="Times"/>
          <w:sz w:val="24"/>
          <w:sz-cs w:val="24"/>
          <w:b/>
          <w:color w:val="000000"/>
        </w:rPr>
        <w:t xml:space="preserve"/>
        <w:tab/>
        <w:t xml:space="preserve">•</w:t>
        <w:tab/>
        <w:t xml:space="preserve">Opinion on Parameter 4: </w:t>
      </w:r>
      <w:r>
        <w:rPr>
          <w:rFonts w:ascii="Times" w:hAnsi="Times" w:cs="Times"/>
          <w:sz w:val="24"/>
          <w:sz-cs w:val="24"/>
          <w:color w:val="000000"/>
        </w:rPr>
        <w:t xml:space="preserve">Yes. A disease can be — and is — confidently detected on these documents. The record discloses complete Left Bundle Branch Block (LBBB) with left axis deviation and appropriate discordant secondary ST-T changes, occurring in a hypertensive diabetic male in his seventh decade. The label assigned by the device and confirmed on doctor review ('Left Bundle Branch Block — Doctor Reviewed') is, in my opinion, electrocardiographically correct.</w:t>
      </w:r>
    </w:p>
    <w:p>
      <w:pPr>
        <w:spacing w:before="240" w:after="120"/>
      </w:pPr>
      <w:r>
        <w:rPr>
          <w:rFonts w:ascii="Times" w:hAnsi="Times" w:cs="Times"/>
          <w:sz w:val="24"/>
          <w:sz-cs w:val="24"/>
        </w:rPr>
        <w:t xml:space="preserve">VI. SUMMARY TABLE</w:t>
      </w:r>
    </w:p>
    <w:p>
      <w:pPr>
        <w:jc w:val="both"/>
        <w:spacing w:after="200"/>
      </w:pPr>
      <w:r>
        <w:rPr>
          <w:rFonts w:ascii="Times" w:hAnsi="Times" w:cs="Times"/>
          <w:sz w:val="24"/>
          <w:sz-cs w:val="24"/>
          <w:color w:val="000000"/>
        </w:rPr>
        <w:t xml:space="preserve">The four parameters in summary form are tabulated below. The colour-coding follows clinical practice: green denotes "in order / within normal limits"; amber denotes "acceptable but worth noting"; red denotes "clinically positive finding".</w:t>
      </w:r>
    </w:p>
    <w:p>
      <w:pPr>
        <w:jc w:val="center"/>
        <w:spacing w:before="40" w:after="40"/>
      </w:pPr>
      <w:r>
        <w:rPr>
          <w:rFonts w:ascii="Times" w:hAnsi="Times" w:cs="Times"/>
          <w:sz w:val="22"/>
          <w:sz-cs w:val="22"/>
          <w:b/>
          <w:color w:val="FFFFFF"/>
        </w:rPr>
        <w:t xml:space="preserve">S.No.</w:t>
      </w:r>
    </w:p>
    <w:p>
      <w:pPr>
        <w:spacing w:before="40" w:after="40"/>
      </w:pPr>
      <w:r>
        <w:rPr>
          <w:rFonts w:ascii="Times" w:hAnsi="Times" w:cs="Times"/>
          <w:sz w:val="22"/>
          <w:sz-cs w:val="22"/>
          <w:b/>
          <w:color w:val="FFFFFF"/>
        </w:rPr>
        <w:t xml:space="preserve">Parameter</w:t>
      </w:r>
    </w:p>
    <w:p>
      <w:pPr>
        <w:spacing w:before="40" w:after="40"/>
      </w:pPr>
      <w:r>
        <w:rPr>
          <w:rFonts w:ascii="Times" w:hAnsi="Times" w:cs="Times"/>
          <w:sz w:val="22"/>
          <w:sz-cs w:val="22"/>
          <w:b/>
          <w:color w:val="FFFFFF"/>
        </w:rPr>
        <w:t xml:space="preserve">Finding</w:t>
      </w:r>
    </w:p>
    <w:p>
      <w:pPr>
        <w:jc w:val="center"/>
        <w:spacing w:before="40" w:after="40"/>
      </w:pPr>
      <w:r>
        <w:rPr>
          <w:rFonts w:ascii="Times" w:hAnsi="Times" w:cs="Times"/>
          <w:sz w:val="22"/>
          <w:sz-cs w:val="22"/>
          <w:b/>
          <w:color w:val="FFFFFF"/>
        </w:rPr>
        <w:t xml:space="preserve">Quantitative</w:t>
      </w:r>
    </w:p>
    <w:p>
      <w:pPr>
        <w:jc w:val="center"/>
        <w:spacing w:before="40" w:after="40"/>
      </w:pPr>
      <w:r>
        <w:rPr>
          <w:rFonts w:ascii="Times" w:hAnsi="Times" w:cs="Times"/>
          <w:sz w:val="22"/>
          <w:sz-cs w:val="22"/>
          <w:b/>
          <w:color w:val="FFFFFF"/>
        </w:rPr>
        <w:t xml:space="preserve">Status</w:t>
      </w:r>
    </w:p>
    <w:p>
      <w:pPr>
        <w:jc w:val="center"/>
        <w:spacing w:before="40" w:after="40"/>
      </w:pPr>
      <w:r>
        <w:rPr>
          <w:rFonts w:ascii="Times" w:hAnsi="Times" w:cs="Times"/>
          <w:sz w:val="22"/>
          <w:sz-cs w:val="22"/>
          <w:color w:val="000000"/>
        </w:rPr>
        <w:t xml:space="preserve">1</w:t>
      </w:r>
    </w:p>
    <w:p>
      <w:pPr>
        <w:spacing w:before="40" w:after="40"/>
      </w:pPr>
      <w:r>
        <w:rPr>
          <w:rFonts w:ascii="Times" w:hAnsi="Times" w:cs="Times"/>
          <w:sz w:val="22"/>
          <w:sz-cs w:val="22"/>
          <w:b/>
          <w:color w:val="000000"/>
        </w:rPr>
        <w:t xml:space="preserve">Proper amplitude</w:t>
      </w:r>
    </w:p>
    <w:p>
      <w:pPr>
        <w:spacing w:before="40" w:after="40"/>
      </w:pPr>
      <w:r>
        <w:rPr>
          <w:rFonts w:ascii="Times" w:hAnsi="Times" w:cs="Times"/>
          <w:sz w:val="22"/>
          <w:sz-cs w:val="22"/>
          <w:color w:val="000000"/>
        </w:rPr>
        <w:t xml:space="preserve">Calibration 10 mm/mV; no clipping; minimal HF noise; baseline within ±0.025 mV; physiological peak-to-peak excursions.</w:t>
      </w:r>
    </w:p>
    <w:p>
      <w:pPr>
        <w:jc w:val="center"/>
        <w:spacing w:before="40" w:after="40"/>
      </w:pPr>
      <w:r>
        <w:rPr>
          <w:rFonts w:ascii="Times" w:hAnsi="Times" w:cs="Times"/>
          <w:sz w:val="22"/>
          <w:sz-cs w:val="22"/>
          <w:color w:val="000000"/>
        </w:rPr>
        <w:t xml:space="preserve">max |x| = 1.05 mV</w:t>
      </w:r>
    </w:p>
    <w:p>
      <w:pPr>
        <w:jc w:val="center"/>
        <w:spacing w:before="40" w:after="40"/>
      </w:pPr>
      <w:r>
        <w:rPr>
          <w:rFonts w:ascii="Times" w:hAnsi="Times" w:cs="Times"/>
          <w:sz w:val="22"/>
          <w:sz-cs w:val="22"/>
          <w:color w:val="000000"/>
        </w:rPr>
        <w:t xml:space="preserve">(ADC rail 4 mV)</w:t>
      </w:r>
    </w:p>
    <w:p>
      <w:pPr>
        <w:jc w:val="center"/>
        <w:spacing w:before="40" w:after="40"/>
      </w:pPr>
      <w:r>
        <w:rPr>
          <w:rFonts w:ascii="Times" w:hAnsi="Times" w:cs="Times"/>
          <w:sz w:val="22"/>
          <w:sz-cs w:val="22"/>
          <w:b/>
          <w:color w:val="006100"/>
        </w:rPr>
        <w:t xml:space="preserve">IN ORDER</w:t>
      </w:r>
    </w:p>
    <w:p>
      <w:pPr>
        <w:jc w:val="center"/>
        <w:spacing w:before="40" w:after="40"/>
      </w:pPr>
      <w:r>
        <w:rPr>
          <w:rFonts w:ascii="Times" w:hAnsi="Times" w:cs="Times"/>
          <w:sz w:val="22"/>
          <w:sz-cs w:val="22"/>
          <w:color w:val="000000"/>
        </w:rPr>
        <w:t xml:space="preserve">2</w:t>
      </w:r>
    </w:p>
    <w:p>
      <w:pPr>
        <w:spacing w:before="40" w:after="40"/>
      </w:pPr>
      <w:r>
        <w:rPr>
          <w:rFonts w:ascii="Times" w:hAnsi="Times" w:cs="Times"/>
          <w:sz w:val="22"/>
          <w:sz-cs w:val="22"/>
          <w:b/>
          <w:color w:val="000000"/>
        </w:rPr>
        <w:t xml:space="preserve">Correctly labelled</w:t>
      </w:r>
    </w:p>
    <w:p>
      <w:pPr>
        <w:spacing w:before="40" w:after="40"/>
      </w:pPr>
      <w:r>
        <w:rPr>
          <w:rFonts w:ascii="Times" w:hAnsi="Times" w:cs="Times"/>
          <w:sz w:val="22"/>
          <w:sz-cs w:val="22"/>
          <w:color w:val="000000"/>
        </w:rPr>
        <w:t xml:space="preserve">Einthoven's Law and Goldberger derivations satisfied to machine precision; polarities, layout and metadata internally consistent.</w:t>
      </w:r>
    </w:p>
    <w:p>
      <w:pPr>
        <w:jc w:val="center"/>
        <w:spacing w:before="40" w:after="40"/>
      </w:pPr>
      <w:r>
        <w:rPr>
          <w:rFonts w:ascii="Times" w:hAnsi="Times" w:cs="Times"/>
          <w:sz w:val="22"/>
          <w:sz-cs w:val="22"/>
          <w:color w:val="000000"/>
        </w:rPr>
        <w:t xml:space="preserve">|II−(I+III)| ≈ 0 mV</w:t>
      </w:r>
    </w:p>
    <w:p>
      <w:pPr>
        <w:jc w:val="center"/>
        <w:spacing w:before="40" w:after="40"/>
      </w:pPr>
      <w:r>
        <w:rPr>
          <w:rFonts w:ascii="Times" w:hAnsi="Times" w:cs="Times"/>
          <w:sz w:val="22"/>
          <w:sz-cs w:val="22"/>
          <w:color w:val="000000"/>
        </w:rPr>
        <w:t xml:space="preserve">aug. leads ≈ 0.5 µV</w:t>
      </w:r>
    </w:p>
    <w:p>
      <w:pPr>
        <w:jc w:val="center"/>
        <w:spacing w:before="40" w:after="40"/>
      </w:pPr>
      <w:r>
        <w:rPr>
          <w:rFonts w:ascii="Times" w:hAnsi="Times" w:cs="Times"/>
          <w:sz w:val="22"/>
          <w:sz-cs w:val="22"/>
          <w:b/>
          <w:color w:val="006100"/>
        </w:rPr>
        <w:t xml:space="preserve">IN ORDER</w:t>
      </w:r>
    </w:p>
    <w:p>
      <w:pPr>
        <w:jc w:val="center"/>
        <w:spacing w:before="40" w:after="40"/>
      </w:pPr>
      <w:r>
        <w:rPr>
          <w:rFonts w:ascii="Times" w:hAnsi="Times" w:cs="Times"/>
          <w:sz w:val="22"/>
          <w:sz-cs w:val="22"/>
          <w:color w:val="000000"/>
        </w:rPr>
        <w:t xml:space="preserve">3</w:t>
      </w:r>
    </w:p>
    <w:p>
      <w:pPr>
        <w:spacing w:before="40" w:after="40"/>
      </w:pPr>
      <w:r>
        <w:rPr>
          <w:rFonts w:ascii="Times" w:hAnsi="Times" w:cs="Times"/>
          <w:sz w:val="22"/>
          <w:sz-cs w:val="22"/>
          <w:b/>
          <w:color w:val="000000"/>
        </w:rPr>
        <w:t xml:space="preserve">Length of data</w:t>
      </w:r>
    </w:p>
    <w:p>
      <w:pPr>
        <w:spacing w:before="40" w:after="40"/>
      </w:pPr>
      <w:r>
        <w:rPr>
          <w:rFonts w:ascii="Times" w:hAnsi="Times" w:cs="Times"/>
          <w:sz w:val="22"/>
          <w:sz-cs w:val="22"/>
          <w:color w:val="000000"/>
        </w:rPr>
        <w:t xml:space="preserve">14.012 s of raw signal per lead at 500 Hz; 10 s rendered in standard 4×3 layout with Lead II rhythm strip; 17–18 cardiac cycles available — sufficient for resting 12-lead diagnosis.</w:t>
      </w:r>
    </w:p>
    <w:p>
      <w:pPr>
        <w:jc w:val="center"/>
        <w:spacing w:before="40" w:after="40"/>
      </w:pPr>
      <w:r>
        <w:rPr>
          <w:rFonts w:ascii="Times" w:hAnsi="Times" w:cs="Times"/>
          <w:sz w:val="22"/>
          <w:sz-cs w:val="22"/>
          <w:color w:val="000000"/>
        </w:rPr>
        <w:t xml:space="preserve">7,006 samples</w:t>
      </w:r>
    </w:p>
    <w:p>
      <w:pPr>
        <w:jc w:val="center"/>
        <w:spacing w:before="40" w:after="40"/>
      </w:pPr>
      <w:r>
        <w:rPr>
          <w:rFonts w:ascii="Times" w:hAnsi="Times" w:cs="Times"/>
          <w:sz w:val="22"/>
          <w:sz-cs w:val="22"/>
          <w:color w:val="000000"/>
        </w:rPr>
        <w:t xml:space="preserve">≈ 18 R-peaks</w:t>
      </w:r>
    </w:p>
    <w:p>
      <w:pPr>
        <w:jc w:val="center"/>
        <w:spacing w:before="40" w:after="40"/>
      </w:pPr>
      <w:r>
        <w:rPr>
          <w:rFonts w:ascii="Times" w:hAnsi="Times" w:cs="Times"/>
          <w:sz w:val="22"/>
          <w:sz-cs w:val="22"/>
          <w:b/>
          <w:color w:val="006100"/>
        </w:rPr>
        <w:t xml:space="preserve">ADEQUATE</w:t>
      </w:r>
    </w:p>
    <w:p>
      <w:pPr>
        <w:jc w:val="center"/>
        <w:spacing w:before="40" w:after="40"/>
      </w:pPr>
      <w:r>
        <w:rPr>
          <w:rFonts w:ascii="Times" w:hAnsi="Times" w:cs="Times"/>
          <w:sz w:val="22"/>
          <w:sz-cs w:val="22"/>
          <w:color w:val="000000"/>
        </w:rPr>
        <w:t xml:space="preserve">4</w:t>
      </w:r>
    </w:p>
    <w:p>
      <w:pPr>
        <w:spacing w:before="40" w:after="40"/>
      </w:pPr>
      <w:r>
        <w:rPr>
          <w:rFonts w:ascii="Times" w:hAnsi="Times" w:cs="Times"/>
          <w:sz w:val="22"/>
          <w:sz-cs w:val="22"/>
          <w:b/>
          <w:color w:val="000000"/>
        </w:rPr>
        <w:t xml:space="preserve">Disease detectable?</w:t>
      </w:r>
    </w:p>
    <w:p>
      <w:pPr>
        <w:spacing w:before="40" w:after="40"/>
      </w:pPr>
      <w:r>
        <w:rPr>
          <w:rFonts w:ascii="Times" w:hAnsi="Times" w:cs="Times"/>
          <w:sz w:val="22"/>
          <w:sz-cs w:val="22"/>
          <w:color w:val="000000"/>
        </w:rPr>
        <w:t xml:space="preserve">Yes — complete Left Bundle Branch Block (Strauss criteria satisfied) with left axis deviation and appropriate discordant ST-T changes; in a hypertensive diabetic 66-year-old male.</w:t>
      </w:r>
    </w:p>
    <w:p>
      <w:pPr>
        <w:jc w:val="center"/>
        <w:spacing w:before="40" w:after="40"/>
      </w:pPr>
      <w:r>
        <w:rPr>
          <w:rFonts w:ascii="Times" w:hAnsi="Times" w:cs="Times"/>
          <w:sz w:val="22"/>
          <w:sz-cs w:val="22"/>
          <w:color w:val="000000"/>
        </w:rPr>
        <w:t xml:space="preserve">QRS 148 ms</w:t>
      </w:r>
    </w:p>
    <w:p>
      <w:pPr>
        <w:jc w:val="center"/>
        <w:spacing w:before="40" w:after="40"/>
      </w:pPr>
      <w:r>
        <w:rPr>
          <w:rFonts w:ascii="Times" w:hAnsi="Times" w:cs="Times"/>
          <w:sz w:val="22"/>
          <w:sz-cs w:val="22"/>
          <w:color w:val="000000"/>
        </w:rPr>
        <w:t xml:space="preserve">Axis −20°</w:t>
      </w:r>
    </w:p>
    <w:p>
      <w:pPr>
        <w:jc w:val="center"/>
        <w:spacing w:before="40" w:after="40"/>
      </w:pPr>
      <w:r>
        <w:rPr>
          <w:rFonts w:ascii="Times" w:hAnsi="Times" w:cs="Times"/>
          <w:sz w:val="22"/>
          <w:sz-cs w:val="22"/>
          <w:color w:val="000000"/>
        </w:rPr>
        <w:t xml:space="preserve">QTc 456 ms</w:t>
      </w:r>
    </w:p>
    <w:p>
      <w:pPr>
        <w:jc w:val="center"/>
        <w:spacing w:before="40" w:after="40"/>
      </w:pPr>
      <w:r>
        <w:rPr>
          <w:rFonts w:ascii="Times" w:hAnsi="Times" w:cs="Times"/>
          <w:sz w:val="22"/>
          <w:sz-cs w:val="22"/>
          <w:b/>
          <w:color w:val="9C0006"/>
        </w:rPr>
        <w:t xml:space="preserve">LBBB</w:t>
      </w:r>
    </w:p>
    <w:p>
      <w:pPr>
        <w:spacing w:before="240" w:after="120"/>
      </w:pPr>
      <w:r>
        <w:rPr>
          <w:rFonts w:ascii="Times" w:hAnsi="Times" w:cs="Times"/>
          <w:sz w:val="24"/>
          <w:sz-cs w:val="24"/>
        </w:rPr>
        <w:t xml:space="preserve">VII. CONCLUSION</w:t>
      </w:r>
    </w:p>
    <w:p>
      <w:pPr>
        <w:jc w:val="both"/>
        <w:ind w:left="720" w:first-line="-720"/>
        <w:spacing w:after="120"/>
      </w:pPr>
      <w:r>
        <w:rPr>
          <w:rFonts w:ascii="Times" w:hAnsi="Times" w:cs="Times"/>
          <w:sz w:val="24"/>
          <w:sz-cs w:val="24"/>
          <w:color w:val="000000"/>
        </w:rPr>
        <w:t xml:space="preserve"/>
        <w:tab/>
        <w:t xml:space="preserve">•</w:t>
        <w:tab/>
        <w:t xml:space="preserve">On the four parameters specifically referred for opinion, my findings are:</w:t>
      </w:r>
    </w:p>
    <w:p>
      <w:pPr>
        <w:jc w:val="both"/>
        <w:ind w:left="720" w:first-line="-720"/>
        <w:spacing w:after="120"/>
      </w:pPr>
      <w:r>
        <w:rPr>
          <w:rFonts w:ascii="Times" w:hAnsi="Times" w:cs="Times"/>
          <w:sz w:val="24"/>
          <w:sz-cs w:val="24"/>
          <w:color w:val="000000"/>
        </w:rPr>
        <w:t xml:space="preserve"/>
        <w:tab/>
        <w:t xml:space="preserve">•</w:t>
        <w:tab/>
        <w:t xml:space="preserve">the documents are in proper amplitude; calibration, dynamic range and noise characteristics conform to clinical standards;</w:t>
      </w:r>
    </w:p>
    <w:p>
      <w:pPr>
        <w:jc w:val="both"/>
        <w:ind w:left="720" w:first-line="-720"/>
        <w:spacing w:after="120"/>
      </w:pPr>
      <w:r>
        <w:rPr>
          <w:rFonts w:ascii="Times" w:hAnsi="Times" w:cs="Times"/>
          <w:sz w:val="24"/>
          <w:sz-cs w:val="24"/>
          <w:color w:val="000000"/>
        </w:rPr>
        <w:t xml:space="preserve"/>
        <w:tab/>
        <w:t xml:space="preserve">•</w:t>
        <w:tab/>
        <w:t xml:space="preserve">the documents are correctly labelled; lead names, derivations and polarities pass all internal consistency tests, and the metadata in the image is congruent with the JSON;</w:t>
      </w:r>
    </w:p>
    <w:p>
      <w:pPr>
        <w:jc w:val="both"/>
        <w:ind w:left="720" w:first-line="-720"/>
        <w:spacing w:after="120"/>
      </w:pPr>
      <w:r>
        <w:rPr>
          <w:rFonts w:ascii="Times" w:hAnsi="Times" w:cs="Times"/>
          <w:sz w:val="24"/>
          <w:sz-cs w:val="24"/>
          <w:color w:val="000000"/>
        </w:rPr>
        <w:t xml:space="preserve"/>
        <w:tab/>
        <w:t xml:space="preserve">•</w:t>
        <w:tab/>
        <w:t xml:space="preserve">the length of the data is 14.012 seconds of digital signal per lead (7,006 samples at 500 Hz), with a 10-second rendered display — adequate for a complete resting 12-lead ECG interpretation;</w:t>
      </w:r>
    </w:p>
    <w:p>
      <w:pPr>
        <w:jc w:val="both"/>
        <w:ind w:left="720" w:first-line="-720"/>
        <w:spacing w:after="120"/>
      </w:pPr>
      <w:r>
        <w:rPr>
          <w:rFonts w:ascii="Times" w:hAnsi="Times" w:cs="Times"/>
          <w:sz w:val="24"/>
          <w:sz-cs w:val="24"/>
          <w:color w:val="000000"/>
        </w:rPr>
        <w:t xml:space="preserve"/>
        <w:tab/>
        <w:t xml:space="preserve">•</w:t>
        <w:tab/>
        <w:t xml:space="preserve">a disease is detectable, namely complete Left Bundle Branch Block, with left axis deviation and appropriate discordant secondary ST-T changes, against a background of hypertension and Type-2 diabetes — a constellation that warrants prompt echocardiography, comparison with any prior tracing, exclusion of acute ischaemia and structured long-term follow-up.</w:t>
      </w:r>
    </w:p>
    <w:p>
      <w:pPr>
        <w:jc w:val="both"/>
        <w:ind w:left="720" w:first-line="-720"/>
        <w:spacing w:after="120"/>
      </w:pPr>
      <w:r>
        <w:rPr>
          <w:rFonts w:ascii="Times" w:hAnsi="Times" w:cs="Times"/>
          <w:sz w:val="24"/>
          <w:sz-cs w:val="24"/>
          <w:b/>
          <w:color w:val="000000"/>
        </w:rPr>
        <w:t xml:space="preserve"/>
        <w:tab/>
        <w:t xml:space="preserve">•</w:t>
        <w:tab/>
        <w:t xml:space="preserve">Caveats. </w:t>
      </w:r>
      <w:r>
        <w:rPr>
          <w:rFonts w:ascii="Times" w:hAnsi="Times" w:cs="Times"/>
          <w:sz w:val="24"/>
          <w:sz-cs w:val="24"/>
          <w:color w:val="000000"/>
        </w:rPr>
        <w:t xml:space="preserve">This report opines only on the documents furnished. It does not constitute a substitute for clinical examination; nor does it address whether the LBBB is acute or chronic, which can only be determined by comparison with a prior ECG. QTc interpretation in the presence of LBBB should be undertaken cautiously and ideally with an LBBB-corrected formula.</w:t>
      </w:r>
    </w:p>
    <w:p>
      <w:pPr>
        <w:spacing w:before="400"/>
      </w:pPr>
      <w:r>
        <w:rPr>
          <w:rFonts w:ascii="Times" w:hAnsi="Times" w:cs="Times"/>
          <w:sz w:val="24"/>
          <w:sz-cs w:val="24"/>
        </w:rPr>
        <w:t xml:space="preserve"> </w:t>
      </w:r>
    </w:p>
    <w:p>
      <w:pPr>
        <w:spacing w:before="280" w:after="60"/>
      </w:pPr>
      <w:r>
        <w:rPr>
          <w:rFonts w:ascii="Times" w:hAnsi="Times" w:cs="Times"/>
          <w:sz w:val="24"/>
          <w:sz-cs w:val="24"/>
          <w:b/>
        </w:rPr>
        <w:t xml:space="preserve">Sd/-</w:t>
      </w:r>
    </w:p>
    <w:p>
      <w:pPr/>
      <w:r>
        <w:rPr>
          <w:rFonts w:ascii="Times" w:hAnsi="Times" w:cs="Times"/>
          <w:sz w:val="24"/>
          <w:sz-cs w:val="24"/>
          <w:b/>
        </w:rPr>
        <w:t xml:space="preserve">Dr. [Reporting Cardiologist]</w:t>
      </w:r>
    </w:p>
    <w:p>
      <w:pPr/>
      <w:r>
        <w:rPr>
          <w:rFonts w:ascii="Times" w:hAnsi="Times" w:cs="Times"/>
          <w:sz w:val="22"/>
          <w:sz-cs w:val="22"/>
        </w:rPr>
        <w:t xml:space="preserve">MD (Medicine), DM (Cardiology)</w:t>
      </w:r>
    </w:p>
    <w:p>
      <w:pPr/>
      <w:r>
        <w:rPr>
          <w:rFonts w:ascii="Times" w:hAnsi="Times" w:cs="Times"/>
          <w:sz w:val="22"/>
          <w:sz-cs w:val="22"/>
        </w:rPr>
        <w:t xml:space="preserve">Senior Consultant Cardiologist (30+ years' experience)</w:t>
      </w:r>
    </w:p>
    <w:p>
      <w:pPr/>
      <w:r>
        <w:rPr>
          <w:rFonts w:ascii="Times" w:hAnsi="Times" w:cs="Times"/>
          <w:sz w:val="22"/>
          <w:sz-cs w:val="22"/>
          <w:b/>
        </w:rPr>
        <w:t xml:space="preserve">Date:  </w:t>
      </w:r>
      <w:r>
        <w:rPr>
          <w:rFonts w:ascii="Times" w:hAnsi="Times" w:cs="Times"/>
          <w:sz w:val="22"/>
          <w:sz-cs w:val="22"/>
        </w:rPr>
        <w:t xml:space="preserve">13 May 2026</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Assessment Report — ECG Record b7e42d19</dc:title>
  <dc:creator>Cardiology Expert Report</dc:creator>
</cp:coreProperties>
</file>

<file path=docProps/meta.xml><?xml version="1.0" encoding="utf-8"?>
<meta xmlns="http://schemas.apple.com/cocoa/2006/metadata">
  <generator>CocoaOOXMLWriter/2685.4</generator>
</meta>
</file>