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FFFFFF"/>
  <w:body>
    <w:p>
      <w:pPr>
        <w:pStyle w:val="Normal"/>
        <w:ind w:firstLine="6379" w:end="0"/>
        <w:rPr/>
      </w:pPr>
      <w:r>
        <w:rPr/>
        <w:t>N</w:t>
      </w:r>
      <w:r>
        <w:rPr>
          <w:lang w:val="en-US" w:eastAsia="en-US"/>
        </w:rPr>
        <w:t>uméro de l'équipe</w: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4">
                <wp:simplePos x="0" y="0"/>
                <wp:positionH relativeFrom="column">
                  <wp:posOffset>5422265</wp:posOffset>
                </wp:positionH>
                <wp:positionV relativeFrom="paragraph">
                  <wp:posOffset>-106045</wp:posOffset>
                </wp:positionV>
                <wp:extent cx="762635" cy="323850"/>
                <wp:effectExtent l="0" t="0" r="0" b="0"/>
                <wp:wrapNone/>
                <wp:docPr id="1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2635" cy="323850"/>
                        </a:xfrm>
                        <a:prstGeom prst="rect"/>
                        <a:solidFill>
                          <a:srgbClr val="FFFFFF"/>
                        </a:solidFill>
                        <a:ln w="6350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widowControl/>
                              <w:suppressAutoHyphens w:val="true"/>
                              <w:bidi w:val="0"/>
                              <w:spacing w:lineRule="auto" w:line="276" w:before="0" w:after="200"/>
                              <w:rPr/>
                            </w:pPr>
                            <w:r>
                              <w:rPr>
                                <w:b/>
                              </w:rPr>
                              <w:t>3</w:t>
                            </w:r>
                          </w:p>
                        </w:txbxContent>
                      </wps:txbx>
                      <wps:bodyPr anchor="t" lIns="94615" tIns="48895" rIns="94615" bIns="4889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60.05pt;height:25.5pt;mso-wrap-distance-left:9.05pt;mso-wrap-distance-right:9.05pt;mso-wrap-distance-top:0pt;mso-wrap-distance-bottom:0pt;margin-top:-8.35pt;mso-position-vertical-relative:text;margin-left:426.95pt;mso-position-horizontal-relative:text">
                <v:textbox inset="0.103472222222222in,0.0534722222222222in,0.103472222222222in,0.0534722222222222in">
                  <w:txbxContent>
                    <w:p>
                      <w:pPr>
                        <w:pStyle w:val="Normal"/>
                        <w:widowControl/>
                        <w:suppressAutoHyphens w:val="true"/>
                        <w:bidi w:val="0"/>
                        <w:spacing w:lineRule="auto" w:line="276" w:before="0" w:after="200"/>
                        <w:rPr/>
                      </w:pPr>
                      <w:r>
                        <w:rPr>
                          <w:b/>
                        </w:rPr>
                        <w:t>3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>
          <w:lang w:val="en-US" w:eastAsia="en-US"/>
        </w:rPr>
      </w:pPr>
      <w:r>
        <w:rPr>
          <w:lang w:val="en-US" w:eastAsia="en-US"/>
        </w:rPr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3">
                <wp:simplePos x="0" y="0"/>
                <wp:positionH relativeFrom="column">
                  <wp:posOffset>1635760</wp:posOffset>
                </wp:positionH>
                <wp:positionV relativeFrom="paragraph">
                  <wp:posOffset>222885</wp:posOffset>
                </wp:positionV>
                <wp:extent cx="4596765" cy="323850"/>
                <wp:effectExtent l="0" t="0" r="0" b="0"/>
                <wp:wrapNone/>
                <wp:docPr id="2" name="Frame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96765" cy="323850"/>
                        </a:xfrm>
                        <a:prstGeom prst="rect"/>
                        <a:solidFill>
                          <a:srgbClr val="FFFFFF"/>
                        </a:solidFill>
                        <a:ln w="6350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widowControl/>
                              <w:suppressAutoHyphens w:val="true"/>
                              <w:bidi w:val="0"/>
                              <w:spacing w:lineRule="auto" w:line="276" w:before="0" w:after="200"/>
                              <w:rPr/>
                            </w:pPr>
                            <w:r>
                              <w:rPr>
                                <w:b/>
                              </w:rPr>
                              <w:t>Sainplement</w:t>
                            </w:r>
                          </w:p>
                        </w:txbxContent>
                      </wps:txbx>
                      <wps:bodyPr anchor="t" lIns="94615" tIns="48895" rIns="94615" bIns="4889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361.95pt;height:25.5pt;mso-wrap-distance-left:9.05pt;mso-wrap-distance-right:9.05pt;mso-wrap-distance-top:0pt;mso-wrap-distance-bottom:0pt;margin-top:17.55pt;mso-position-vertical-relative:text;margin-left:128.8pt;mso-position-horizontal-relative:text">
                <v:textbox inset="0.103472222222222in,0.0534722222222222in,0.103472222222222in,0.0534722222222222in">
                  <w:txbxContent>
                    <w:p>
                      <w:pPr>
                        <w:pStyle w:val="Normal"/>
                        <w:widowControl/>
                        <w:suppressAutoHyphens w:val="true"/>
                        <w:bidi w:val="0"/>
                        <w:spacing w:lineRule="auto" w:line="276" w:before="0" w:after="200"/>
                        <w:rPr/>
                      </w:pPr>
                      <w:r>
                        <w:rPr>
                          <w:b/>
                        </w:rPr>
                        <w:t>Sainplement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/>
      </w:pPr>
      <w:r>
        <w:rPr>
          <w:b/>
        </w:rPr>
        <w:t xml:space="preserve">Nom de l'entreprise </w:t>
        <w:tab/>
        <w:tab/>
        <w:tab/>
        <w:tab/>
        <w:tab/>
      </w:r>
    </w:p>
    <w:p>
      <w:pPr>
        <w:pStyle w:val="Normal"/>
        <w:spacing w:before="0" w:after="0"/>
        <w:rPr>
          <w:b/>
        </w:rPr>
      </w:pPr>
      <w:r>
        <w:rPr>
          <w:b/>
        </w:rPr>
      </w:r>
    </w:p>
    <w:p>
      <w:pPr>
        <w:pStyle w:val="Normal"/>
        <w:spacing w:before="0" w:after="0"/>
        <w:rPr>
          <w:b/>
        </w:rPr>
      </w:pPr>
      <w:r>
        <w:rPr>
          <w:b/>
        </w:rPr>
      </w:r>
    </w:p>
    <w:p>
      <w:pPr>
        <w:pStyle w:val="Normal"/>
        <w:spacing w:before="0" w:after="0"/>
        <w:jc w:val="center"/>
        <w:rPr>
          <w:b/>
        </w:rPr>
      </w:pPr>
      <w:r>
        <w:rPr>
          <w:b/>
        </w:rPr>
        <w:t>Composition de l'équipe</w:t>
      </w:r>
    </w:p>
    <w:p>
      <w:pPr>
        <w:pStyle w:val="Normal"/>
        <w:spacing w:before="0" w:after="0"/>
        <w:jc w:val="center"/>
        <w:rPr>
          <w:b/>
        </w:rPr>
      </w:pPr>
      <w:r>
        <w:rPr>
          <w:b/>
        </w:rPr>
      </w:r>
    </w:p>
    <w:tbl>
      <w:tblPr>
        <w:tblW w:w="9889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070"/>
        <w:gridCol w:w="4819"/>
      </w:tblGrid>
      <w:tr>
        <w:trPr>
          <w:trHeight w:val="397" w:hRule="atLeast"/>
        </w:trPr>
        <w:tc>
          <w:tcPr>
            <w:tcW w:w="5070" w:type="dxa"/>
            <w:tcBorders>
              <w:bottom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/>
              <w:t>Nom et prénom</w:t>
            </w:r>
          </w:p>
        </w:tc>
        <w:tc>
          <w:tcPr>
            <w:tcW w:w="4819" w:type="dxa"/>
            <w:tcBorders>
              <w:bottom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sz w:val="18"/>
              </w:rPr>
            </w:pPr>
            <w:r>
              <w:rPr/>
              <w:t>Fonction</w:t>
            </w:r>
          </w:p>
        </w:tc>
      </w:tr>
      <w:tr>
        <w:trPr>
          <w:trHeight w:val="397" w:hRule="atLeast"/>
        </w:trPr>
        <w:tc>
          <w:tcPr>
            <w:tcW w:w="50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rPr>
                <w:sz w:val="18"/>
              </w:rPr>
            </w:pPr>
            <w:r>
              <w:rPr>
                <w:b w:val="0"/>
              </w:rPr>
              <w:t>Titouan</w:t>
            </w:r>
          </w:p>
        </w:tc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970" w:leader="none"/>
              </w:tabs>
              <w:spacing w:before="0" w:after="0"/>
              <w:jc w:val="center"/>
              <w:rPr>
                <w:sz w:val="18"/>
              </w:rPr>
            </w:pPr>
            <w:r>
              <w:rPr>
                <w:sz w:val="18"/>
              </w:rPr>
              <w:t>Directeur Général</w:t>
            </w:r>
          </w:p>
        </w:tc>
      </w:tr>
      <w:tr>
        <w:trPr>
          <w:trHeight w:val="397" w:hRule="atLeast"/>
        </w:trPr>
        <w:tc>
          <w:tcPr>
            <w:tcW w:w="50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rPr>
                <w:sz w:val="18"/>
              </w:rPr>
            </w:pPr>
            <w:r>
              <w:rPr>
                <w:b w:val="0"/>
              </w:rPr>
              <w:t>Romain</w:t>
            </w:r>
          </w:p>
        </w:tc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jc w:val="center"/>
              <w:rPr>
                <w:sz w:val="18"/>
              </w:rPr>
            </w:pPr>
            <w:r>
              <w:rPr>
                <w:sz w:val="18"/>
              </w:rPr>
              <w:t>Directeur Financier</w:t>
            </w:r>
          </w:p>
        </w:tc>
      </w:tr>
      <w:tr>
        <w:trPr>
          <w:trHeight w:val="397" w:hRule="atLeast"/>
        </w:trPr>
        <w:tc>
          <w:tcPr>
            <w:tcW w:w="50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rPr>
                <w:sz w:val="18"/>
              </w:rPr>
            </w:pPr>
            <w:r>
              <w:rPr>
                <w:b w:val="0"/>
              </w:rPr>
              <w:t>Yasmine</w:t>
            </w:r>
          </w:p>
        </w:tc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jc w:val="center"/>
              <w:rPr>
                <w:sz w:val="18"/>
              </w:rPr>
            </w:pPr>
            <w:r>
              <w:rPr>
                <w:sz w:val="18"/>
              </w:rPr>
              <w:t>Ressources humaines</w:t>
            </w:r>
          </w:p>
        </w:tc>
      </w:tr>
      <w:tr>
        <w:trPr>
          <w:trHeight w:val="397" w:hRule="atLeast"/>
        </w:trPr>
        <w:tc>
          <w:tcPr>
            <w:tcW w:w="50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rPr>
                <w:sz w:val="18"/>
              </w:rPr>
            </w:pPr>
            <w:r>
              <w:rPr>
                <w:b w:val="0"/>
              </w:rPr>
              <w:t>Lou</w:t>
            </w:r>
          </w:p>
        </w:tc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jc w:val="center"/>
              <w:rPr>
                <w:sz w:val="18"/>
              </w:rPr>
            </w:pPr>
            <w:r>
              <w:rPr>
                <w:sz w:val="18"/>
              </w:rPr>
              <w:t>Marketing / Commercial</w:t>
            </w:r>
          </w:p>
        </w:tc>
      </w:tr>
    </w:tbl>
    <w:p>
      <w:pPr>
        <w:pStyle w:val="Normal"/>
        <w:spacing w:before="0" w:after="0"/>
        <w:rPr>
          <w:b/>
        </w:rPr>
      </w:pPr>
      <w:r>
        <w:rPr>
          <w:b/>
        </w:rPr>
      </w:r>
    </w:p>
    <w:p>
      <w:pPr>
        <w:pStyle w:val="Normal"/>
        <w:spacing w:before="0" w:after="120"/>
        <w:rPr>
          <w:b/>
        </w:rPr>
      </w:pPr>
      <w:r>
        <w:rPr>
          <w:b/>
        </w:rPr>
        <w:t>Matrice SWOT – Marché de la cuisine</w:t>
      </w:r>
    </w:p>
    <w:tbl>
      <w:tblPr>
        <w:tblpPr w:vertAnchor="text" w:horzAnchor="margin" w:rightFromText="141" w:tblpX="5" w:tblpY="13"/>
        <w:tblW w:w="9889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786"/>
        <w:gridCol w:w="5103"/>
      </w:tblGrid>
      <w:tr>
        <w:trPr/>
        <w:tc>
          <w:tcPr>
            <w:tcW w:w="47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92D050" w:val="clear"/>
            <w:vAlign w:val="center"/>
          </w:tcPr>
          <w:p>
            <w:pPr>
              <w:pStyle w:val="Normal"/>
              <w:spacing w:before="0" w:after="0"/>
              <w:jc w:val="center"/>
              <w:rPr>
                <w:color w:val="FFFFFF"/>
              </w:rPr>
            </w:pPr>
            <w:r>
              <w:rPr>
                <w:color w:val="FFFFFF"/>
              </w:rPr>
              <w:t>Forces</w:t>
            </w:r>
          </w:p>
        </w:tc>
        <w:tc>
          <w:tcPr>
            <w:tcW w:w="51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B4C6E7" w:val="clear"/>
            <w:vAlign w:val="center"/>
          </w:tcPr>
          <w:p>
            <w:pPr>
              <w:pStyle w:val="Normal"/>
              <w:spacing w:before="0" w:after="0"/>
              <w:jc w:val="center"/>
              <w:rPr>
                <w:color w:val="FFFFFF"/>
              </w:rPr>
            </w:pPr>
            <w:r>
              <w:rPr>
                <w:color w:val="FFFFFF"/>
              </w:rPr>
              <w:t>Faiblesses</w:t>
            </w:r>
          </w:p>
        </w:tc>
      </w:tr>
      <w:tr>
        <w:trPr>
          <w:trHeight w:val="1948" w:hRule="atLeast"/>
        </w:trPr>
        <w:tc>
          <w:tcPr>
            <w:tcW w:w="47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60"/>
              <w:rPr>
                <w:color w:val="FFFFFF"/>
              </w:rPr>
            </w:pPr>
            <w:r>
              <w:rPr>
                <w:b w:val="0"/>
                <w:sz w:val="20"/>
              </w:rPr>
              <w:t>- Alice : passionnée de cuisine healthy, pédagogue et à l'aise avec le digital</w:t>
            </w:r>
          </w:p>
          <w:p>
            <w:pPr>
              <w:pStyle w:val="Normal"/>
              <w:snapToGrid w:val="false"/>
              <w:spacing w:before="0" w:after="60"/>
              <w:rPr>
                <w:color w:val="FFFFFF"/>
              </w:rPr>
            </w:pPr>
            <w:r>
              <w:rPr>
                <w:b w:val="0"/>
                <w:sz w:val="20"/>
              </w:rPr>
              <w:t>- Un concept clair : une recette saine prête en 20 min, avec 5 ingrédients maximum</w:t>
            </w:r>
          </w:p>
          <w:p>
            <w:pPr>
              <w:pStyle w:val="Normal"/>
              <w:snapToGrid w:val="false"/>
              <w:spacing w:before="0" w:after="60"/>
              <w:rPr>
                <w:color w:val="FFFFFF"/>
              </w:rPr>
            </w:pPr>
            <w:r>
              <w:rPr>
                <w:b w:val="0"/>
                <w:sz w:val="20"/>
              </w:rPr>
              <w:t>- Structure légère, mobilité douce (vélo) et gestion rigoureuse (Théo)</w:t>
            </w:r>
          </w:p>
        </w:tc>
        <w:tc>
          <w:tcPr>
            <w:tcW w:w="51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60"/>
              <w:rPr/>
            </w:pPr>
            <w:r>
              <w:rPr>
                <w:b w:val="0"/>
                <w:sz w:val="20"/>
              </w:rPr>
              <w:t>- Capacité limitée : Alice seule, 120 h/mois</w:t>
            </w:r>
          </w:p>
          <w:p>
            <w:pPr>
              <w:pStyle w:val="Normal"/>
              <w:snapToGrid w:val="false"/>
              <w:spacing w:before="0" w:after="60"/>
              <w:rPr/>
            </w:pPr>
            <w:r>
              <w:rPr>
                <w:b w:val="0"/>
                <w:sz w:val="20"/>
              </w:rPr>
              <w:t>- Point mort élevé (~104 cours/mois) pour un capital de 8 000 €</w:t>
            </w:r>
          </w:p>
          <w:p>
            <w:pPr>
              <w:pStyle w:val="Normal"/>
              <w:snapToGrid w:val="false"/>
              <w:spacing w:before="0" w:after="60"/>
              <w:rPr/>
            </w:pPr>
            <w:r>
              <w:rPr>
                <w:b w:val="0"/>
                <w:sz w:val="20"/>
              </w:rPr>
              <w:t>- Aucune notoriété au lancement</w:t>
            </w:r>
          </w:p>
        </w:tc>
      </w:tr>
      <w:tr>
        <w:trPr/>
        <w:tc>
          <w:tcPr>
            <w:tcW w:w="47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D7D31" w:val="clear"/>
            <w:vAlign w:val="center"/>
          </w:tcPr>
          <w:p>
            <w:pPr>
              <w:pStyle w:val="Normal"/>
              <w:spacing w:before="0" w:after="0"/>
              <w:jc w:val="center"/>
              <w:rPr>
                <w:color w:val="FFFFFF"/>
              </w:rPr>
            </w:pPr>
            <w:r>
              <w:rPr>
                <w:color w:val="FFFFFF"/>
              </w:rPr>
              <w:t>Opportunité</w:t>
            </w:r>
          </w:p>
        </w:tc>
        <w:tc>
          <w:tcPr>
            <w:tcW w:w="51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0000" w:val="clear"/>
            <w:vAlign w:val="center"/>
          </w:tcPr>
          <w:p>
            <w:pPr>
              <w:pStyle w:val="Normal"/>
              <w:spacing w:before="0" w:after="0"/>
              <w:jc w:val="center"/>
              <w:rPr>
                <w:color w:val="FFFFFF"/>
              </w:rPr>
            </w:pPr>
            <w:r>
              <w:rPr>
                <w:color w:val="FFFFFF"/>
              </w:rPr>
              <w:t>Menaces</w:t>
            </w:r>
          </w:p>
        </w:tc>
      </w:tr>
      <w:tr>
        <w:trPr>
          <w:trHeight w:val="1869" w:hRule="atLeast"/>
        </w:trPr>
        <w:tc>
          <w:tcPr>
            <w:tcW w:w="47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60"/>
              <w:rPr/>
            </w:pPr>
            <w:r>
              <w:rPr>
                <w:b w:val="0"/>
                <w:sz w:val="20"/>
              </w:rPr>
              <w:t>- Les 20-40 ans veulent mieux manger mais manquent de temps et d'idées</w:t>
            </w:r>
          </w:p>
          <w:p>
            <w:pPr>
              <w:pStyle w:val="Normal"/>
              <w:spacing w:before="0" w:after="60"/>
              <w:rPr/>
            </w:pPr>
            <w:r>
              <w:rPr>
                <w:b w:val="0"/>
                <w:sz w:val="20"/>
              </w:rPr>
              <w:t>- Tendances fait-maison, batch cooking, anti-gaspi et réseaux sociaux culinaires</w:t>
            </w:r>
          </w:p>
          <w:p>
            <w:pPr>
              <w:pStyle w:val="Normal"/>
              <w:spacing w:before="0" w:after="60"/>
              <w:rPr/>
            </w:pPr>
            <w:r>
              <w:rPr>
                <w:b w:val="0"/>
                <w:sz w:val="20"/>
              </w:rPr>
              <w:t>- Relais de croissance : cours collectifs puis kits et produits</w:t>
            </w:r>
          </w:p>
        </w:tc>
        <w:tc>
          <w:tcPr>
            <w:tcW w:w="51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60"/>
              <w:rPr/>
            </w:pPr>
            <w:r>
              <w:rPr>
                <w:b w:val="0"/>
                <w:sz w:val="20"/>
              </w:rPr>
              <w:t>- 10 équipes concurrentes, toutes au même point de départ</w:t>
            </w:r>
          </w:p>
          <w:p>
            <w:pPr>
              <w:pStyle w:val="Normal"/>
              <w:spacing w:before="0" w:after="60"/>
              <w:rPr/>
            </w:pPr>
            <w:r>
              <w:rPr>
                <w:b w:val="0"/>
                <w:sz w:val="20"/>
              </w:rPr>
              <w:t>- Guerre des prix sur une cible au budget serré</w:t>
            </w:r>
          </w:p>
          <w:p>
            <w:pPr>
              <w:pStyle w:val="Normal"/>
              <w:spacing w:before="0" w:after="60"/>
              <w:rPr/>
            </w:pPr>
            <w:r>
              <w:rPr>
                <w:b w:val="0"/>
                <w:sz w:val="20"/>
              </w:rPr>
              <w:t>- Alternatives gratuites ou low-cost : tutos, applis, kits repas</w:t>
            </w:r>
          </w:p>
        </w:tc>
      </w:tr>
    </w:tbl>
    <w:p>
      <w:pPr>
        <w:pStyle w:val="Normal"/>
        <w:spacing w:before="240" w:after="0"/>
        <w:rPr>
          <w:b/>
        </w:rPr>
      </w:pPr>
      <w:r>
        <w:rPr>
          <w:b/>
        </w:rPr>
        <w:t>Finalités et valeurs :</w:t>
      </w:r>
    </w:p>
    <w:tbl>
      <w:tblPr>
        <w:tblW w:w="9889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889"/>
      </w:tblGrid>
      <w:tr>
        <w:trPr>
          <w:trHeight w:val="2684" w:hRule="atLeast"/>
        </w:trPr>
        <w:tc>
          <w:tcPr>
            <w:tcW w:w="98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60"/>
              <w:rPr/>
            </w:pPr>
            <w:r>
              <w:rPr>
                <w:b/>
                <w:sz w:val="20"/>
              </w:rPr>
              <w:t xml:space="preserve">Finalité : </w:t>
            </w:r>
          </w:p>
          <w:p>
            <w:pPr>
              <w:pStyle w:val="Normal"/>
              <w:snapToGrid w:val="false"/>
              <w:spacing w:before="0" w:after="60"/>
              <w:rPr/>
            </w:pPr>
            <w:r>
              <w:rPr>
                <w:b w:val="0"/>
                <w:sz w:val="20"/>
              </w:rPr>
              <w:t>Déconstruire l'idée que manger sainement est compliqué, long et cher. Nous apprenons aux 20-40 ans à cuisiner sain, simple et vite, chez eux, pour qu'ils deviennent autonomes au quotidien.</w:t>
            </w:r>
          </w:p>
          <w:p>
            <w:pPr>
              <w:pStyle w:val="Normal"/>
              <w:snapToGrid w:val="false"/>
              <w:spacing w:before="0" w:after="60"/>
              <w:rPr/>
            </w:pPr>
            <w:r>
              <w:rPr>
                <w:b/>
                <w:sz w:val="20"/>
              </w:rPr>
              <w:t xml:space="preserve">Mission : </w:t>
            </w:r>
          </w:p>
          <w:p>
            <w:pPr>
              <w:pStyle w:val="Normal"/>
              <w:snapToGrid w:val="false"/>
              <w:spacing w:before="0" w:after="60"/>
              <w:rPr/>
            </w:pPr>
            <w:r>
              <w:rPr>
                <w:b w:val="0"/>
                <w:sz w:val="20"/>
              </w:rPr>
              <w:t>Chaque cours se termine sur une recette saine réalisable en 20 minutes, avec 5 ingrédients maximum, et des astuces pour la refaire toute la semaine.</w:t>
            </w:r>
          </w:p>
          <w:p>
            <w:pPr>
              <w:pStyle w:val="Normal"/>
              <w:snapToGrid w:val="false"/>
              <w:spacing w:before="0" w:after="60"/>
              <w:rPr/>
            </w:pPr>
            <w:r>
              <w:rPr>
                <w:b/>
                <w:sz w:val="20"/>
              </w:rPr>
              <w:t>Nos valeurs :</w:t>
            </w:r>
          </w:p>
          <w:p>
            <w:pPr>
              <w:pStyle w:val="Normal"/>
              <w:snapToGrid w:val="false"/>
              <w:spacing w:before="0" w:after="60"/>
              <w:rPr/>
            </w:pPr>
            <w:r>
              <w:rPr>
                <w:b w:val="0"/>
                <w:sz w:val="20"/>
              </w:rPr>
              <w:t>- Simplicité : des recettes rapides, des ingrédients faciles à trouver, zéro jargon.</w:t>
            </w:r>
          </w:p>
          <w:p>
            <w:pPr>
              <w:pStyle w:val="Normal"/>
              <w:snapToGrid w:val="false"/>
              <w:spacing w:before="0" w:after="60"/>
              <w:rPr/>
            </w:pPr>
            <w:r>
              <w:rPr>
                <w:b w:val="0"/>
                <w:sz w:val="20"/>
              </w:rPr>
              <w:t>- Bienveillance : on part du niveau de chacun, sans jamais juger.</w:t>
            </w:r>
          </w:p>
          <w:p>
            <w:pPr>
              <w:pStyle w:val="Normal"/>
              <w:snapToGrid w:val="false"/>
              <w:spacing w:before="0" w:after="60"/>
              <w:rPr/>
            </w:pPr>
            <w:r>
              <w:rPr>
                <w:b w:val="0"/>
                <w:sz w:val="20"/>
              </w:rPr>
              <w:t>- Plaisir : sain ne veut pas dire triste ; chaque plat doit donner envie.</w:t>
            </w:r>
          </w:p>
          <w:p>
            <w:pPr>
              <w:pStyle w:val="Normal"/>
              <w:snapToGrid w:val="false"/>
              <w:spacing w:before="0" w:after="60"/>
              <w:rPr/>
            </w:pPr>
            <w:r>
              <w:rPr>
                <w:b w:val="0"/>
                <w:sz w:val="20"/>
              </w:rPr>
              <w:t>- Responsabilité : produits de saison, anti-gaspi, déplacements à vélo.</w:t>
            </w:r>
          </w:p>
          <w:p>
            <w:pPr>
              <w:pStyle w:val="Normal"/>
              <w:snapToGrid w:val="false"/>
              <w:spacing w:before="0" w:after="60"/>
              <w:rPr/>
            </w:pPr>
            <w:r>
              <w:rPr>
                <w:b w:val="0"/>
                <w:sz w:val="20"/>
              </w:rPr>
              <w:t>- Transmission : rendre nos clients autonomes, pas dépendants de nous.</w:t>
            </w:r>
          </w:p>
        </w:tc>
      </w:tr>
    </w:tbl>
    <w:p>
      <w:pPr>
        <w:pStyle w:val="Normal"/>
        <w:spacing w:before="240" w:after="0"/>
        <w:rPr>
          <w:b/>
        </w:rPr>
      </w:pPr>
      <w:r>
        <w:rPr>
          <w:b/>
        </w:rPr>
      </w:r>
    </w:p>
    <w:p>
      <w:pPr>
        <w:pStyle w:val="Normal"/>
        <w:spacing w:before="240" w:after="0"/>
        <w:rPr>
          <w:b/>
        </w:rPr>
      </w:pPr>
      <w:r>
        <w:rPr>
          <w:b/>
        </w:rPr>
      </w:r>
    </w:p>
    <w:p>
      <w:pPr>
        <w:pStyle w:val="Normal"/>
        <w:spacing w:before="240" w:after="0"/>
        <w:rPr>
          <w:b/>
        </w:rPr>
      </w:pPr>
      <w:r>
        <w:rPr>
          <w:b/>
        </w:rPr>
      </w:r>
    </w:p>
    <w:p>
      <w:pPr>
        <w:pStyle w:val="Normal"/>
        <w:spacing w:before="240" w:after="0"/>
        <w:rPr>
          <w:b/>
        </w:rPr>
      </w:pPr>
      <w:r>
        <w:rPr>
          <w:b/>
        </w:rPr>
      </w:r>
    </w:p>
    <w:p>
      <w:pPr>
        <w:pStyle w:val="Normal"/>
        <w:spacing w:before="240" w:after="0"/>
        <w:rPr>
          <w:b/>
        </w:rPr>
      </w:pPr>
      <w:r>
        <w:rPr>
          <w:b/>
        </w:rPr>
      </w:r>
    </w:p>
    <w:p>
      <w:pPr>
        <w:pStyle w:val="Normal"/>
        <w:spacing w:before="240" w:after="0"/>
        <w:rPr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Priorité : </w:t>
      </w:r>
      <w:r>
        <w:rPr>
          <w:bCs/>
          <w:sz w:val="20"/>
          <w:szCs w:val="20"/>
        </w:rPr>
        <w:t>Priorisez les 4 profils dans l’ordre d’importance de votre choix</w:t>
      </w:r>
    </w:p>
    <w:tbl>
      <w:tblPr>
        <w:tblW w:w="448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314"/>
        <w:gridCol w:w="2174"/>
      </w:tblGrid>
      <w:tr>
        <w:trPr>
          <w:trHeight w:val="853" w:hRule="atLeast"/>
        </w:trPr>
        <w:tc>
          <w:tcPr>
            <w:tcW w:w="2314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Priorité (de 1 à 4)</w:t>
            </w:r>
          </w:p>
          <w:p>
            <w:pPr>
              <w:pStyle w:val="Normal"/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174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Profil</w:t>
            </w:r>
          </w:p>
          <w:p>
            <w:pPr>
              <w:pStyle w:val="Normal"/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</w:tr>
      <w:tr>
        <w:trPr>
          <w:trHeight w:val="345" w:hRule="atLeast"/>
        </w:trPr>
        <w:tc>
          <w:tcPr>
            <w:tcW w:w="23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sz w:val="20"/>
              </w:rPr>
            </w:pPr>
            <w:r>
              <w:rPr>
                <w:b w:val="0"/>
              </w:rPr>
              <w:t>4</w:t>
            </w:r>
          </w:p>
        </w:tc>
        <w:tc>
          <w:tcPr>
            <w:tcW w:w="21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uppressAutoHyphens w:val="false"/>
              <w:spacing w:lineRule="auto" w:line="240" w:before="0" w:after="0"/>
              <w:ind w:firstLine="220" w:end="0"/>
              <w:rPr>
                <w:rFonts w:eastAsia="Times New Roman" w:cs="Arial"/>
                <w:szCs w:val="18"/>
                <w:lang w:eastAsia="fr-FR"/>
              </w:rPr>
            </w:pPr>
            <w:r>
              <w:rPr>
                <w:rFonts w:cs="Arial"/>
                <w:szCs w:val="18"/>
              </w:rPr>
              <w:t>Financier</w:t>
            </w:r>
          </w:p>
        </w:tc>
      </w:tr>
      <w:tr>
        <w:trPr>
          <w:trHeight w:val="345" w:hRule="atLeast"/>
        </w:trPr>
        <w:tc>
          <w:tcPr>
            <w:tcW w:w="23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eastAsia="Times New Roman" w:cs="Arial"/>
                <w:szCs w:val="18"/>
                <w:lang w:eastAsia="fr-FR"/>
              </w:rPr>
            </w:pPr>
            <w:r>
              <w:rPr>
                <w:b w:val="0"/>
              </w:rPr>
              <w:t>1</w:t>
            </w:r>
          </w:p>
        </w:tc>
        <w:tc>
          <w:tcPr>
            <w:tcW w:w="21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ind w:firstLine="220" w:end="0"/>
              <w:rPr>
                <w:rFonts w:cs="Arial"/>
                <w:szCs w:val="18"/>
              </w:rPr>
            </w:pPr>
            <w:r>
              <w:rPr>
                <w:rFonts w:cs="Arial"/>
                <w:szCs w:val="18"/>
              </w:rPr>
              <w:t>Commercial</w:t>
            </w:r>
          </w:p>
        </w:tc>
      </w:tr>
      <w:tr>
        <w:trPr>
          <w:trHeight w:val="345" w:hRule="atLeast"/>
        </w:trPr>
        <w:tc>
          <w:tcPr>
            <w:tcW w:w="23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cs="Arial"/>
                <w:szCs w:val="18"/>
              </w:rPr>
            </w:pPr>
            <w:r>
              <w:rPr>
                <w:b w:val="0"/>
              </w:rPr>
              <w:t>2</w:t>
            </w:r>
          </w:p>
        </w:tc>
        <w:tc>
          <w:tcPr>
            <w:tcW w:w="21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ind w:firstLine="220" w:end="0"/>
              <w:rPr>
                <w:rFonts w:cs="Arial"/>
                <w:szCs w:val="18"/>
              </w:rPr>
            </w:pPr>
            <w:r>
              <w:rPr>
                <w:rFonts w:cs="Arial"/>
                <w:szCs w:val="18"/>
              </w:rPr>
              <w:t>Responsable</w:t>
            </w:r>
          </w:p>
        </w:tc>
      </w:tr>
      <w:tr>
        <w:trPr>
          <w:trHeight w:val="345" w:hRule="atLeast"/>
        </w:trPr>
        <w:tc>
          <w:tcPr>
            <w:tcW w:w="23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cs="Arial"/>
                <w:szCs w:val="18"/>
              </w:rPr>
            </w:pPr>
            <w:r>
              <w:rPr>
                <w:b w:val="0"/>
              </w:rPr>
              <w:t>3</w:t>
            </w:r>
          </w:p>
        </w:tc>
        <w:tc>
          <w:tcPr>
            <w:tcW w:w="21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ind w:firstLine="220" w:end="0"/>
              <w:rPr>
                <w:rFonts w:cs="Arial"/>
                <w:szCs w:val="18"/>
              </w:rPr>
            </w:pPr>
            <w:r>
              <w:rPr>
                <w:rFonts w:cs="Arial"/>
                <w:szCs w:val="18"/>
              </w:rPr>
              <w:t>Efficace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  <w:t xml:space="preserve">Objectifs : </w:t>
      </w:r>
    </w:p>
    <w:tbl>
      <w:tblPr>
        <w:tblW w:w="9883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752"/>
        <w:gridCol w:w="2944"/>
        <w:gridCol w:w="2187"/>
      </w:tblGrid>
      <w:tr>
        <w:trPr>
          <w:trHeight w:val="853" w:hRule="atLeast"/>
        </w:trPr>
        <w:tc>
          <w:tcPr>
            <w:tcW w:w="4752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Indicateurs</w:t>
            </w:r>
          </w:p>
        </w:tc>
        <w:tc>
          <w:tcPr>
            <w:tcW w:w="2944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Objectif au tour 6</w:t>
            </w:r>
          </w:p>
        </w:tc>
        <w:tc>
          <w:tcPr>
            <w:tcW w:w="2187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Objectif au tour 12 </w:t>
            </w:r>
          </w:p>
        </w:tc>
      </w:tr>
      <w:tr>
        <w:trPr>
          <w:trHeight w:val="345" w:hRule="atLeast"/>
        </w:trPr>
        <w:tc>
          <w:tcPr>
            <w:tcW w:w="47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60"/>
              <w:jc w:val="center"/>
              <w:rPr>
                <w:sz w:val="20"/>
              </w:rPr>
            </w:pPr>
            <w:r>
              <w:rPr>
                <w:b w:val="0"/>
              </w:rPr>
              <w:t>CA mensuel</w:t>
            </w:r>
          </w:p>
        </w:tc>
        <w:tc>
          <w:tcPr>
            <w:tcW w:w="29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/>
            </w:pPr>
            <w:r>
              <w:rPr>
                <w:b w:val="0"/>
              </w:rPr>
              <w:t>5 500 €</w:t>
            </w:r>
          </w:p>
        </w:tc>
        <w:tc>
          <w:tcPr>
            <w:tcW w:w="21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/>
            </w:pPr>
            <w:r>
              <w:rPr>
                <w:b w:val="0"/>
              </w:rPr>
              <w:t>8 500 €</w:t>
            </w:r>
          </w:p>
        </w:tc>
      </w:tr>
      <w:tr>
        <w:trPr>
          <w:trHeight w:val="345" w:hRule="atLeast"/>
        </w:trPr>
        <w:tc>
          <w:tcPr>
            <w:tcW w:w="47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60"/>
              <w:jc w:val="center"/>
              <w:rPr/>
            </w:pPr>
            <w:r>
              <w:rPr>
                <w:b w:val="0"/>
              </w:rPr>
              <w:t>Nombre de clients</w:t>
            </w:r>
          </w:p>
        </w:tc>
        <w:tc>
          <w:tcPr>
            <w:tcW w:w="29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/>
            </w:pPr>
            <w:r>
              <w:rPr>
                <w:b w:val="0"/>
              </w:rPr>
              <w:t>100</w:t>
            </w:r>
          </w:p>
        </w:tc>
        <w:tc>
          <w:tcPr>
            <w:tcW w:w="21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/>
            </w:pPr>
            <w:r>
              <w:rPr>
                <w:b w:val="0"/>
              </w:rPr>
              <w:t>150</w:t>
            </w:r>
          </w:p>
        </w:tc>
      </w:tr>
      <w:tr>
        <w:trPr>
          <w:trHeight w:val="345" w:hRule="atLeast"/>
        </w:trPr>
        <w:tc>
          <w:tcPr>
            <w:tcW w:w="47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60"/>
              <w:jc w:val="center"/>
              <w:rPr/>
            </w:pPr>
            <w:r>
              <w:rPr>
                <w:b w:val="0"/>
              </w:rPr>
              <w:t>Satisfaction client</w:t>
            </w:r>
          </w:p>
        </w:tc>
        <w:tc>
          <w:tcPr>
            <w:tcW w:w="29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/>
            </w:pPr>
            <w:r>
              <w:rPr>
                <w:b w:val="0"/>
              </w:rPr>
              <w:t>≥ 80 %</w:t>
            </w:r>
          </w:p>
        </w:tc>
        <w:tc>
          <w:tcPr>
            <w:tcW w:w="21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/>
            </w:pPr>
            <w:r>
              <w:rPr>
                <w:b w:val="0"/>
              </w:rPr>
              <w:t>≥ 85 %</w:t>
            </w:r>
          </w:p>
        </w:tc>
      </w:tr>
      <w:tr>
        <w:trPr>
          <w:trHeight w:val="345" w:hRule="atLeast"/>
        </w:trPr>
        <w:tc>
          <w:tcPr>
            <w:tcW w:w="47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60"/>
              <w:jc w:val="center"/>
              <w:rPr/>
            </w:pPr>
            <w:r>
              <w:rPr>
                <w:b w:val="0"/>
              </w:rPr>
              <w:t>Notoriété</w:t>
            </w:r>
          </w:p>
        </w:tc>
        <w:tc>
          <w:tcPr>
            <w:tcW w:w="29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/>
            </w:pPr>
            <w:r>
              <w:rPr>
                <w:b w:val="0"/>
              </w:rPr>
              <w:t>Top 3 de l'univers</w:t>
            </w:r>
          </w:p>
        </w:tc>
        <w:tc>
          <w:tcPr>
            <w:tcW w:w="21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/>
            </w:pPr>
            <w:r>
              <w:rPr>
                <w:b w:val="0"/>
              </w:rPr>
              <w:t>Top 2 de l'univers</w:t>
            </w:r>
          </w:p>
        </w:tc>
      </w:tr>
      <w:tr>
        <w:trPr>
          <w:trHeight w:val="345" w:hRule="atLeast"/>
        </w:trPr>
        <w:tc>
          <w:tcPr>
            <w:tcW w:w="47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60"/>
              <w:jc w:val="center"/>
              <w:rPr/>
            </w:pPr>
            <w:r>
              <w:rPr>
                <w:b w:val="0"/>
              </w:rPr>
              <w:t>Indice RSE</w:t>
            </w:r>
          </w:p>
        </w:tc>
        <w:tc>
          <w:tcPr>
            <w:tcW w:w="29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/>
            </w:pPr>
            <w:r>
              <w:rPr>
                <w:b w:val="0"/>
              </w:rPr>
              <w:t>Top 3 de l'univers</w:t>
            </w:r>
          </w:p>
        </w:tc>
        <w:tc>
          <w:tcPr>
            <w:tcW w:w="21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/>
            </w:pPr>
            <w:r>
              <w:rPr>
                <w:b w:val="0"/>
              </w:rPr>
              <w:t>Top 2 de l'univers</w:t>
            </w:r>
          </w:p>
        </w:tc>
      </w:tr>
      <w:tr>
        <w:trPr>
          <w:trHeight w:val="345" w:hRule="atLeast"/>
        </w:trPr>
        <w:tc>
          <w:tcPr>
            <w:tcW w:w="47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60"/>
              <w:jc w:val="center"/>
              <w:rPr/>
            </w:pPr>
            <w:r>
              <w:rPr>
                <w:b w:val="0"/>
              </w:rPr>
              <w:t>Résultat mensuel</w:t>
            </w:r>
          </w:p>
        </w:tc>
        <w:tc>
          <w:tcPr>
            <w:tcW w:w="29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/>
            </w:pPr>
            <w:r>
              <w:rPr>
                <w:b w:val="0"/>
              </w:rPr>
              <w:t>≥ 0 € (équilibre)</w:t>
            </w:r>
          </w:p>
        </w:tc>
        <w:tc>
          <w:tcPr>
            <w:tcW w:w="21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/>
            </w:pPr>
            <w:r>
              <w:rPr>
                <w:b w:val="0"/>
              </w:rPr>
              <w:t>≥ +1 500 €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>
          <w:i/>
          <w:i/>
          <w:iCs/>
        </w:rPr>
      </w:pPr>
      <w:r>
        <w:rPr>
          <w:i/>
          <w:iCs/>
          <w:u w:val="single"/>
        </w:rPr>
        <w:t xml:space="preserve">Liste des indicateurs </w:t>
      </w:r>
      <w:r>
        <w:rPr>
          <w:u w:val="single"/>
        </w:rPr>
        <w:t>:</w:t>
      </w:r>
      <w:r>
        <w:rPr/>
        <w:t xml:space="preserve">  </w:t>
      </w:r>
      <w:r>
        <w:rPr>
          <w:i/>
          <w:iCs/>
        </w:rPr>
        <w:t>CA / Panier Moyen / Satisfaction Client / Notoriété / Coût d’acquisition d’un client / Nombre de clients / Taux de marge nette / Résultat / Taux de rupture de stock / Indice RSE / Motivation moyenne de l’équipe / Niveau de compétence moyen de l’équipe</w:t>
      </w:r>
    </w:p>
    <w:p>
      <w:pPr>
        <w:pStyle w:val="Normal"/>
        <w:spacing w:before="0" w:after="0"/>
        <w:rPr>
          <w:i/>
          <w:i/>
          <w:iCs/>
          <w:vanish/>
        </w:rPr>
      </w:pPr>
      <w:r>
        <w:rPr>
          <w:i/>
          <w:iCs/>
          <w:vanish/>
        </w:rPr>
      </w:r>
    </w:p>
    <w:p>
      <w:pPr>
        <w:pStyle w:val="Normal"/>
        <w:rPr>
          <w:vanish/>
        </w:rPr>
      </w:pPr>
      <w:r>
        <w:rPr>
          <w:vanish/>
        </w:rPr>
      </w:r>
    </w:p>
    <w:p>
      <w:pPr>
        <w:pStyle w:val="Normal"/>
        <w:rPr>
          <w:b/>
        </w:rPr>
      </w:pPr>
      <w:r>
        <w:rPr>
          <w:b/>
        </w:rPr>
        <w:t>Plan d’actions stratégique :</w:t>
      </w:r>
    </w:p>
    <w:tbl>
      <w:tblPr>
        <w:tblW w:w="1003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0038"/>
      </w:tblGrid>
      <w:tr>
        <w:trPr>
          <w:trHeight w:val="4888" w:hRule="atLeast"/>
        </w:trPr>
        <w:tc>
          <w:tcPr>
            <w:tcW w:w="100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60"/>
              <w:rPr/>
            </w:pPr>
            <w:r>
              <w:rPr>
                <w:b/>
                <w:sz w:val="20"/>
              </w:rPr>
              <w:t>Phase 1 – Conquête (T1 à T4) : se faire connaître des 20-40 ans</w:t>
            </w:r>
          </w:p>
          <w:p>
            <w:pPr>
              <w:pStyle w:val="Normal"/>
              <w:snapToGrid w:val="false"/>
              <w:spacing w:before="0" w:after="60"/>
              <w:rPr/>
            </w:pPr>
            <w:r>
              <w:rPr>
                <w:b w:val="0"/>
                <w:sz w:val="20"/>
              </w:rPr>
              <w:t>- T1 : 39 € HT, 45 min, orientation Healthy, épices offertes, Alice à vélo.</w:t>
            </w:r>
          </w:p>
          <w:p>
            <w:pPr>
              <w:pStyle w:val="Normal"/>
              <w:snapToGrid w:val="false"/>
              <w:spacing w:before="0" w:after="60"/>
              <w:rPr/>
            </w:pPr>
            <w:r>
              <w:rPr>
                <w:b w:val="0"/>
                <w:sz w:val="20"/>
              </w:rPr>
              <w:t>- Communication digitale (réseaux sociaux, recettes en 20 min) ciblée sur les quartiers jeunes et actifs.</w:t>
            </w:r>
          </w:p>
          <w:p>
            <w:pPr>
              <w:pStyle w:val="Normal"/>
              <w:snapToGrid w:val="false"/>
              <w:spacing w:before="0" w:after="60"/>
              <w:rPr/>
            </w:pPr>
            <w:r>
              <w:rPr>
                <w:b w:val="0"/>
                <w:sz w:val="20"/>
              </w:rPr>
              <w:t>- Étude « offre des concurrents » dès T1, puis « communication » en T2-T3 pour ajuster.</w:t>
            </w:r>
          </w:p>
          <w:p>
            <w:pPr>
              <w:pStyle w:val="Normal"/>
              <w:snapToGrid w:val="false"/>
              <w:spacing w:before="0" w:after="60"/>
              <w:rPr/>
            </w:pPr>
            <w:r>
              <w:rPr>
                <w:b w:val="0"/>
                <w:sz w:val="20"/>
              </w:rPr>
              <w:t>- Prix stable, voire petite baisse si la demande est faible ; aucune hausse.</w:t>
            </w:r>
          </w:p>
          <w:p>
            <w:pPr>
              <w:pStyle w:val="Normal"/>
              <w:snapToGrid w:val="false"/>
              <w:spacing w:before="0" w:after="60"/>
              <w:rPr/>
            </w:pPr>
            <w:r>
              <w:rPr>
                <w:b/>
                <w:sz w:val="20"/>
              </w:rPr>
              <w:t>Phase 2 – Cours collectifs (T5 à T8) : faire grandir la communauté</w:t>
            </w:r>
          </w:p>
          <w:p>
            <w:pPr>
              <w:pStyle w:val="Normal"/>
              <w:snapToGrid w:val="false"/>
              <w:spacing w:before="0" w:after="60"/>
              <w:rPr/>
            </w:pPr>
            <w:r>
              <w:rPr>
                <w:b w:val="0"/>
                <w:sz w:val="20"/>
              </w:rPr>
              <w:t>- Ateliers collectifs « healthy en 20 min » et « batch cooking du dimanche » entre amis, colocs ou collègues.</w:t>
            </w:r>
          </w:p>
          <w:p>
            <w:pPr>
              <w:pStyle w:val="Normal"/>
              <w:snapToGrid w:val="false"/>
              <w:spacing w:before="0" w:after="60"/>
              <w:rPr/>
            </w:pPr>
            <w:r>
              <w:rPr>
                <w:b w:val="0"/>
                <w:sz w:val="20"/>
              </w:rPr>
              <w:t>- Basculer une partie du temps d'Alice vers les collectifs (meilleur CA par heure).</w:t>
            </w:r>
          </w:p>
          <w:p>
            <w:pPr>
              <w:pStyle w:val="Normal"/>
              <w:snapToGrid w:val="false"/>
              <w:spacing w:before="0" w:after="60"/>
              <w:rPr/>
            </w:pPr>
            <w:r>
              <w:rPr>
                <w:b w:val="0"/>
                <w:sz w:val="20"/>
              </w:rPr>
              <w:t>- Partenariats locaux : salles de sport, campus, producteurs, pour la notoriété et le RSE.</w:t>
            </w:r>
          </w:p>
          <w:p>
            <w:pPr>
              <w:pStyle w:val="Normal"/>
              <w:snapToGrid w:val="false"/>
              <w:spacing w:before="0" w:after="60"/>
              <w:rPr/>
            </w:pPr>
            <w:r>
              <w:rPr>
                <w:b w:val="0"/>
                <w:sz w:val="20"/>
              </w:rPr>
              <w:t>- Former et motiver l'équipe pour garder un taux de service élevé.</w:t>
            </w:r>
          </w:p>
          <w:p>
            <w:pPr>
              <w:pStyle w:val="Normal"/>
              <w:snapToGrid w:val="false"/>
              <w:spacing w:before="0" w:after="60"/>
              <w:rPr/>
            </w:pPr>
            <w:r>
              <w:rPr>
                <w:b/>
                <w:sz w:val="20"/>
              </w:rPr>
              <w:t>Phase 3 – Produits additionnels (T9 à T12) : prolonger l'expérience chez soi</w:t>
            </w:r>
          </w:p>
          <w:p>
            <w:pPr>
              <w:pStyle w:val="Normal"/>
              <w:snapToGrid w:val="false"/>
              <w:spacing w:before="0" w:after="60"/>
              <w:rPr/>
            </w:pPr>
            <w:r>
              <w:rPr>
                <w:b w:val="0"/>
                <w:sz w:val="20"/>
              </w:rPr>
              <w:t>- Kits « 5 ingrédients, 20 minutes », mélanges d'épices maison, livret de recettes.</w:t>
            </w:r>
          </w:p>
          <w:p>
            <w:pPr>
              <w:pStyle w:val="Normal"/>
              <w:snapToGrid w:val="false"/>
              <w:spacing w:before="0" w:after="60"/>
              <w:rPr/>
            </w:pPr>
            <w:r>
              <w:rPr>
                <w:b w:val="0"/>
                <w:sz w:val="20"/>
              </w:rPr>
              <w:t>- Gestion fine des stocks (zéro rupture) et coffrets cadeaux pour Noël.</w:t>
            </w:r>
          </w:p>
          <w:p>
            <w:pPr>
              <w:pStyle w:val="Normal"/>
              <w:snapToGrid w:val="false"/>
              <w:spacing w:before="0" w:after="60"/>
              <w:rPr/>
            </w:pPr>
            <w:r>
              <w:rPr>
                <w:b w:val="0"/>
                <w:sz w:val="20"/>
              </w:rPr>
              <w:t>- Fidélisation : avantages pour les clients récurrents, satisfaction suivie chaque mois.</w:t>
            </w:r>
          </w:p>
        </w:tc>
      </w:tr>
    </w:tbl>
    <w:p>
      <w:pPr>
        <w:pStyle w:val="Normal"/>
        <w:spacing w:before="0" w:after="200"/>
        <w:ind w:end="6236"/>
        <w:rPr/>
      </w:pPr>
      <w:r>
        <w:rPr/>
      </w:r>
    </w:p>
    <w:sectPr>
      <w:type w:val="nextPage"/>
      <w:pgSz w:w="11906" w:h="16838"/>
      <w:pgMar w:left="1417" w:right="1417" w:gutter="0" w:header="0" w:top="426" w:footer="0" w:bottom="1135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iso-8859-1"/>
    <w:family w:val="roman"/>
    <w:pitch w:val="variable"/>
  </w:font>
  <w:font w:name="Calibri">
    <w:charset w:val="00" w:characterSet="windows-1252"/>
    <w:family w:val="swiss"/>
    <w:pitch w:val="variable"/>
  </w:font>
  <w:font w:name="Segoe UI">
    <w:charset w:val="00" w:characterSet="windows-1252"/>
    <w:family w:val="swiss"/>
    <w:pitch w:val="variable"/>
  </w:font>
  <w:font w:name="Liberation Sans">
    <w:altName w:val="Arial"/>
    <w:charset w:val="00" w:characterSet="iso-8859-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isplayBackgroundShape/>
  <w:defaultTabStop w:val="708"/>
  <w:autoHyphenation w:val="true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276" w:before="0" w:after="200"/>
    </w:pPr>
    <w:rPr>
      <w:rFonts w:ascii="Calibri" w:hAnsi="Calibri" w:eastAsia="Calibri" w:cs="Calibri"/>
      <w:color w:val="auto"/>
      <w:sz w:val="22"/>
      <w:szCs w:val="22"/>
      <w:lang w:val="fr-FR" w:bidi="ar-SA" w:eastAsia="zh-CN"/>
    </w:rPr>
  </w:style>
  <w:style w:type="character" w:styleId="Policepardfaut">
    <w:name w:val="Police par défaut"/>
    <w:qFormat/>
    <w:rPr/>
  </w:style>
  <w:style w:type="character" w:styleId="Policepardfaut1">
    <w:name w:val="Police par défaut1"/>
    <w:qFormat/>
    <w:rPr/>
  </w:style>
  <w:style w:type="character" w:styleId="TextedebullesCar">
    <w:name w:val="Texte de bulles Car"/>
    <w:qFormat/>
    <w:rPr>
      <w:rFonts w:ascii="Segoe UI" w:hAnsi="Segoe UI" w:eastAsia="Calibri" w:cs="Segoe UI"/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BodyText">
    <w:name w:val="Body Text"/>
    <w:basedOn w:val="Normal"/>
    <w:pPr>
      <w:spacing w:before="0" w:after="120"/>
    </w:pPr>
    <w:rPr/>
  </w:style>
  <w:style w:type="paragraph" w:styleId="List">
    <w:name w:val="List"/>
    <w:basedOn w:val="BodyText"/>
    <w:pPr/>
    <w:rPr>
      <w:rFonts w:cs="Tahoma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re1">
    <w:name w:val="Titre1"/>
    <w:basedOn w:val="Normal"/>
    <w:next w:val="BodyText"/>
    <w:qFormat/>
    <w:pPr>
      <w:keepNext w:val="true"/>
      <w:spacing w:before="240" w:after="120"/>
    </w:pPr>
    <w:rPr>
      <w:rFonts w:ascii="Arial" w:hAnsi="Arial" w:eastAsia="MS Mincho;ＭＳ 明朝" w:cs="Tahoma"/>
      <w:sz w:val="28"/>
      <w:szCs w:val="28"/>
    </w:rPr>
  </w:style>
  <w:style w:type="paragraph" w:styleId="Lgende1">
    <w:name w:val="Légende1"/>
    <w:basedOn w:val="Normal"/>
    <w:qFormat/>
    <w:pPr>
      <w:suppressLineNumbers/>
      <w:spacing w:before="120" w:after="120"/>
    </w:pPr>
    <w:rPr>
      <w:rFonts w:cs="Tahoma"/>
      <w:i/>
      <w:iCs/>
      <w:sz w:val="24"/>
      <w:szCs w:val="24"/>
    </w:rPr>
  </w:style>
  <w:style w:type="paragraph" w:styleId="Rpertoire">
    <w:name w:val="Répertoire"/>
    <w:basedOn w:val="Normal"/>
    <w:qFormat/>
    <w:pPr>
      <w:suppressLineNumbers/>
    </w:pPr>
    <w:rPr>
      <w:rFonts w:cs="Tahoma"/>
    </w:rPr>
  </w:style>
  <w:style w:type="paragraph" w:styleId="Contenuducadre">
    <w:name w:val="Contenu du cadre"/>
    <w:basedOn w:val="BodyText"/>
    <w:qFormat/>
    <w:pPr/>
    <w:rPr/>
  </w:style>
  <w:style w:type="paragraph" w:styleId="Textedebulles">
    <w:name w:val="Texte de bulles"/>
    <w:basedOn w:val="Normal"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2025-10-02T16:51:00Z</dcterms:created>
  <dc:creator>Laurent</dc:creator>
  <dc:description/>
  <cp:keywords/>
  <dc:language>en-US</dc:language>
  <cp:lastModifiedBy>Romain BLOURDE</cp:lastModifiedBy>
  <cp:lastPrinted>2015-02-14T09:26:00Z</cp:lastPrinted>
  <dcterms:modified xsi:type="dcterms:W3CDTF">2025-10-02T16:51:00Z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cf76f155ced4ddcb4097134ff3c332f">
    <vt:lpwstr/>
  </property>
</Properties>
</file>