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Bract CRM — 弁護士相談チェックリスト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商用リリース前に法務確認が必要な論点まとめ</w:t>
      </w:r>
    </w:p>
    <w:p>
      <w:pPr>
        <w:spacing w:after="360"/>
        <w:jc w:val="center"/>
      </w:pPr>
      <w:r>
        <w:rPr>
          <w:color w:val="555555"/>
          <w:sz w:val="20"/>
          <w:szCs w:val="20"/>
        </w:rPr>
        <w:t xml:space="preserve">作成日: 2026 年 6 月 2 日</w:t>
      </w:r>
    </w:p>
    <w:p>
      <w:pPr>
        <w:spacing w:after="80"/>
      </w:pPr>
      <w:r>
        <w:rPr>
          <w:b/>
          <w:bCs/>
        </w:rPr>
        <w:t xml:space="preserve">本紙の使い方:</w:t>
      </w:r>
      <w:r>
        <w:t xml:space="preserve"> 各トピックの「✔ 弁護士に確認したいこと」を順に質問。手元の雛形 (docs/legal/) は事前に PDF 化して持参。</w:t>
      </w:r>
    </w:p>
    <w:p>
      <w:pPr>
        <w:spacing w:after="240"/>
      </w:pPr>
      <w:r>
        <w:rPr>
          <w:b/>
          <w:bCs/>
        </w:rPr>
        <w:t xml:space="preserve">想定: </w:t>
      </w:r>
      <w:r>
        <w:t xml:space="preserve">中小企業向け IT 法務に強い弁護士。着手金 ¥100,000–¥300,000 + 顧問契約 ¥30,000–¥50,000/月 を想定。</w:t>
      </w:r>
    </w:p>
    <w:p>
      <w:pPr>
        <w:pStyle w:val="Heading1"/>
      </w:pPr>
      <w:r>
        <w:t xml:space="preserve">1. 法務文書 7 種の最終レビュー (最優先)</w:t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関連: docs/legal/, Issue #21 (CLOSED), release-readiness 0-2</w:t>
      </w:r>
    </w:p>
    <w:p>
      <w:r>
        <w:t xml:space="preserve">社内で 7 種の雛形を作成済み。施行前に弁護士レビューを受けないと顧客契約・個人情報取扱いを進められない。</w:t>
      </w:r>
    </w:p>
    <w:p>
      <w:pPr>
        <w:spacing w:after="80" w:before="120"/>
      </w:pPr>
      <w:r>
        <w:rPr>
          <w:b/>
          <w:bCs/>
        </w:rPr>
        <w:t xml:space="preserve">現状 / 該当する素材</w:t>
      </w:r>
    </w:p>
    <w:p>
      <w:pPr>
        <w:pStyle w:val="ListParagraph"/>
        <w:numPr>
          <w:ilvl w:val="0"/>
          <w:numId w:val="2"/>
        </w:numPr>
      </w:pPr>
      <w:r>
        <w:t xml:space="preserve">利用規約 (terms.md) — 142 行</w:t>
      </w:r>
    </w:p>
    <w:p>
      <w:pPr>
        <w:pStyle w:val="ListParagraph"/>
        <w:numPr>
          <w:ilvl w:val="0"/>
          <w:numId w:val="2"/>
        </w:numPr>
      </w:pPr>
      <w:r>
        <w:t xml:space="preserve">プライバシーポリシー (privacy.md) — 126 行</w:t>
      </w:r>
    </w:p>
    <w:p>
      <w:pPr>
        <w:pStyle w:val="ListParagraph"/>
        <w:numPr>
          <w:ilvl w:val="0"/>
          <w:numId w:val="2"/>
        </w:numPr>
      </w:pPr>
      <w:r>
        <w:t xml:space="preserve">特定商取引法に基づく表記 (tokushoho.md)</w:t>
      </w:r>
    </w:p>
    <w:p>
      <w:pPr>
        <w:pStyle w:val="ListParagraph"/>
        <w:numPr>
          <w:ilvl w:val="0"/>
          <w:numId w:val="2"/>
        </w:numPr>
      </w:pPr>
      <w:r>
        <w:t xml:space="preserve">SLA — サービス品質保証 (sla.md)</w:t>
      </w:r>
    </w:p>
    <w:p>
      <w:pPr>
        <w:pStyle w:val="ListParagraph"/>
        <w:numPr>
          <w:ilvl w:val="0"/>
          <w:numId w:val="2"/>
        </w:numPr>
      </w:pPr>
      <w:r>
        <w:t xml:space="preserve">個人データ取扱覚書 DPA (dpa.md) — 法人顧客と個別締結用</w:t>
      </w:r>
    </w:p>
    <w:p>
      <w:pPr>
        <w:pStyle w:val="ListParagraph"/>
        <w:numPr>
          <w:ilvl w:val="0"/>
          <w:numId w:val="2"/>
        </w:numPr>
      </w:pPr>
      <w:r>
        <w:t xml:space="preserve">Cookie 利用ポリシー (cookie-policy.md)</w:t>
      </w:r>
    </w:p>
    <w:p>
      <w:pPr>
        <w:pStyle w:val="ListParagraph"/>
        <w:numPr>
          <w:ilvl w:val="0"/>
          <w:numId w:val="2"/>
        </w:numPr>
      </w:pPr>
      <w:r>
        <w:t xml:space="preserve">プレースホルダ {{}} 一覧 (事業者名 / 所在地 / 管轄裁判所 等)</w:t>
      </w:r>
    </w:p>
    <w:p>
      <w:pPr>
        <w:spacing w:after="80" w:before="160"/>
      </w:pPr>
      <w:r>
        <w:rPr>
          <w:b/>
          <w:bCs/>
          <w:color w:val="B83227"/>
        </w:rPr>
        <w:t xml:space="preserve">✔ 弁護士に確認したいこと</w:t>
      </w:r>
    </w:p>
    <w:p>
      <w:pPr>
        <w:pStyle w:val="ListParagraph"/>
        <w:numPr>
          <w:ilvl w:val="0"/>
          <w:numId w:val="3"/>
        </w:numPr>
      </w:pPr>
      <w:r>
        <w:t xml:space="preserve">雛形をベースに、SaaS B2B (CRM) 提供事業者として落とし穴がないかレビューしてほしい。</w:t>
      </w:r>
    </w:p>
    <w:p>
      <w:pPr>
        <w:pStyle w:val="ListParagraph"/>
        <w:numPr>
          <w:ilvl w:val="0"/>
          <w:numId w:val="3"/>
        </w:numPr>
      </w:pPr>
      <w:r>
        <w:t xml:space="preserve">損害賠償の上限 (月額相当 / 年額相当 / 過失の程度) の妥当な設定。</w:t>
      </w:r>
    </w:p>
    <w:p>
      <w:pPr>
        <w:pStyle w:val="ListParagraph"/>
        <w:numPr>
          <w:ilvl w:val="0"/>
          <w:numId w:val="3"/>
        </w:numPr>
      </w:pPr>
      <w:r>
        <w:t xml:space="preserve">解約・契約終了時のデータ取扱い (返却 / 削除期間 / 証跡)。</w:t>
      </w:r>
    </w:p>
    <w:p>
      <w:pPr>
        <w:pStyle w:val="ListParagraph"/>
        <w:numPr>
          <w:ilvl w:val="0"/>
          <w:numId w:val="3"/>
        </w:numPr>
      </w:pPr>
      <w:r>
        <w:t xml:space="preserve">個人事業 (屋号) で開始する場合と法人化後の規約差分の整理。</w:t>
      </w:r>
    </w:p>
    <w:p>
      <w:pPr>
        <w:pStyle w:val="ListParagraph"/>
        <w:numPr>
          <w:ilvl w:val="0"/>
          <w:numId w:val="3"/>
        </w:numPr>
      </w:pPr>
      <w:r>
        <w:t xml:space="preserve">準拠法・管轄裁判所の妥当性 (顧客所在地が地方の場合)。</w:t>
      </w:r>
    </w:p>
    <w:p>
      <w:pPr>
        <w:pStyle w:val="ListParagraph"/>
        <w:numPr>
          <w:ilvl w:val="0"/>
          <w:numId w:val="3"/>
        </w:numPr>
      </w:pPr>
      <w:r>
        <w:t xml:space="preserve">インボイス制度対応の請求書フォーマットでの注意点。</w:t>
      </w:r>
    </w:p>
    <w:p>
      <w:pPr>
        <w:pStyle w:val="ListParagraph"/>
        <w:numPr>
          <w:ilvl w:val="0"/>
          <w:numId w:val="3"/>
        </w:numPr>
      </w:pPr>
      <w:r>
        <w:t xml:space="preserve">反社チェック / 暴排条項の文面。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2. データ保管地域 (海外保管) の表示と同意</w:t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関連: Issue #62</w:t>
      </w:r>
    </w:p>
    <w:p>
      <w:r>
        <w:t xml:space="preserve">現在 Neon (DB) は ap-southeast-1 (シンガポール) に保管。Supabase / Vercel は東京。個人情報保護法上の越境移転に該当する可能性があり、契約書・PP への明示が必要。</w:t>
      </w:r>
    </w:p>
    <w:p>
      <w:pPr>
        <w:spacing w:after="80" w:before="120"/>
      </w:pPr>
      <w:r>
        <w:rPr>
          <w:b/>
          <w:bCs/>
        </w:rPr>
        <w:t xml:space="preserve">現状 / 該当する素材</w:t>
      </w:r>
    </w:p>
    <w:p>
      <w:pPr>
        <w:pStyle w:val="ListParagraph"/>
        <w:numPr>
          <w:ilvl w:val="0"/>
          <w:numId w:val="2"/>
        </w:numPr>
      </w:pPr>
      <w:r>
        <w:t xml:space="preserve">Neon: ap-southeast-1 (シンガポール) ← データ本体</w:t>
      </w:r>
    </w:p>
    <w:p>
      <w:pPr>
        <w:pStyle w:val="ListParagraph"/>
        <w:numPr>
          <w:ilvl w:val="0"/>
          <w:numId w:val="2"/>
        </w:numPr>
      </w:pPr>
      <w:r>
        <w:t xml:space="preserve">Supabase Auth + Storage: ap-northeast-1 (東京) ※プロジェクト次第</w:t>
      </w:r>
    </w:p>
    <w:p>
      <w:pPr>
        <w:pStyle w:val="ListParagraph"/>
        <w:numPr>
          <w:ilvl w:val="0"/>
          <w:numId w:val="2"/>
        </w:numPr>
      </w:pPr>
      <w:r>
        <w:t xml:space="preserve">Vercel: 自動 (Edge / 東京)</w:t>
      </w:r>
    </w:p>
    <w:p>
      <w:pPr>
        <w:pStyle w:val="ListParagraph"/>
        <w:numPr>
          <w:ilvl w:val="0"/>
          <w:numId w:val="2"/>
        </w:numPr>
      </w:pPr>
      <w:r>
        <w:t xml:space="preserve">将来案: Neon 東京リージョン待ち / Supabase Postgres 統合 / AWS RDS Aurora Tokyo</w:t>
      </w:r>
    </w:p>
    <w:p>
      <w:pPr>
        <w:spacing w:after="80" w:before="160"/>
      </w:pPr>
      <w:r>
        <w:rPr>
          <w:b/>
          <w:bCs/>
          <w:color w:val="B83227"/>
        </w:rPr>
        <w:t xml:space="preserve">✔ 弁護士に確認したいこと</w:t>
      </w:r>
    </w:p>
    <w:p>
      <w:pPr>
        <w:pStyle w:val="ListParagraph"/>
        <w:numPr>
          <w:ilvl w:val="0"/>
          <w:numId w:val="3"/>
        </w:numPr>
      </w:pPr>
      <w:r>
        <w:t xml:space="preserve">個人情報保護法 (越境移転) に従った表示・同意取得の最低要件。</w:t>
      </w:r>
    </w:p>
    <w:p>
      <w:pPr>
        <w:pStyle w:val="ListParagraph"/>
        <w:numPr>
          <w:ilvl w:val="0"/>
          <w:numId w:val="3"/>
        </w:numPr>
      </w:pPr>
      <w:r>
        <w:t xml:space="preserve">「同意取得」と「相当措置をとっている第三国」のどちらで処理するのが妥当か。</w:t>
      </w:r>
    </w:p>
    <w:p>
      <w:pPr>
        <w:pStyle w:val="ListParagraph"/>
        <w:numPr>
          <w:ilvl w:val="0"/>
          <w:numId w:val="3"/>
        </w:numPr>
      </w:pPr>
      <w:r>
        <w:t xml:space="preserve">医療・介護・自治体顧客向けの国内保管要件 — 必須となるラインの目安。</w:t>
      </w:r>
    </w:p>
    <w:p>
      <w:pPr>
        <w:pStyle w:val="ListParagraph"/>
        <w:numPr>
          <w:ilvl w:val="0"/>
          <w:numId w:val="3"/>
        </w:numPr>
      </w:pPr>
      <w:r>
        <w:t xml:space="preserve">保管地域変更 (将来東京移行する) 時の顧客通知義務の有無。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3. SLA / 稼働率保証の文面</w:t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関連: Issue #64, docs/legal/sla.md</w:t>
      </w:r>
    </w:p>
    <w:p>
      <w:r>
        <w:t xml:space="preserve">エンタープライズ顧客に提示する SLA。Vercel / Supabase / Neon の SLA に依存しているため、自社で過剰な保証をすると吸収できないリスクがある。</w:t>
      </w:r>
    </w:p>
    <w:p>
      <w:pPr>
        <w:spacing w:after="80" w:before="120"/>
      </w:pPr>
      <w:r>
        <w:rPr>
          <w:b/>
          <w:bCs/>
        </w:rPr>
        <w:t xml:space="preserve">現状 / 該当する素材</w:t>
      </w:r>
    </w:p>
    <w:p>
      <w:pPr>
        <w:pStyle w:val="ListParagraph"/>
        <w:numPr>
          <w:ilvl w:val="0"/>
          <w:numId w:val="2"/>
        </w:numPr>
      </w:pPr>
      <w:r>
        <w:t xml:space="preserve">想定稼働率: 99.5% (年間 43.8 時間以内) を基準値で検討</w:t>
      </w:r>
    </w:p>
    <w:p>
      <w:pPr>
        <w:pStyle w:val="ListParagraph"/>
        <w:numPr>
          <w:ilvl w:val="0"/>
          <w:numId w:val="2"/>
        </w:numPr>
      </w:pPr>
      <w:r>
        <w:t xml:space="preserve">補償条項: 該当月の月額の X% 返金 (X は要検討)</w:t>
      </w:r>
    </w:p>
    <w:p>
      <w:pPr>
        <w:pStyle w:val="ListParagraph"/>
        <w:numPr>
          <w:ilvl w:val="0"/>
          <w:numId w:val="2"/>
        </w:numPr>
      </w:pPr>
      <w:r>
        <w:t xml:space="preserve">計画停止 / メンテナンス時間の SLA 対象外条項</w:t>
      </w:r>
    </w:p>
    <w:p>
      <w:pPr>
        <w:pStyle w:val="ListParagraph"/>
        <w:numPr>
          <w:ilvl w:val="0"/>
          <w:numId w:val="2"/>
        </w:numPr>
      </w:pPr>
      <w:r>
        <w:t xml:space="preserve">上流サービス障害 (Vercel / Supabase / Neon) の取り扱い</w:t>
      </w:r>
    </w:p>
    <w:p>
      <w:pPr>
        <w:spacing w:after="80" w:before="160"/>
      </w:pPr>
      <w:r>
        <w:rPr>
          <w:b/>
          <w:bCs/>
          <w:color w:val="B83227"/>
        </w:rPr>
        <w:t xml:space="preserve">✔ 弁護士に確認したいこと</w:t>
      </w:r>
    </w:p>
    <w:p>
      <w:pPr>
        <w:pStyle w:val="ListParagraph"/>
        <w:numPr>
          <w:ilvl w:val="0"/>
          <w:numId w:val="3"/>
        </w:numPr>
      </w:pPr>
      <w:r>
        <w:t xml:space="preserve">上流クラウド障害を自社 SLA から除外する条項の標準文面。</w:t>
      </w:r>
    </w:p>
    <w:p>
      <w:pPr>
        <w:pStyle w:val="ListParagraph"/>
        <w:numPr>
          <w:ilvl w:val="0"/>
          <w:numId w:val="3"/>
        </w:numPr>
      </w:pPr>
      <w:r>
        <w:t xml:space="preserve">補償上限 (月額の 10% / 30% / 100%) の業界相場と妥当性。</w:t>
      </w:r>
    </w:p>
    <w:p>
      <w:pPr>
        <w:pStyle w:val="ListParagraph"/>
        <w:numPr>
          <w:ilvl w:val="0"/>
          <w:numId w:val="3"/>
        </w:numPr>
      </w:pPr>
      <w:r>
        <w:t xml:space="preserve">SLA 違反時の解除権・違約金の設定可否。</w:t>
      </w:r>
    </w:p>
    <w:p>
      <w:pPr>
        <w:pStyle w:val="ListParagraph"/>
        <w:numPr>
          <w:ilvl w:val="0"/>
          <w:numId w:val="3"/>
        </w:numPr>
      </w:pPr>
      <w:r>
        <w:t xml:space="preserve">プラン階層別に SLA を分ける場合の留意点。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4. プライバシーマーク取得準備</w:t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関連: Issue #58</w:t>
      </w:r>
    </w:p>
    <w:p>
      <w:r>
        <w:t xml:space="preserve">3〜6 ヶ月以内に Pマーク取得を計画。JIS Q 15001 ベースの規程整備に弁護士監修が必要。</w:t>
      </w:r>
    </w:p>
    <w:p>
      <w:pPr>
        <w:spacing w:after="80" w:before="120"/>
      </w:pPr>
      <w:r>
        <w:rPr>
          <w:b/>
          <w:bCs/>
        </w:rPr>
        <w:t xml:space="preserve">現状 / 該当する素材</w:t>
      </w:r>
    </w:p>
    <w:p>
      <w:pPr>
        <w:pStyle w:val="ListParagraph"/>
        <w:numPr>
          <w:ilvl w:val="0"/>
          <w:numId w:val="2"/>
        </w:numPr>
      </w:pPr>
      <w:r>
        <w:t xml:space="preserve">個人情報保護管理者・監査責任者の任命</w:t>
      </w:r>
    </w:p>
    <w:p>
      <w:pPr>
        <w:pStyle w:val="ListParagraph"/>
        <w:numPr>
          <w:ilvl w:val="0"/>
          <w:numId w:val="2"/>
        </w:numPr>
      </w:pPr>
      <w:r>
        <w:t xml:space="preserve">個人情報保護方針 / 取扱規程 / 委託先管理規程</w:t>
      </w:r>
    </w:p>
    <w:p>
      <w:pPr>
        <w:pStyle w:val="ListParagraph"/>
        <w:numPr>
          <w:ilvl w:val="0"/>
          <w:numId w:val="2"/>
        </w:numPr>
      </w:pPr>
      <w:r>
        <w:t xml:space="preserve">委託先 = Vercel / Supabase / Neon (海外 SaaS 中心)</w:t>
      </w:r>
    </w:p>
    <w:p>
      <w:pPr>
        <w:pStyle w:val="ListParagraph"/>
        <w:numPr>
          <w:ilvl w:val="0"/>
          <w:numId w:val="2"/>
        </w:numPr>
      </w:pPr>
      <w:r>
        <w:t xml:space="preserve">コンサル費目安 ¥300,000-500,000、申請・審査 ¥200,000-300,000</w:t>
      </w:r>
    </w:p>
    <w:p>
      <w:pPr>
        <w:spacing w:after="80" w:before="160"/>
      </w:pPr>
      <w:r>
        <w:rPr>
          <w:b/>
          <w:bCs/>
          <w:color w:val="B83227"/>
        </w:rPr>
        <w:t xml:space="preserve">✔ 弁護士に確認したいこと</w:t>
      </w:r>
    </w:p>
    <w:p>
      <w:pPr>
        <w:pStyle w:val="ListParagraph"/>
        <w:numPr>
          <w:ilvl w:val="0"/>
          <w:numId w:val="3"/>
        </w:numPr>
      </w:pPr>
      <w:r>
        <w:t xml:space="preserve">弁護士 + Pマークコンサルの並走の必要性 (重複費用の回避)。</w:t>
      </w:r>
    </w:p>
    <w:p>
      <w:pPr>
        <w:pStyle w:val="ListParagraph"/>
        <w:numPr>
          <w:ilvl w:val="0"/>
          <w:numId w:val="3"/>
        </w:numPr>
      </w:pPr>
      <w:r>
        <w:t xml:space="preserve">海外 SaaS への委託で、SOC 2 報告書を以て委託先管理が成立するか。</w:t>
      </w:r>
    </w:p>
    <w:p>
      <w:pPr>
        <w:pStyle w:val="ListParagraph"/>
        <w:numPr>
          <w:ilvl w:val="0"/>
          <w:numId w:val="3"/>
        </w:numPr>
      </w:pPr>
      <w:r>
        <w:t xml:space="preserve">インシデント発生時の報告ライン (顧客 / 個人情報保護委員会 / JIPDEC) の整理。</w:t>
      </w:r>
    </w:p>
    <w:p>
      <w:pPr>
        <w:pStyle w:val="ListParagraph"/>
        <w:numPr>
          <w:ilvl w:val="0"/>
          <w:numId w:val="3"/>
        </w:numPr>
      </w:pPr>
      <w:r>
        <w:t xml:space="preserve">取得前にも顧客契約を結べるよう、暫定的に必要な体制整備。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5. BCP / DR・障害免責</w:t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関連: Issue #65, Issue #24</w:t>
      </w:r>
    </w:p>
    <w:p>
      <w:r>
        <w:t xml:space="preserve">BCP 文書化はエンタープライズ顧客の要件。同時に契約書側でも force majeure / 障害免責の文面整備が必要。</w:t>
      </w:r>
    </w:p>
    <w:p>
      <w:pPr>
        <w:spacing w:after="80" w:before="120"/>
      </w:pPr>
      <w:r>
        <w:rPr>
          <w:b/>
          <w:bCs/>
        </w:rPr>
        <w:t xml:space="preserve">現状 / 該当する素材</w:t>
      </w:r>
    </w:p>
    <w:p>
      <w:pPr>
        <w:pStyle w:val="ListParagraph"/>
        <w:numPr>
          <w:ilvl w:val="0"/>
          <w:numId w:val="2"/>
        </w:numPr>
      </w:pPr>
      <w:r>
        <w:t xml:space="preserve">RTO 目標: 4 時間 (エンタープライズ) / 24 時間 (SMB)</w:t>
      </w:r>
    </w:p>
    <w:p>
      <w:pPr>
        <w:pStyle w:val="ListParagraph"/>
        <w:numPr>
          <w:ilvl w:val="0"/>
          <w:numId w:val="2"/>
        </w:numPr>
      </w:pPr>
      <w:r>
        <w:t xml:space="preserve">RPO 目標: 1 時間 / 24 時間</w:t>
      </w:r>
    </w:p>
    <w:p>
      <w:pPr>
        <w:pStyle w:val="ListParagraph"/>
        <w:numPr>
          <w:ilvl w:val="0"/>
          <w:numId w:val="2"/>
        </w:numPr>
      </w:pPr>
      <w:r>
        <w:t xml:space="preserve">リスク: 地震・サイバー攻撃・主要 SaaS 障害</w:t>
      </w:r>
    </w:p>
    <w:p>
      <w:pPr>
        <w:spacing w:after="80" w:before="160"/>
      </w:pPr>
      <w:r>
        <w:rPr>
          <w:b/>
          <w:bCs/>
          <w:color w:val="B83227"/>
        </w:rPr>
        <w:t xml:space="preserve">✔ 弁護士に確認したいこと</w:t>
      </w:r>
    </w:p>
    <w:p>
      <w:pPr>
        <w:pStyle w:val="ListParagraph"/>
        <w:numPr>
          <w:ilvl w:val="0"/>
          <w:numId w:val="3"/>
        </w:numPr>
      </w:pPr>
      <w:r>
        <w:t xml:space="preserve">不可抗力 (force majeure) 条項に「上流クラウド SaaS の長時間障害」を含めて良いか。</w:t>
      </w:r>
    </w:p>
    <w:p>
      <w:pPr>
        <w:pStyle w:val="ListParagraph"/>
        <w:numPr>
          <w:ilvl w:val="0"/>
          <w:numId w:val="3"/>
        </w:numPr>
      </w:pPr>
      <w:r>
        <w:t xml:space="preserve">バックアップ未取得期間中に発生した損失の責任分界。</w:t>
      </w:r>
    </w:p>
    <w:p>
      <w:pPr>
        <w:pStyle w:val="ListParagraph"/>
        <w:numPr>
          <w:ilvl w:val="0"/>
          <w:numId w:val="3"/>
        </w:numPr>
      </w:pPr>
      <w:r>
        <w:t xml:space="preserve">RTO/RPO を契約書に明記すべきか、別紙にすべきか。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6. 課金 / Stripe / インボイス制度</w:t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関連: Issue #16</w:t>
      </w:r>
    </w:p>
    <w:p>
      <w:r>
        <w:t xml:space="preserve">個人事業 (現状) から開始するため、課税事業者登録 / 適格請求書発行事業者登録 / Stripe 規約との整合が論点。</w:t>
      </w:r>
    </w:p>
    <w:p>
      <w:pPr>
        <w:spacing w:after="80" w:before="120"/>
      </w:pPr>
      <w:r>
        <w:rPr>
          <w:b/>
          <w:bCs/>
        </w:rPr>
        <w:t xml:space="preserve">現状 / 該当する素材</w:t>
      </w:r>
    </w:p>
    <w:p>
      <w:pPr>
        <w:pStyle w:val="ListParagraph"/>
        <w:numPr>
          <w:ilvl w:val="0"/>
          <w:numId w:val="2"/>
        </w:numPr>
      </w:pPr>
      <w:r>
        <w:t xml:space="preserve">想定プラン: Starter Base ¥8,000/月、Per-User ¥3,500/月、AI ¥5,000/月、初期費用 ¥100k–¥150k</w:t>
      </w:r>
    </w:p>
    <w:p>
      <w:pPr>
        <w:pStyle w:val="ListParagraph"/>
        <w:numPr>
          <w:ilvl w:val="0"/>
          <w:numId w:val="2"/>
        </w:numPr>
      </w:pPr>
      <w:r>
        <w:t xml:space="preserve">Stripe Checkout + Customer Portal で実装予定</w:t>
      </w:r>
    </w:p>
    <w:p>
      <w:pPr>
        <w:pStyle w:val="ListParagraph"/>
        <w:numPr>
          <w:ilvl w:val="0"/>
          <w:numId w:val="2"/>
        </w:numPr>
      </w:pPr>
      <w:r>
        <w:t xml:space="preserve">解約・プラン変更時の日割り / 返金ポリシー未確定</w:t>
      </w:r>
    </w:p>
    <w:p>
      <w:pPr>
        <w:spacing w:after="80" w:before="160"/>
      </w:pPr>
      <w:r>
        <w:rPr>
          <w:b/>
          <w:bCs/>
          <w:color w:val="B83227"/>
        </w:rPr>
        <w:t xml:space="preserve">✔ 弁護士に確認したいこと</w:t>
      </w:r>
    </w:p>
    <w:p>
      <w:pPr>
        <w:pStyle w:val="ListParagraph"/>
        <w:numPr>
          <w:ilvl w:val="0"/>
          <w:numId w:val="3"/>
        </w:numPr>
      </w:pPr>
      <w:r>
        <w:t xml:space="preserve">個人事業の状態で B2B サブスク販売を開始する場合の契約名義・領収書発行のあり方。</w:t>
      </w:r>
    </w:p>
    <w:p>
      <w:pPr>
        <w:pStyle w:val="ListParagraph"/>
        <w:numPr>
          <w:ilvl w:val="0"/>
          <w:numId w:val="3"/>
        </w:numPr>
      </w:pPr>
      <w:r>
        <w:t xml:space="preserve">適格請求書発行事業者登録のタイミング (売上見込みとの兼ね合い)。</w:t>
      </w:r>
    </w:p>
    <w:p>
      <w:pPr>
        <w:pStyle w:val="ListParagraph"/>
        <w:numPr>
          <w:ilvl w:val="0"/>
          <w:numId w:val="3"/>
        </w:numPr>
      </w:pPr>
      <w:r>
        <w:t xml:space="preserve">Stripe 利用規約と自社契約書の重複・矛盾チェック (二重提示の方法)。</w:t>
      </w:r>
    </w:p>
    <w:p>
      <w:pPr>
        <w:pStyle w:val="ListParagraph"/>
        <w:numPr>
          <w:ilvl w:val="0"/>
          <w:numId w:val="3"/>
        </w:numPr>
      </w:pPr>
      <w:r>
        <w:t xml:space="preserve">解約時の即時停止 / 期間末停止のどちらを基本にすべきか。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7. AI 機能 (LLM 外部送信) の責任分界</w:t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関連: Issue #67 + AI 設定</w:t>
      </w:r>
    </w:p>
    <w:p>
      <w:r>
        <w:t xml:space="preserve">顧客の取引先・商談データを Groq / Gemini / Anthropic に送信する。同意取得・責任範囲を明示する必要。</w:t>
      </w:r>
    </w:p>
    <w:p>
      <w:pPr>
        <w:spacing w:after="80" w:before="120"/>
      </w:pPr>
      <w:r>
        <w:rPr>
          <w:b/>
          <w:bCs/>
        </w:rPr>
        <w:t xml:space="preserve">現状 / 該当する素材</w:t>
      </w:r>
    </w:p>
    <w:p>
      <w:pPr>
        <w:pStyle w:val="ListParagraph"/>
        <w:numPr>
          <w:ilvl w:val="0"/>
          <w:numId w:val="2"/>
        </w:numPr>
      </w:pPr>
      <w:r>
        <w:t xml:space="preserve">対象機能: 商談まとめ、物件まとめ</w:t>
      </w:r>
    </w:p>
    <w:p>
      <w:pPr>
        <w:pStyle w:val="ListParagraph"/>
        <w:numPr>
          <w:ilvl w:val="0"/>
          <w:numId w:val="2"/>
        </w:numPr>
      </w:pPr>
      <w:r>
        <w:t xml:space="preserve">プロバイダ選択: 管理者が /admin/ai で切替可能</w:t>
      </w:r>
    </w:p>
    <w:p>
      <w:pPr>
        <w:pStyle w:val="ListParagraph"/>
        <w:numPr>
          <w:ilvl w:val="0"/>
          <w:numId w:val="2"/>
        </w:numPr>
      </w:pPr>
      <w:r>
        <w:t xml:space="preserve">AI 機能はライセンスで ON/OFF (テナント単位)</w:t>
      </w:r>
    </w:p>
    <w:p>
      <w:pPr>
        <w:spacing w:after="80" w:before="160"/>
      </w:pPr>
      <w:r>
        <w:rPr>
          <w:b/>
          <w:bCs/>
          <w:color w:val="B83227"/>
        </w:rPr>
        <w:t xml:space="preserve">✔ 弁護士に確認したいこと</w:t>
      </w:r>
    </w:p>
    <w:p>
      <w:pPr>
        <w:pStyle w:val="ListParagraph"/>
        <w:numPr>
          <w:ilvl w:val="0"/>
          <w:numId w:val="3"/>
        </w:numPr>
      </w:pPr>
      <w:r>
        <w:t xml:space="preserve">個人情報を含む文章を外部 LLM に送る同意取得の最低要件 (利用規約 / PP / 個別同意のいずれか)。</w:t>
      </w:r>
    </w:p>
    <w:p>
      <w:pPr>
        <w:pStyle w:val="ListParagraph"/>
        <w:numPr>
          <w:ilvl w:val="0"/>
          <w:numId w:val="3"/>
        </w:numPr>
      </w:pPr>
      <w:r>
        <w:t xml:space="preserve">LLM の出力 (誤り・幻覚) で顧客が損害を被った場合の責任分界条項。</w:t>
      </w:r>
    </w:p>
    <w:p>
      <w:pPr>
        <w:pStyle w:val="ListParagraph"/>
        <w:numPr>
          <w:ilvl w:val="0"/>
          <w:numId w:val="3"/>
        </w:numPr>
      </w:pPr>
      <w:r>
        <w:t xml:space="preserve">顧客が「AI 機能だけオプトアウトしたい」という要望に応える義務の有無。</w:t>
      </w:r>
    </w:p>
    <w:p>
      <w:pPr>
        <w:pStyle w:val="ListParagraph"/>
        <w:numPr>
          <w:ilvl w:val="0"/>
          <w:numId w:val="3"/>
        </w:numPr>
      </w:pPr>
      <w:r>
        <w:t xml:space="preserve">プロバイダのデータ利用ポリシー差 (Anthropic は学習しない / Groq の扱い) を契約書に反映する必要性。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8. LINE 連携時の取扱い</w:t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関連: Issue #68</w:t>
      </w:r>
    </w:p>
    <w:p>
      <w:r>
        <w:t xml:space="preserve">LINE 公式アカウント連携で取引先・顧客の LINE メッセージを Bract に保存する機能を計画中。</w:t>
      </w:r>
    </w:p>
    <w:p>
      <w:pPr>
        <w:spacing w:after="80" w:before="120"/>
      </w:pPr>
      <w:r>
        <w:rPr>
          <w:b/>
          <w:bCs/>
        </w:rPr>
        <w:t xml:space="preserve">現状 / 該当する素材</w:t>
      </w:r>
    </w:p>
    <w:p>
      <w:pPr>
        <w:pStyle w:val="ListParagraph"/>
        <w:numPr>
          <w:ilvl w:val="0"/>
          <w:numId w:val="2"/>
        </w:numPr>
      </w:pPr>
      <w:r>
        <w:t xml:space="preserve">Messaging API 経由でメッセージ受信 → 活動履歴化</w:t>
      </w:r>
    </w:p>
    <w:p>
      <w:pPr>
        <w:pStyle w:val="ListParagraph"/>
        <w:numPr>
          <w:ilvl w:val="0"/>
          <w:numId w:val="2"/>
        </w:numPr>
      </w:pPr>
      <w:r>
        <w:t xml:space="preserve">送信側機能 / テンプレ機能も同時実装予定</w:t>
      </w:r>
    </w:p>
    <w:p>
      <w:pPr>
        <w:pStyle w:val="ListParagraph"/>
        <w:numPr>
          <w:ilvl w:val="0"/>
          <w:numId w:val="2"/>
        </w:numPr>
      </w:pPr>
      <w:r>
        <w:t xml:space="preserve">LINE 公式アカウント運用規約と Bract 利用規約の整合性</w:t>
      </w:r>
    </w:p>
    <w:p>
      <w:pPr>
        <w:spacing w:after="80" w:before="160"/>
      </w:pPr>
      <w:r>
        <w:rPr>
          <w:b/>
          <w:bCs/>
          <w:color w:val="B83227"/>
        </w:rPr>
        <w:t xml:space="preserve">✔ 弁護士に確認したいこと</w:t>
      </w:r>
    </w:p>
    <w:p>
      <w:pPr>
        <w:pStyle w:val="ListParagraph"/>
        <w:numPr>
          <w:ilvl w:val="0"/>
          <w:numId w:val="3"/>
        </w:numPr>
      </w:pPr>
      <w:r>
        <w:t xml:space="preserve">通信内容を保存することを LINE 友だち追加時に明示する必要性 / 文言。</w:t>
      </w:r>
    </w:p>
    <w:p>
      <w:pPr>
        <w:pStyle w:val="ListParagraph"/>
        <w:numPr>
          <w:ilvl w:val="0"/>
          <w:numId w:val="3"/>
        </w:numPr>
      </w:pPr>
      <w:r>
        <w:t xml:space="preserve">LINE 規約と自社 PP の整合チェックの観点。</w:t>
      </w:r>
    </w:p>
    <w:p>
      <w:pPr>
        <w:pStyle w:val="ListParagraph"/>
        <w:numPr>
          <w:ilvl w:val="0"/>
          <w:numId w:val="3"/>
        </w:numPr>
      </w:pPr>
      <w:r>
        <w:t xml:space="preserve">LINE 友だち削除時のデータ取扱い (一括削除義務の有無)。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当日の進め方の希望</w:t>
      </w:r>
    </w:p>
    <w:p>
      <w:pPr>
        <w:pStyle w:val="ListParagraph"/>
        <w:numPr>
          <w:ilvl w:val="0"/>
          <w:numId w:val="4"/>
        </w:numPr>
      </w:pPr>
      <w:r>
        <w:t xml:space="preserve">上記 1 (法務文書 7 種) のレビューを最優先で見積もり依頼。</w:t>
      </w:r>
    </w:p>
    <w:p>
      <w:pPr>
        <w:pStyle w:val="ListParagraph"/>
        <w:numPr>
          <w:ilvl w:val="0"/>
          <w:numId w:val="4"/>
        </w:numPr>
      </w:pPr>
      <w:r>
        <w:t xml:space="preserve">2〜8 のうち、レビューと一括で見られるトピックの仕分け。</w:t>
      </w:r>
    </w:p>
    <w:p>
      <w:pPr>
        <w:pStyle w:val="ListParagraph"/>
        <w:numPr>
          <w:ilvl w:val="0"/>
          <w:numId w:val="4"/>
        </w:numPr>
      </w:pPr>
      <w:r>
        <w:t xml:space="preserve">顧問契約 (月額) と単発レビュー (着手金) のどちらが妥当かの相談。</w:t>
      </w:r>
    </w:p>
    <w:p>
      <w:pPr>
        <w:pStyle w:val="ListParagraph"/>
        <w:numPr>
          <w:ilvl w:val="0"/>
          <w:numId w:val="4"/>
        </w:numPr>
      </w:pPr>
      <w:r>
        <w:t xml:space="preserve">インボイス事業者登録のタイミングのアドバイス。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</w:rPr>
      <w:t xml:space="preserve">—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  <w:r>
      <w:rPr>
        <w:color w:val="888888"/>
      </w:rPr>
      <w:t xml:space="preserve"> / </w:t>
    </w:r>
    <w:r>
      <w:rPr>
        <w:color w:val="88888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Bract CRM / 弁護士相談チェックリスト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Yu Gothic" w:cs="Yu Gothic" w:eastAsia="Yu Gothic" w:hAnsi="Yu Gothic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Bract CRM 弁護士相談チェックリスト</dc:title>
  <dc:creator>Bract CRM</dc:creator>
  <cp:lastModifiedBy>Un-named</cp:lastModifiedBy>
  <cp:revision>1</cp:revision>
  <dcterms:created xsi:type="dcterms:W3CDTF">2026-06-02T13:41:42.399Z</dcterms:created>
  <dcterms:modified xsi:type="dcterms:W3CDTF">2026-06-02T13:41:42.401Z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