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Relatório de Saúde Financeira</w:t>
      </w:r>
    </w:p>
    <w:p>
      <w:pPr>
        <w:jc w:val="center"/>
      </w:pPr>
      <w:r>
        <w:rPr>
          <w:color w:val="595959"/>
          <w:sz w:val="20"/>
        </w:rPr>
        <w:t>Usuário de Exemplo — Emitido em 01/07/2026</w:t>
      </w:r>
    </w:p>
    <w:p>
      <w:pPr>
        <w:pStyle w:val="Heading1"/>
      </w:pPr>
      <w:r>
        <w:rPr>
          <w:color w:val="1F4E79"/>
        </w:rPr>
        <w:t>1. Resumo executivo</w:t>
      </w:r>
    </w:p>
    <w:p>
      <w:r>
        <w:rPr>
          <w:b/>
        </w:rPr>
        <w:t xml:space="preserve">Situação: Atenção. </w:t>
      </w:r>
      <w:r>
        <w:t xml:space="preserve">As parcelas já pesam; margem de manobra pequena. </w:t>
      </w:r>
      <w:r>
        <w:t>O comprometimento de renda com parcelas é de 39,00%, e o fluxo de caixa mensal é de R$ 50,00.</w:t>
      </w:r>
    </w:p>
    <w:p>
      <w:pPr>
        <w:pStyle w:val="Heading1"/>
      </w:pPr>
      <w:r>
        <w:rPr>
          <w:color w:val="1F4E79"/>
        </w:rPr>
        <w:t>2. Diagnóstico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Renda líquida mensal</w:t>
            </w:r>
          </w:p>
        </w:tc>
        <w:tc>
          <w:tcPr>
            <w:tcW w:type="dxa" w:w="4320"/>
          </w:tcPr>
          <w:p>
            <w:r>
              <w:t>R$ 5.000,00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Despesas totais</w:t>
            </w:r>
          </w:p>
        </w:tc>
        <w:tc>
          <w:tcPr>
            <w:tcW w:type="dxa" w:w="4320"/>
          </w:tcPr>
          <w:p>
            <w:r>
              <w:t>R$ 3.000,00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 parcelas/mês</w:t>
            </w:r>
          </w:p>
        </w:tc>
        <w:tc>
          <w:tcPr>
            <w:tcW w:type="dxa" w:w="4320"/>
          </w:tcPr>
          <w:p>
            <w:r>
              <w:t>R$ 1.950,00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de caixa (sobra/mês)</w:t>
            </w:r>
          </w:p>
        </w:tc>
        <w:tc>
          <w:tcPr>
            <w:tcW w:type="dxa" w:w="4320"/>
          </w:tcPr>
          <w:p>
            <w:r>
              <w:t>R$ 50,00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Saldo devedor total</w:t>
            </w:r>
          </w:p>
        </w:tc>
        <w:tc>
          <w:tcPr>
            <w:tcW w:type="dxa" w:w="4320"/>
          </w:tcPr>
          <w:p>
            <w:r>
              <w:t>R$ 34.000,00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Juros futuros embutidos</w:t>
            </w:r>
          </w:p>
        </w:tc>
        <w:tc>
          <w:tcPr>
            <w:tcW w:type="dxa" w:w="4320"/>
          </w:tcPr>
          <w:p>
            <w:r>
              <w:t>R$ 9.000,00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Comprometimento de renda</w:t>
            </w:r>
          </w:p>
        </w:tc>
        <w:tc>
          <w:tcPr>
            <w:tcW w:type="dxa" w:w="4320"/>
          </w:tcPr>
          <w:p>
            <w:r>
              <w:t>39,00%</w:t>
            </w:r>
          </w:p>
        </w:tc>
      </w:tr>
    </w:tbl>
    <w:p>
      <w:pPr>
        <w:pStyle w:val="Heading1"/>
      </w:pPr>
      <w:r>
        <w:rPr>
          <w:color w:val="1F4E79"/>
        </w:rPr>
        <w:t>3. Suas dívidas, da mais cara para a mais barata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Credor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Taxa a.m.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Parcela</w:t>
            </w:r>
          </w:p>
        </w:tc>
      </w:tr>
      <w:tr>
        <w:tc>
          <w:tcPr>
            <w:tcW w:type="dxa" w:w="1728"/>
          </w:tcPr>
          <w:p>
            <w:r>
              <w:t>Cartão Banco A</w:t>
            </w:r>
          </w:p>
        </w:tc>
        <w:tc>
          <w:tcPr>
            <w:tcW w:type="dxa" w:w="1728"/>
          </w:tcPr>
          <w:p>
            <w:r>
              <w:t>Cartão de crédito</w:t>
            </w:r>
          </w:p>
        </w:tc>
        <w:tc>
          <w:tcPr>
            <w:tcW w:type="dxa" w:w="1728"/>
          </w:tcPr>
          <w:p>
            <w:r>
              <w:t>R$ 8.000,00</w:t>
            </w:r>
          </w:p>
        </w:tc>
        <w:tc>
          <w:tcPr>
            <w:tcW w:type="dxa" w:w="1728"/>
          </w:tcPr>
          <w:p>
            <w:r>
              <w:t>12,00%</w:t>
            </w:r>
          </w:p>
        </w:tc>
        <w:tc>
          <w:tcPr>
            <w:tcW w:type="dxa" w:w="1728"/>
          </w:tcPr>
          <w:p>
            <w:r>
              <w:t>R$ 900,00</w:t>
            </w:r>
          </w:p>
        </w:tc>
      </w:tr>
      <w:tr>
        <w:tc>
          <w:tcPr>
            <w:tcW w:type="dxa" w:w="1728"/>
          </w:tcPr>
          <w:p>
            <w:r>
              <w:t>CDC Veículo</w:t>
            </w:r>
          </w:p>
        </w:tc>
        <w:tc>
          <w:tcPr>
            <w:tcW w:type="dxa" w:w="1728"/>
          </w:tcPr>
          <w:p>
            <w:r>
              <w:t>CDC (Crédito Direto ao Consumidor)</w:t>
            </w:r>
          </w:p>
        </w:tc>
        <w:tc>
          <w:tcPr>
            <w:tcW w:type="dxa" w:w="1728"/>
          </w:tcPr>
          <w:p>
            <w:r>
              <w:t>R$ 20.000,00</w:t>
            </w:r>
          </w:p>
        </w:tc>
        <w:tc>
          <w:tcPr>
            <w:tcW w:type="dxa" w:w="1728"/>
          </w:tcPr>
          <w:p>
            <w:r>
              <w:t>2,50%</w:t>
            </w:r>
          </w:p>
        </w:tc>
        <w:tc>
          <w:tcPr>
            <w:tcW w:type="dxa" w:w="1728"/>
          </w:tcPr>
          <w:p>
            <w:r>
              <w:t>R$ 700,00</w:t>
            </w:r>
          </w:p>
        </w:tc>
      </w:tr>
      <w:tr>
        <w:tc>
          <w:tcPr>
            <w:tcW w:type="dxa" w:w="1728"/>
          </w:tcPr>
          <w:p>
            <w:r>
              <w:t>Consignado Servidor</w:t>
            </w:r>
          </w:p>
        </w:tc>
        <w:tc>
          <w:tcPr>
            <w:tcW w:type="dxa" w:w="1728"/>
          </w:tcPr>
          <w:p>
            <w:r>
              <w:t>Consignado</w:t>
            </w:r>
          </w:p>
        </w:tc>
        <w:tc>
          <w:tcPr>
            <w:tcW w:type="dxa" w:w="1728"/>
          </w:tcPr>
          <w:p>
            <w:r>
              <w:t>R$ 6.000,00</w:t>
            </w:r>
          </w:p>
        </w:tc>
        <w:tc>
          <w:tcPr>
            <w:tcW w:type="dxa" w:w="1728"/>
          </w:tcPr>
          <w:p>
            <w:r>
              <w:t>1,80%</w:t>
            </w:r>
          </w:p>
        </w:tc>
        <w:tc>
          <w:tcPr>
            <w:tcW w:type="dxa" w:w="1728"/>
          </w:tcPr>
          <w:p>
            <w:r>
              <w:t>R$ 350,00</w:t>
            </w:r>
          </w:p>
        </w:tc>
      </w:tr>
    </w:tbl>
    <w:p>
      <w:pPr>
        <w:pStyle w:val="Heading1"/>
      </w:pPr>
      <w:r>
        <w:rPr>
          <w:color w:val="1F4E79"/>
        </w:rPr>
        <w:t>4. Estratégia de quitação</w:t>
      </w:r>
    </w:p>
    <w:p>
      <w:r>
        <w:t>Considerando um pagamento extra de R$ 500,00 por mês além das parcelas mínimas, comparamos os dois métodos clássicos:</w:t>
      </w:r>
    </w:p>
    <w:p>
      <w:pPr>
        <w:pStyle w:val="ListBullet"/>
      </w:pPr>
      <w:r>
        <w:rPr>
          <w:b/>
        </w:rPr>
        <w:t xml:space="preserve">Avalanche (ataca o maior juro): </w:t>
      </w:r>
      <w:r>
        <w:t>quita em 28 meses, pagando R$ 16.659,33 em juros. Matematicamente é o caminho mais barato.</w:t>
      </w:r>
    </w:p>
    <w:p>
      <w:pPr>
        <w:pStyle w:val="ListBullet"/>
      </w:pPr>
      <w:r>
        <w:rPr>
          <w:b/>
        </w:rPr>
        <w:t xml:space="preserve">Bola de neve (ataca o menor saldo): </w:t>
      </w:r>
      <w:r>
        <w:t>quita em 34 meses, pagando R$ 27.398,34 em juros. Custa um pouco mais, mas entrega vitórias rápidas que ajudam a manter a disciplina.</w:t>
      </w:r>
    </w:p>
    <w:p>
      <w:r>
        <w:t>Recomendação: a avalanche economiza R$ 10.739,01 em juros. Prefira-a, a menos que você precise do impulso psicológico das quitações rápidas da bola de neve.</w:t>
      </w:r>
    </w:p>
    <w:p>
      <w:pPr>
        <w:pStyle w:val="Heading1"/>
      </w:pPr>
      <w:r>
        <w:rPr>
          <w:color w:val="1F4E79"/>
        </w:rPr>
        <w:t>5. Oportunidades de portabilidade</w:t>
      </w:r>
    </w:p>
    <w:p>
      <w:r>
        <w:t>Migrando as dívidas caras para uma taxa de 1,80% a.m., a economia estimada seria: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Credor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Economia mensal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Economia total</w:t>
            </w:r>
          </w:p>
        </w:tc>
      </w:tr>
      <w:tr>
        <w:tc>
          <w:tcPr>
            <w:tcW w:type="dxa" w:w="2880"/>
          </w:tcPr>
          <w:p>
            <w:r>
              <w:t>Cartão Banco A</w:t>
            </w:r>
          </w:p>
        </w:tc>
        <w:tc>
          <w:tcPr>
            <w:tcW w:type="dxa" w:w="2880"/>
          </w:tcPr>
          <w:p>
            <w:r>
              <w:t>R$ 544,28</w:t>
            </w:r>
          </w:p>
        </w:tc>
        <w:tc>
          <w:tcPr>
            <w:tcW w:type="dxa" w:w="2880"/>
          </w:tcPr>
          <w:p>
            <w:r>
              <w:t>R$ 6.531,34</w:t>
            </w:r>
          </w:p>
        </w:tc>
      </w:tr>
      <w:tr>
        <w:tc>
          <w:tcPr>
            <w:tcW w:type="dxa" w:w="2880"/>
          </w:tcPr>
          <w:p>
            <w:r>
              <w:t>CDC Veículo</w:t>
            </w:r>
          </w:p>
        </w:tc>
        <w:tc>
          <w:tcPr>
            <w:tcW w:type="dxa" w:w="2880"/>
          </w:tcPr>
          <w:p>
            <w:r>
              <w:t>R$ 89,35</w:t>
            </w:r>
          </w:p>
        </w:tc>
        <w:tc>
          <w:tcPr>
            <w:tcW w:type="dxa" w:w="2880"/>
          </w:tcPr>
          <w:p>
            <w:r>
              <w:t>R$ 3.216,78</w:t>
            </w:r>
          </w:p>
        </w:tc>
      </w:tr>
    </w:tbl>
    <w:p>
      <w:pPr>
        <w:pStyle w:val="Heading1"/>
      </w:pPr>
      <w:r>
        <w:rPr>
          <w:color w:val="1F4E79"/>
        </w:rPr>
        <w:t>6. Recomendações</w:t>
      </w:r>
    </w:p>
    <w:p>
      <w:pPr>
        <w:pStyle w:val="ListBullet"/>
      </w:pPr>
      <w:r>
        <w:t>O comprometimento de renda está em 39% (atenção). Evite contrair novas dívidas e concentre esforços em quitar as caras.</w:t>
      </w:r>
    </w:p>
    <w:p>
      <w:pPr>
        <w:pStyle w:val="ListBullet"/>
      </w:pPr>
      <w:r>
        <w:t>A dívida mais cara é 'Cartão Banco A' (12.0% a.m.). Dívidas acima de ~4% a.m. (típico de cartão rotativo e cheque especial) devem ser o primeiro alvo.</w:t>
      </w:r>
    </w:p>
    <w:p>
      <w:pPr>
        <w:pStyle w:val="ListBullet"/>
      </w:pPr>
      <w:r>
        <w:t>Você não tem reserva de emergência. Após controlar as dívidas caras, montar uma reserva evita recorrer a crédito caro no próximo imprevisto.</w:t>
      </w:r>
    </w:p>
    <w:p>
      <w:pPr>
        <w:pStyle w:val="Heading1"/>
      </w:pPr>
      <w:r>
        <w:rPr>
          <w:color w:val="1F4E79"/>
        </w:rPr>
        <w:t>7. Próximos passos</w:t>
      </w:r>
    </w:p>
    <w:p>
      <w:pPr>
        <w:pStyle w:val="ListNumber"/>
      </w:pPr>
      <w:r>
        <w:t>Solicite a cada credor o saldo devedor atualizado, por escrito.</w:t>
      </w:r>
    </w:p>
    <w:p>
      <w:pPr>
        <w:pStyle w:val="ListNumber"/>
      </w:pPr>
      <w:r>
        <w:t>Simule a portabilidade nos concorrentes e use as propostas como alavanca.</w:t>
      </w:r>
    </w:p>
    <w:p>
      <w:pPr>
        <w:pStyle w:val="ListNumber"/>
      </w:pPr>
      <w:r>
        <w:t>Negocie primeiro as dívidas mais caras (maior taxa/CET).</w:t>
      </w:r>
    </w:p>
    <w:p>
      <w:pPr>
        <w:pStyle w:val="ListNumber"/>
      </w:pPr>
      <w:r>
        <w:t>Registre todo acordo por escrito (protocolo ou Consumidor.gov.br).</w:t>
      </w:r>
    </w:p>
    <w:p/>
    <w:p>
      <w:r>
        <w:rPr>
          <w:i/>
          <w:color w:val="595959"/>
          <w:sz w:val="18"/>
        </w:rPr>
        <w:t>Aviso: este relatório é uma ferramenta de apoio à decisão baseada nos dados informados. Não constitui aconselhamento financeiro ou de investimento personalizado. As taxas de mercado e as regras de programas de renegociação mudam; confirme os números vigentes antes de decidir.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