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86AD0" w14:textId="77777777" w:rsidR="003E074F" w:rsidRDefault="003E074F" w:rsidP="003E074F">
      <w:pPr>
        <w:pStyle w:val="a3"/>
        <w:rPr>
          <w:rFonts w:eastAsia="ＭＳ ゴシック"/>
          <w:sz w:val="26"/>
          <w:szCs w:val="21"/>
        </w:rPr>
      </w:pPr>
    </w:p>
    <w:p w14:paraId="52366DDA" w14:textId="77777777" w:rsidR="003E074F" w:rsidRDefault="003E074F" w:rsidP="003E074F">
      <w:pPr>
        <w:pStyle w:val="a3"/>
        <w:rPr>
          <w:rFonts w:eastAsia="ＭＳ ゴシック"/>
          <w:sz w:val="26"/>
          <w:szCs w:val="21"/>
        </w:rPr>
      </w:pPr>
      <w:r>
        <w:rPr>
          <w:noProof/>
          <w:szCs w:val="21"/>
        </w:rPr>
        <mc:AlternateContent>
          <mc:Choice Requires="wps">
            <w:drawing>
              <wp:anchor distT="0" distB="0" distL="114300" distR="114300" simplePos="0" relativeHeight="251659264" behindDoc="0" locked="0" layoutInCell="1" allowOverlap="1" wp14:anchorId="599A3417" wp14:editId="0BCD39CA">
                <wp:simplePos x="0" y="0"/>
                <wp:positionH relativeFrom="column">
                  <wp:posOffset>1609090</wp:posOffset>
                </wp:positionH>
                <wp:positionV relativeFrom="paragraph">
                  <wp:posOffset>-443865</wp:posOffset>
                </wp:positionV>
                <wp:extent cx="2643505" cy="295910"/>
                <wp:effectExtent l="3175" t="0" r="1270" b="1905"/>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505"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3102D" id="正方形/長方形 3" o:spid="_x0000_s1026" style="position:absolute;left:0;text-align:left;margin-left:126.7pt;margin-top:-34.95pt;width:208.15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" stroked="f"/>
            </w:pict>
          </mc:Fallback>
        </mc:AlternateContent>
      </w:r>
    </w:p>
    <w:p w14:paraId="0D211832" w14:textId="77777777" w:rsidR="003E074F" w:rsidRDefault="003E074F" w:rsidP="003E074F">
      <w:pPr>
        <w:rPr>
          <w:rFonts w:eastAsia="ＭＳ ゴシック"/>
          <w:sz w:val="26"/>
          <w:szCs w:val="26"/>
        </w:rPr>
      </w:pPr>
    </w:p>
    <w:p w14:paraId="49A9E67E" w14:textId="77777777" w:rsidR="003E074F" w:rsidRDefault="003E074F" w:rsidP="003E074F">
      <w:pPr>
        <w:rPr>
          <w:rFonts w:eastAsia="ＭＳ ゴシック"/>
          <w:sz w:val="26"/>
          <w:szCs w:val="26"/>
        </w:rPr>
      </w:pPr>
    </w:p>
    <w:p w14:paraId="15FC4FAF" w14:textId="77777777" w:rsidR="003E074F" w:rsidRDefault="003E074F" w:rsidP="003E074F">
      <w:pPr>
        <w:rPr>
          <w:rFonts w:eastAsia="ＭＳ ゴシック"/>
          <w:sz w:val="26"/>
          <w:szCs w:val="26"/>
        </w:rPr>
      </w:pPr>
    </w:p>
    <w:p w14:paraId="0B89B33C" w14:textId="77777777" w:rsidR="003E074F" w:rsidRDefault="003E074F" w:rsidP="003E074F">
      <w:pPr>
        <w:rPr>
          <w:rFonts w:eastAsia="ＭＳ ゴシック"/>
          <w:sz w:val="26"/>
          <w:szCs w:val="26"/>
        </w:rPr>
      </w:pPr>
    </w:p>
    <w:p w14:paraId="3CADC34A" w14:textId="77777777" w:rsidR="003E074F" w:rsidRDefault="003E074F" w:rsidP="003E074F">
      <w:pPr>
        <w:rPr>
          <w:rFonts w:eastAsia="ＭＳ ゴシック"/>
          <w:sz w:val="26"/>
          <w:szCs w:val="26"/>
        </w:rPr>
      </w:pPr>
    </w:p>
    <w:p w14:paraId="7129B417" w14:textId="77777777" w:rsidR="003E074F" w:rsidRDefault="003E074F" w:rsidP="003E074F">
      <w:pPr>
        <w:rPr>
          <w:rFonts w:eastAsia="ＭＳ ゴシック"/>
          <w:sz w:val="26"/>
          <w:szCs w:val="26"/>
        </w:rPr>
      </w:pPr>
    </w:p>
    <w:p w14:paraId="67EEB7C3" w14:textId="77777777" w:rsidR="003E074F" w:rsidRDefault="003E074F" w:rsidP="003E074F">
      <w:pPr>
        <w:rPr>
          <w:rFonts w:eastAsia="ＭＳ ゴシック"/>
          <w:sz w:val="26"/>
          <w:szCs w:val="26"/>
        </w:rPr>
      </w:pPr>
    </w:p>
    <w:p w14:paraId="4C0C92C6" w14:textId="77777777" w:rsidR="003E074F" w:rsidRDefault="003E074F" w:rsidP="003E074F">
      <w:pPr>
        <w:rPr>
          <w:rFonts w:eastAsia="ＭＳ ゴシック"/>
          <w:sz w:val="26"/>
          <w:szCs w:val="26"/>
        </w:rPr>
      </w:pPr>
    </w:p>
    <w:p w14:paraId="19679517" w14:textId="77777777" w:rsidR="003E074F" w:rsidRDefault="003E074F" w:rsidP="003E074F">
      <w:pPr>
        <w:rPr>
          <w:rFonts w:eastAsia="ＭＳ ゴシック"/>
          <w:sz w:val="26"/>
          <w:szCs w:val="26"/>
        </w:rPr>
      </w:pPr>
    </w:p>
    <w:p w14:paraId="35CF610F" w14:textId="77777777" w:rsidR="003E074F" w:rsidRDefault="003E074F" w:rsidP="003E074F">
      <w:pPr>
        <w:rPr>
          <w:rFonts w:eastAsia="ＭＳ ゴシック"/>
          <w:sz w:val="26"/>
          <w:szCs w:val="26"/>
        </w:rPr>
      </w:pPr>
    </w:p>
    <w:p w14:paraId="6FCB3DC9" w14:textId="77777777" w:rsidR="003E074F" w:rsidRDefault="003E074F" w:rsidP="003E074F">
      <w:pPr>
        <w:rPr>
          <w:rFonts w:eastAsia="ＭＳ ゴシック"/>
          <w:sz w:val="26"/>
          <w:szCs w:val="26"/>
        </w:rPr>
      </w:pPr>
    </w:p>
    <w:p w14:paraId="630E30D8" w14:textId="77777777" w:rsidR="003E074F" w:rsidRDefault="003E074F" w:rsidP="003E074F">
      <w:pPr>
        <w:rPr>
          <w:rFonts w:eastAsia="ＭＳ ゴシック"/>
          <w:sz w:val="26"/>
          <w:szCs w:val="26"/>
        </w:rPr>
      </w:pPr>
    </w:p>
    <w:p w14:paraId="3274ACCE" w14:textId="77777777" w:rsidR="003E074F" w:rsidRDefault="003E074F" w:rsidP="003E074F">
      <w:pPr>
        <w:rPr>
          <w:rFonts w:eastAsia="ＭＳ ゴシック"/>
          <w:sz w:val="26"/>
          <w:szCs w:val="26"/>
        </w:rPr>
      </w:pPr>
    </w:p>
    <w:p w14:paraId="4116289D" w14:textId="77777777" w:rsidR="003E074F" w:rsidRPr="00637B34" w:rsidRDefault="003E074F" w:rsidP="003E074F">
      <w:pPr>
        <w:jc w:val="right"/>
        <w:rPr>
          <w:rFonts w:ascii="HG丸ｺﾞｼｯｸM-PRO" w:eastAsia="HG丸ｺﾞｼｯｸM-PRO"/>
          <w:sz w:val="56"/>
          <w:szCs w:val="56"/>
        </w:rPr>
      </w:pPr>
      <w:r w:rsidRPr="00637B34">
        <w:rPr>
          <w:rFonts w:ascii="HG丸ｺﾞｼｯｸM-PRO" w:eastAsia="HG丸ｺﾞｼｯｸM-PRO" w:hint="eastAsia"/>
          <w:sz w:val="56"/>
          <w:szCs w:val="56"/>
        </w:rPr>
        <w:t>第</w:t>
      </w:r>
      <w:r>
        <w:rPr>
          <w:rFonts w:ascii="HG丸ｺﾞｼｯｸM-PRO" w:eastAsia="HG丸ｺﾞｼｯｸM-PRO" w:hAnsi="Arial" w:cs="Arial" w:hint="eastAsia"/>
          <w:sz w:val="56"/>
          <w:szCs w:val="56"/>
        </w:rPr>
        <w:t>2</w:t>
      </w:r>
      <w:r w:rsidRPr="00637B34">
        <w:rPr>
          <w:rFonts w:ascii="HG丸ｺﾞｼｯｸM-PRO" w:eastAsia="HG丸ｺﾞｼｯｸM-PRO" w:hint="eastAsia"/>
          <w:sz w:val="56"/>
          <w:szCs w:val="56"/>
        </w:rPr>
        <w:t>章</w:t>
      </w:r>
    </w:p>
    <w:p w14:paraId="0A20D758" w14:textId="77777777" w:rsidR="003E074F" w:rsidRPr="00637B34" w:rsidRDefault="003E074F" w:rsidP="003E074F">
      <w:pPr>
        <w:jc w:val="right"/>
        <w:rPr>
          <w:rFonts w:ascii="HG丸ｺﾞｼｯｸM-PRO" w:eastAsia="HG丸ｺﾞｼｯｸM-PRO"/>
          <w:sz w:val="56"/>
          <w:szCs w:val="56"/>
        </w:rPr>
      </w:pPr>
      <w:r>
        <w:rPr>
          <w:rFonts w:ascii="HG丸ｺﾞｼｯｸM-PRO" w:eastAsia="HG丸ｺﾞｼｯｸM-PRO" w:hAnsi="Arial" w:hint="eastAsia"/>
          <w:sz w:val="56"/>
          <w:szCs w:val="56"/>
        </w:rPr>
        <w:t>既往の研究</w:t>
      </w:r>
    </w:p>
    <w:p w14:paraId="28F20950" w14:textId="77777777" w:rsidR="003E074F" w:rsidRDefault="003E074F" w:rsidP="003E074F">
      <w:pPr>
        <w:rPr>
          <w:rFonts w:eastAsia="ＭＳ ゴシック"/>
          <w:sz w:val="26"/>
          <w:szCs w:val="26"/>
        </w:rPr>
      </w:pPr>
    </w:p>
    <w:p w14:paraId="685BFA55" w14:textId="77777777" w:rsidR="003E074F" w:rsidRDefault="003E074F" w:rsidP="003E074F">
      <w:pPr>
        <w:rPr>
          <w:rFonts w:ascii="Arial" w:eastAsia="ＭＳ ゴシック" w:hAnsi="Arial" w:cs="Arial"/>
          <w:sz w:val="26"/>
          <w:szCs w:val="26"/>
        </w:rPr>
      </w:pPr>
      <w:r>
        <w:rPr>
          <w:noProof/>
          <w:sz w:val="20"/>
        </w:rPr>
        <mc:AlternateContent>
          <mc:Choice Requires="wps">
            <w:drawing>
              <wp:anchor distT="0" distB="0" distL="114300" distR="114300" simplePos="0" relativeHeight="251661312" behindDoc="0" locked="0" layoutInCell="1" allowOverlap="1" wp14:anchorId="5B2EAF48" wp14:editId="29074023">
                <wp:simplePos x="0" y="0"/>
                <wp:positionH relativeFrom="column">
                  <wp:posOffset>2691130</wp:posOffset>
                </wp:positionH>
                <wp:positionV relativeFrom="paragraph">
                  <wp:posOffset>2830195</wp:posOffset>
                </wp:positionV>
                <wp:extent cx="432435" cy="266065"/>
                <wp:effectExtent l="0" t="4445" r="0" b="0"/>
                <wp:wrapNone/>
                <wp:docPr id="2" name="正方形/長方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B1CCA" id="正方形/長方形 2" o:spid="_x0000_s1026" style="position:absolute;left:0;text-align:left;margin-left:211.9pt;margin-top:222.85pt;width:34.0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" stroked="f">
                <v:textbox inset="5.85pt,.7pt,5.85pt,.7pt"/>
              </v:rect>
            </w:pict>
          </mc:Fallback>
        </mc:AlternateContent>
      </w:r>
      <w:r>
        <w:rPr>
          <w:noProof/>
          <w:sz w:val="20"/>
        </w:rPr>
        <mc:AlternateContent>
          <mc:Choice Requires="wps">
            <w:drawing>
              <wp:anchor distT="0" distB="0" distL="114300" distR="114300" simplePos="0" relativeHeight="251660288" behindDoc="0" locked="0" layoutInCell="1" allowOverlap="1" wp14:anchorId="16345689" wp14:editId="70E874BF">
                <wp:simplePos x="0" y="0"/>
                <wp:positionH relativeFrom="column">
                  <wp:posOffset>3562985</wp:posOffset>
                </wp:positionH>
                <wp:positionV relativeFrom="paragraph">
                  <wp:posOffset>3096260</wp:posOffset>
                </wp:positionV>
                <wp:extent cx="2528570" cy="295910"/>
                <wp:effectExtent l="4445" t="3810" r="635" b="0"/>
                <wp:wrapNone/>
                <wp:docPr id="1"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857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B31AE" id="正方形/長方形 1" o:spid="_x0000_s1026" style="position:absolute;left:0;text-align:left;margin-left:280.55pt;margin-top:243.8pt;width:199.1pt;height:2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" stroked="f"/>
            </w:pict>
          </mc:Fallback>
        </mc:AlternateContent>
      </w:r>
      <w:r>
        <w:rPr>
          <w:rFonts w:eastAsia="ＭＳ ゴシック"/>
          <w:sz w:val="22"/>
          <w:szCs w:val="22"/>
        </w:rPr>
        <w:br w:type="page"/>
      </w:r>
      <w:r>
        <w:rPr>
          <w:rFonts w:ascii="Arial" w:eastAsia="ＭＳ ゴシック" w:hAnsi="Arial" w:cs="Arial" w:hint="eastAsia"/>
          <w:sz w:val="26"/>
          <w:szCs w:val="26"/>
        </w:rPr>
        <w:lastRenderedPageBreak/>
        <w:t>第</w:t>
      </w:r>
      <w:r>
        <w:rPr>
          <w:rFonts w:ascii="Arial" w:eastAsia="ＭＳ ゴシック" w:hAnsi="Arial" w:cs="Arial" w:hint="eastAsia"/>
          <w:sz w:val="26"/>
          <w:szCs w:val="26"/>
        </w:rPr>
        <w:t>2</w:t>
      </w:r>
      <w:r>
        <w:rPr>
          <w:rFonts w:ascii="Arial" w:eastAsia="ＭＳ ゴシック" w:hAnsi="Arial" w:cs="Arial" w:hint="eastAsia"/>
          <w:sz w:val="26"/>
          <w:szCs w:val="26"/>
        </w:rPr>
        <w:t>章　既往の研究</w:t>
      </w:r>
    </w:p>
    <w:p w14:paraId="2B9F7888" w14:textId="77777777" w:rsidR="003E074F" w:rsidRDefault="003E074F" w:rsidP="003E074F">
      <w:pPr>
        <w:jc w:val="right"/>
      </w:pPr>
      <w:r>
        <w:rPr>
          <w:rFonts w:hint="eastAsia"/>
        </w:rPr>
        <w:t xml:space="preserve">                                                                                   </w:t>
      </w:r>
      <w:r>
        <w:rPr>
          <w:rFonts w:hint="eastAsia"/>
        </w:rPr>
        <w:t xml:space="preserve">　　　　　　　　　　　　</w:t>
      </w:r>
    </w:p>
    <w:p w14:paraId="1FDFB13B" w14:textId="77777777" w:rsidR="003E074F" w:rsidRDefault="003E074F" w:rsidP="003E074F">
      <w:pPr>
        <w:rPr>
          <w:rFonts w:ascii="Arial" w:eastAsia="ＭＳ ゴシック" w:hAnsi="Arial" w:cs="Arial"/>
          <w:sz w:val="22"/>
          <w:szCs w:val="22"/>
        </w:rPr>
      </w:pPr>
      <w:r>
        <w:rPr>
          <w:rFonts w:ascii="Arial" w:eastAsia="ＭＳ ゴシック" w:hAnsi="Arial" w:cs="Arial" w:hint="eastAsia"/>
          <w:sz w:val="22"/>
          <w:szCs w:val="22"/>
        </w:rPr>
        <w:t>2</w:t>
      </w:r>
      <w:r>
        <w:rPr>
          <w:rFonts w:ascii="Arial" w:eastAsia="ＭＳ ゴシック" w:hAnsi="Arial" w:cs="Arial" w:hint="eastAsia"/>
          <w:sz w:val="22"/>
          <w:szCs w:val="22"/>
        </w:rPr>
        <w:t>－</w:t>
      </w:r>
      <w:r>
        <w:rPr>
          <w:rFonts w:ascii="Arial" w:eastAsia="ＭＳ ゴシック" w:hAnsi="Arial" w:cs="Arial" w:hint="eastAsia"/>
          <w:sz w:val="22"/>
          <w:szCs w:val="22"/>
        </w:rPr>
        <w:t>1</w:t>
      </w:r>
      <w:r>
        <w:rPr>
          <w:rFonts w:ascii="Arial" w:eastAsia="ＭＳ ゴシック" w:hAnsi="Arial" w:cs="Arial" w:hint="eastAsia"/>
          <w:sz w:val="22"/>
          <w:szCs w:val="22"/>
        </w:rPr>
        <w:t xml:space="preserve">　大学におけるエネルギー消費削減に関する研究</w:t>
      </w:r>
    </w:p>
    <w:p w14:paraId="639EE445" w14:textId="77777777" w:rsidR="003E074F" w:rsidRDefault="003E074F" w:rsidP="003E074F">
      <w:pPr>
        <w:rPr>
          <w:rFonts w:ascii="Arial" w:eastAsia="ＭＳ ゴシック" w:hAnsi="Arial" w:cs="Arial"/>
          <w:sz w:val="22"/>
          <w:szCs w:val="22"/>
        </w:rPr>
      </w:pPr>
    </w:p>
    <w:p w14:paraId="61A821FA" w14:textId="77777777" w:rsidR="003E074F" w:rsidRDefault="003E074F" w:rsidP="003E074F">
      <w:pPr>
        <w:ind w:firstLineChars="100" w:firstLine="210"/>
        <w:rPr>
          <w:rFonts w:ascii="Segoe UI" w:hAnsi="Segoe UI" w:cs="Segoe UI"/>
          <w:color w:val="383838"/>
          <w:szCs w:val="21"/>
        </w:rPr>
      </w:pPr>
      <w:r>
        <w:rPr>
          <w:rFonts w:hint="eastAsia"/>
        </w:rPr>
        <w:t>本間らの</w:t>
      </w:r>
      <w:r w:rsidRPr="006C0471">
        <w:rPr>
          <w:rFonts w:hint="eastAsia"/>
        </w:rPr>
        <w:t>東京工業大学大岡山地区全体とその中の緑</w:t>
      </w:r>
      <w:r w:rsidRPr="006C0471">
        <w:t>が丘</w:t>
      </w:r>
      <w:r>
        <w:rPr>
          <w:rFonts w:hint="eastAsia"/>
        </w:rPr>
        <w:t>１</w:t>
      </w:r>
      <w:r w:rsidRPr="006C0471">
        <w:t>号館を</w:t>
      </w:r>
      <w:r>
        <w:rPr>
          <w:rFonts w:hint="eastAsia"/>
        </w:rPr>
        <w:t>対象</w:t>
      </w:r>
      <w:r w:rsidRPr="006C0471">
        <w:t>としたエネルギー消費量の分析結果</w:t>
      </w:r>
      <w:r>
        <w:rPr>
          <w:rFonts w:hint="eastAsia"/>
        </w:rPr>
        <w:t>によると、</w:t>
      </w:r>
      <w:r>
        <w:rPr>
          <w:rFonts w:hint="eastAsia"/>
        </w:rPr>
        <w:t>1</w:t>
      </w:r>
      <w:r>
        <w:rPr>
          <w:rFonts w:hint="eastAsia"/>
        </w:rPr>
        <w:t>次エネルギー消費量のうち電力の占める割合が毎年約</w:t>
      </w:r>
      <w:r>
        <w:rPr>
          <w:rFonts w:hint="eastAsia"/>
        </w:rPr>
        <w:t>95</w:t>
      </w:r>
      <w:r>
        <w:rPr>
          <w:rFonts w:hint="eastAsia"/>
        </w:rPr>
        <w:t>％となったが、</w:t>
      </w:r>
      <w:r>
        <w:rPr>
          <w:rFonts w:ascii="Segoe UI" w:hAnsi="Segoe UI" w:cs="Segoe UI"/>
          <w:color w:val="383838"/>
          <w:szCs w:val="21"/>
        </w:rPr>
        <w:t>2011</w:t>
      </w:r>
      <w:r>
        <w:rPr>
          <w:rFonts w:ascii="Segoe UI" w:hAnsi="Segoe UI" w:cs="Segoe UI"/>
          <w:color w:val="383838"/>
          <w:szCs w:val="21"/>
        </w:rPr>
        <w:t>年</w:t>
      </w:r>
      <w:r>
        <w:rPr>
          <w:rFonts w:ascii="Segoe UI" w:hAnsi="Segoe UI" w:cs="Segoe UI" w:hint="eastAsia"/>
          <w:color w:val="383838"/>
          <w:szCs w:val="21"/>
        </w:rPr>
        <w:t>の</w:t>
      </w:r>
      <w:r>
        <w:rPr>
          <w:rFonts w:ascii="Segoe UI" w:hAnsi="Segoe UI" w:cs="Segoe UI"/>
          <w:color w:val="383838"/>
          <w:szCs w:val="21"/>
        </w:rPr>
        <w:t>東日本大震災を背景に省エネ機器の導入、「節電と省エネガイドライン」、「節電・省エネ行動実行計画」などを制定し、</w:t>
      </w:r>
      <w:r>
        <w:rPr>
          <w:rFonts w:ascii="Segoe UI" w:hAnsi="Segoe UI" w:cs="Segoe UI" w:hint="eastAsia"/>
          <w:color w:val="383838"/>
          <w:szCs w:val="21"/>
        </w:rPr>
        <w:t>電力消費量が</w:t>
      </w:r>
      <w:r>
        <w:rPr>
          <w:rFonts w:ascii="Segoe UI" w:hAnsi="Segoe UI" w:cs="Segoe UI" w:hint="eastAsia"/>
          <w:color w:val="383838"/>
          <w:szCs w:val="21"/>
        </w:rPr>
        <w:t>2010</w:t>
      </w:r>
      <w:r>
        <w:rPr>
          <w:rFonts w:ascii="Segoe UI" w:hAnsi="Segoe UI" w:cs="Segoe UI" w:hint="eastAsia"/>
          <w:color w:val="383838"/>
          <w:szCs w:val="21"/>
        </w:rPr>
        <w:t>年</w:t>
      </w:r>
      <w:r w:rsidRPr="00691E89">
        <w:rPr>
          <w:rFonts w:ascii="Segoe UI" w:hAnsi="Segoe UI" w:cs="Segoe UI"/>
          <w:color w:val="383838"/>
          <w:szCs w:val="21"/>
        </w:rPr>
        <w:t>と比較して</w:t>
      </w:r>
      <w:r>
        <w:rPr>
          <w:rFonts w:ascii="Segoe UI" w:hAnsi="Segoe UI" w:cs="Segoe UI" w:hint="eastAsia"/>
          <w:color w:val="383838"/>
          <w:szCs w:val="21"/>
        </w:rPr>
        <w:t>2011</w:t>
      </w:r>
      <w:r>
        <w:rPr>
          <w:rFonts w:ascii="Segoe UI" w:hAnsi="Segoe UI" w:cs="Segoe UI" w:hint="eastAsia"/>
          <w:color w:val="383838"/>
          <w:szCs w:val="21"/>
        </w:rPr>
        <w:t>年以降毎年</w:t>
      </w:r>
      <w:r w:rsidRPr="00691E89">
        <w:rPr>
          <w:rFonts w:ascii="Segoe UI" w:hAnsi="Segoe UI" w:cs="Segoe UI"/>
          <w:color w:val="383838"/>
          <w:szCs w:val="21"/>
        </w:rPr>
        <w:t>約</w:t>
      </w:r>
      <w:r w:rsidRPr="00691E89">
        <w:rPr>
          <w:rFonts w:ascii="Segoe UI" w:hAnsi="Segoe UI" w:cs="Segoe UI"/>
          <w:color w:val="383838"/>
          <w:szCs w:val="21"/>
        </w:rPr>
        <w:t>85</w:t>
      </w:r>
      <w:r w:rsidRPr="00691E89">
        <w:rPr>
          <w:rFonts w:ascii="Segoe UI" w:hAnsi="Segoe UI" w:cs="Segoe UI" w:hint="eastAsia"/>
          <w:color w:val="383838"/>
          <w:szCs w:val="21"/>
        </w:rPr>
        <w:t>〜</w:t>
      </w:r>
      <w:r w:rsidRPr="00691E89">
        <w:rPr>
          <w:rFonts w:ascii="Segoe UI" w:hAnsi="Segoe UI" w:cs="Segoe UI"/>
          <w:color w:val="383838"/>
          <w:szCs w:val="21"/>
        </w:rPr>
        <w:t>90</w:t>
      </w:r>
      <w:r w:rsidRPr="00691E89">
        <w:rPr>
          <w:rFonts w:ascii="Segoe UI" w:hAnsi="Segoe UI" w:cs="Segoe UI"/>
          <w:color w:val="383838"/>
          <w:szCs w:val="21"/>
        </w:rPr>
        <w:t>％の</w:t>
      </w:r>
      <w:r>
        <w:rPr>
          <w:rFonts w:ascii="Segoe UI" w:hAnsi="Segoe UI" w:cs="Segoe UI" w:hint="eastAsia"/>
          <w:color w:val="383838"/>
          <w:szCs w:val="21"/>
        </w:rPr>
        <w:t>消費量となり、減少した。夏季は</w:t>
      </w:r>
      <w:r>
        <w:rPr>
          <w:rFonts w:ascii="Segoe UI" w:hAnsi="Segoe UI" w:cs="Segoe UI" w:hint="eastAsia"/>
          <w:color w:val="383838"/>
          <w:szCs w:val="21"/>
        </w:rPr>
        <w:t>7</w:t>
      </w:r>
      <w:r>
        <w:rPr>
          <w:rFonts w:ascii="Segoe UI" w:hAnsi="Segoe UI" w:cs="Segoe UI" w:hint="eastAsia"/>
          <w:color w:val="383838"/>
          <w:szCs w:val="21"/>
        </w:rPr>
        <w:t>月、冬季は</w:t>
      </w:r>
      <w:r>
        <w:rPr>
          <w:rFonts w:ascii="Segoe UI" w:hAnsi="Segoe UI" w:cs="Segoe UI" w:hint="eastAsia"/>
          <w:color w:val="383838"/>
          <w:szCs w:val="21"/>
        </w:rPr>
        <w:t>1</w:t>
      </w:r>
      <w:r>
        <w:rPr>
          <w:rFonts w:ascii="Segoe UI" w:hAnsi="Segoe UI" w:cs="Segoe UI" w:hint="eastAsia"/>
          <w:color w:val="383838"/>
          <w:szCs w:val="21"/>
        </w:rPr>
        <w:t>月に電力消費量が各季節間において最大の値となり、各月で外気温と電力消費量の相関をとった結果、同じ外気温でも</w:t>
      </w:r>
      <w:r>
        <w:rPr>
          <w:rFonts w:ascii="Segoe UI" w:hAnsi="Segoe UI" w:cs="Segoe UI" w:hint="eastAsia"/>
          <w:color w:val="383838"/>
          <w:szCs w:val="21"/>
        </w:rPr>
        <w:t>11</w:t>
      </w:r>
      <w:r>
        <w:rPr>
          <w:rFonts w:ascii="Segoe UI" w:hAnsi="Segoe UI" w:cs="Segoe UI" w:hint="eastAsia"/>
          <w:color w:val="383838"/>
          <w:szCs w:val="21"/>
        </w:rPr>
        <w:t>，</w:t>
      </w:r>
      <w:r>
        <w:rPr>
          <w:rFonts w:ascii="Segoe UI" w:hAnsi="Segoe UI" w:cs="Segoe UI" w:hint="eastAsia"/>
          <w:color w:val="383838"/>
          <w:szCs w:val="21"/>
        </w:rPr>
        <w:t>12</w:t>
      </w:r>
      <w:r>
        <w:rPr>
          <w:rFonts w:ascii="Segoe UI" w:hAnsi="Segoe UI" w:cs="Segoe UI" w:hint="eastAsia"/>
          <w:color w:val="383838"/>
          <w:szCs w:val="21"/>
        </w:rPr>
        <w:t>，</w:t>
      </w:r>
      <w:r>
        <w:rPr>
          <w:rFonts w:ascii="Segoe UI" w:hAnsi="Segoe UI" w:cs="Segoe UI" w:hint="eastAsia"/>
          <w:color w:val="383838"/>
          <w:szCs w:val="21"/>
        </w:rPr>
        <w:t>1</w:t>
      </w:r>
      <w:r>
        <w:rPr>
          <w:rFonts w:ascii="Segoe UI" w:hAnsi="Segoe UI" w:cs="Segoe UI" w:hint="eastAsia"/>
          <w:color w:val="383838"/>
          <w:szCs w:val="21"/>
        </w:rPr>
        <w:t>月と電力消費量が大きくなる傾向があることがわかった。</w:t>
      </w:r>
    </w:p>
    <w:p w14:paraId="0A2C57C7" w14:textId="77777777" w:rsidR="003E074F" w:rsidRDefault="003E074F" w:rsidP="003E074F">
      <w:pPr>
        <w:ind w:firstLineChars="100" w:firstLine="210"/>
        <w:rPr>
          <w:rFonts w:ascii="Segoe UI" w:hAnsi="Segoe UI" w:cs="Segoe UI"/>
          <w:color w:val="383838"/>
          <w:szCs w:val="21"/>
        </w:rPr>
      </w:pPr>
      <w:r>
        <w:rPr>
          <w:rFonts w:ascii="Segoe UI" w:hAnsi="Segoe UI" w:cs="Segoe UI" w:hint="eastAsia"/>
          <w:color w:val="383838"/>
          <w:szCs w:val="21"/>
        </w:rPr>
        <w:t>東京工業大学緑が丘</w:t>
      </w:r>
      <w:r>
        <w:rPr>
          <w:rFonts w:ascii="Segoe UI" w:hAnsi="Segoe UI" w:cs="Segoe UI" w:hint="eastAsia"/>
          <w:color w:val="383838"/>
          <w:szCs w:val="21"/>
        </w:rPr>
        <w:t>1</w:t>
      </w:r>
      <w:r>
        <w:rPr>
          <w:rFonts w:ascii="Segoe UI" w:hAnsi="Segoe UI" w:cs="Segoe UI" w:hint="eastAsia"/>
          <w:color w:val="383838"/>
          <w:szCs w:val="21"/>
        </w:rPr>
        <w:t>号館を利用する学生を対象とし</w:t>
      </w:r>
      <w:r>
        <w:rPr>
          <w:rFonts w:ascii="Segoe UI" w:hAnsi="Segoe UI" w:cs="Segoe UI" w:hint="eastAsia"/>
          <w:color w:val="383838"/>
          <w:szCs w:val="21"/>
        </w:rPr>
        <w:t>423</w:t>
      </w:r>
      <w:r>
        <w:rPr>
          <w:rFonts w:ascii="Segoe UI" w:hAnsi="Segoe UI" w:cs="Segoe UI" w:hint="eastAsia"/>
          <w:color w:val="383838"/>
          <w:szCs w:val="21"/>
        </w:rPr>
        <w:t>人中</w:t>
      </w:r>
      <w:r>
        <w:rPr>
          <w:rFonts w:ascii="Segoe UI" w:hAnsi="Segoe UI" w:cs="Segoe UI" w:hint="eastAsia"/>
          <w:color w:val="383838"/>
          <w:szCs w:val="21"/>
        </w:rPr>
        <w:t>77</w:t>
      </w:r>
      <w:r>
        <w:rPr>
          <w:rFonts w:ascii="Segoe UI" w:hAnsi="Segoe UI" w:cs="Segoe UI" w:hint="eastAsia"/>
          <w:color w:val="383838"/>
          <w:szCs w:val="21"/>
        </w:rPr>
        <w:t>件の回答を得たアンケート調査によると、自宅に比べ学内における空調・照明機器に対する省エネルギー行動の実行度は低い結果となった。行わない理由としては、「意識」「知らない」との回答が最も多く、意識や認知次第では省エネルギー行動の改善の余地があることが明らかとなった。また、調査対象エリアの利用者に対して省エネルギー行動の依頼をし、各エネルギー消費項目を測定した結果、空調の消費電力削減量は</w:t>
      </w:r>
      <w:r>
        <w:rPr>
          <w:rFonts w:ascii="Segoe UI" w:hAnsi="Segoe UI" w:cs="Segoe UI"/>
          <w:color w:val="383838"/>
          <w:szCs w:val="21"/>
        </w:rPr>
        <w:t>43kWh/</w:t>
      </w:r>
      <w:r>
        <w:rPr>
          <w:rFonts w:ascii="Segoe UI" w:hAnsi="Segoe UI" w:cs="Segoe UI" w:hint="eastAsia"/>
          <w:color w:val="383838"/>
          <w:szCs w:val="21"/>
        </w:rPr>
        <w:t>日となり、これは</w:t>
      </w:r>
      <w:r>
        <w:rPr>
          <w:rFonts w:ascii="Segoe UI" w:hAnsi="Segoe UI" w:cs="Segoe UI" w:hint="eastAsia"/>
          <w:color w:val="383838"/>
          <w:szCs w:val="21"/>
        </w:rPr>
        <w:t>12</w:t>
      </w:r>
      <w:r>
        <w:rPr>
          <w:rFonts w:ascii="Segoe UI" w:hAnsi="Segoe UI" w:cs="Segoe UI" w:hint="eastAsia"/>
          <w:color w:val="383838"/>
          <w:szCs w:val="21"/>
        </w:rPr>
        <w:t>・</w:t>
      </w:r>
      <w:r>
        <w:rPr>
          <w:rFonts w:ascii="Segoe UI" w:hAnsi="Segoe UI" w:cs="Segoe UI" w:hint="eastAsia"/>
          <w:color w:val="383838"/>
          <w:szCs w:val="21"/>
        </w:rPr>
        <w:t>1</w:t>
      </w:r>
      <w:r>
        <w:rPr>
          <w:rFonts w:ascii="Segoe UI" w:hAnsi="Segoe UI" w:cs="Segoe UI" w:hint="eastAsia"/>
          <w:color w:val="383838"/>
          <w:szCs w:val="21"/>
        </w:rPr>
        <w:t>月の平均電力消費量の</w:t>
      </w:r>
      <w:r>
        <w:rPr>
          <w:rFonts w:ascii="Segoe UI" w:hAnsi="Segoe UI" w:cs="Segoe UI" w:hint="eastAsia"/>
          <w:color w:val="383838"/>
          <w:szCs w:val="21"/>
        </w:rPr>
        <w:t>5</w:t>
      </w:r>
      <w:r>
        <w:rPr>
          <w:rFonts w:ascii="Segoe UI" w:hAnsi="Segoe UI" w:cs="Segoe UI" w:hint="eastAsia"/>
          <w:color w:val="383838"/>
          <w:szCs w:val="21"/>
        </w:rPr>
        <w:t>％に値し、照明の消費電力削減量は</w:t>
      </w:r>
      <w:r>
        <w:rPr>
          <w:rFonts w:ascii="Segoe UI" w:hAnsi="Segoe UI" w:cs="Segoe UI" w:hint="eastAsia"/>
          <w:color w:val="383838"/>
          <w:szCs w:val="21"/>
        </w:rPr>
        <w:t>1</w:t>
      </w:r>
      <w:r>
        <w:rPr>
          <w:rFonts w:ascii="Segoe UI" w:hAnsi="Segoe UI" w:cs="Segoe UI"/>
          <w:color w:val="383838"/>
          <w:szCs w:val="21"/>
        </w:rPr>
        <w:t>kWh</w:t>
      </w:r>
      <w:r>
        <w:rPr>
          <w:rFonts w:ascii="Segoe UI" w:hAnsi="Segoe UI" w:cs="Segoe UI" w:hint="eastAsia"/>
          <w:color w:val="383838"/>
          <w:szCs w:val="21"/>
        </w:rPr>
        <w:t>/</w:t>
      </w:r>
      <w:r>
        <w:rPr>
          <w:rFonts w:ascii="Segoe UI" w:hAnsi="Segoe UI" w:cs="Segoe UI" w:hint="eastAsia"/>
          <w:color w:val="383838"/>
          <w:szCs w:val="21"/>
        </w:rPr>
        <w:t>日となった。</w:t>
      </w:r>
    </w:p>
    <w:p w14:paraId="62302C9B" w14:textId="77777777" w:rsidR="003E074F" w:rsidRPr="003E074F" w:rsidRDefault="003E074F" w:rsidP="003E074F">
      <w:pPr>
        <w:rPr>
          <w:sz w:val="22"/>
          <w:szCs w:val="22"/>
        </w:rPr>
      </w:pPr>
    </w:p>
    <w:p w14:paraId="6D2C22CD" w14:textId="77777777" w:rsidR="003E074F" w:rsidRDefault="003E074F" w:rsidP="003E074F">
      <w:pPr>
        <w:rPr>
          <w:rFonts w:ascii="Arial" w:eastAsia="ＭＳ ゴシック" w:hAnsi="Arial" w:cs="Arial"/>
          <w:sz w:val="22"/>
          <w:szCs w:val="22"/>
        </w:rPr>
      </w:pPr>
      <w:r>
        <w:rPr>
          <w:rFonts w:ascii="Arial" w:eastAsia="ＭＳ ゴシック" w:hAnsi="Arial" w:cs="Arial" w:hint="eastAsia"/>
          <w:sz w:val="22"/>
          <w:szCs w:val="22"/>
        </w:rPr>
        <w:t>2</w:t>
      </w:r>
      <w:r>
        <w:rPr>
          <w:rFonts w:ascii="Arial" w:eastAsia="ＭＳ ゴシック" w:hAnsi="Arial" w:cs="Arial" w:hint="eastAsia"/>
          <w:sz w:val="22"/>
          <w:szCs w:val="22"/>
        </w:rPr>
        <w:t>－</w:t>
      </w:r>
      <w:r>
        <w:rPr>
          <w:rFonts w:ascii="Arial" w:eastAsia="ＭＳ ゴシック" w:hAnsi="Arial" w:cs="Arial" w:hint="eastAsia"/>
          <w:sz w:val="22"/>
          <w:szCs w:val="22"/>
        </w:rPr>
        <w:t>2</w:t>
      </w:r>
      <w:r>
        <w:rPr>
          <w:rFonts w:ascii="Arial" w:eastAsia="ＭＳ ゴシック" w:hAnsi="Arial" w:cs="Arial" w:hint="eastAsia"/>
          <w:sz w:val="22"/>
          <w:szCs w:val="22"/>
        </w:rPr>
        <w:t xml:space="preserve">　関西大学のエネルギー消費実態分析調査</w:t>
      </w:r>
    </w:p>
    <w:p w14:paraId="51401346" w14:textId="77777777" w:rsidR="003E074F" w:rsidRDefault="003E074F" w:rsidP="003E074F">
      <w:pPr>
        <w:rPr>
          <w:rFonts w:ascii="Arial" w:eastAsia="ＭＳ ゴシック" w:hAnsi="Arial" w:cs="Arial"/>
          <w:sz w:val="22"/>
          <w:szCs w:val="22"/>
        </w:rPr>
      </w:pPr>
    </w:p>
    <w:p w14:paraId="22304790" w14:textId="77777777" w:rsidR="003E074F" w:rsidRDefault="003E074F" w:rsidP="003E074F">
      <w:pPr>
        <w:ind w:firstLineChars="100" w:firstLine="210"/>
        <w:rPr>
          <w:rFonts w:ascii="Segoe UI" w:hAnsi="Segoe UI" w:cs="Segoe UI"/>
          <w:color w:val="383838"/>
          <w:szCs w:val="21"/>
        </w:rPr>
      </w:pPr>
      <w:r>
        <w:rPr>
          <w:rFonts w:ascii="Segoe UI" w:hAnsi="Segoe UI" w:cs="Segoe UI" w:hint="eastAsia"/>
          <w:color w:val="383838"/>
          <w:szCs w:val="21"/>
        </w:rPr>
        <w:t>杉村らの研究では関西大学のエネルギー消費実態を</w:t>
      </w:r>
      <w:r>
        <w:rPr>
          <w:rFonts w:ascii="Segoe UI" w:hAnsi="Segoe UI" w:cs="Segoe UI" w:hint="eastAsia"/>
          <w:color w:val="383838"/>
          <w:szCs w:val="21"/>
        </w:rPr>
        <w:t>B</w:t>
      </w:r>
      <w:r>
        <w:rPr>
          <w:rFonts w:ascii="Segoe UI" w:hAnsi="Segoe UI" w:cs="Segoe UI"/>
          <w:color w:val="383838"/>
          <w:szCs w:val="21"/>
        </w:rPr>
        <w:t>EMS</w:t>
      </w:r>
      <w:r>
        <w:rPr>
          <w:rFonts w:ascii="Segoe UI" w:hAnsi="Segoe UI" w:cs="Segoe UI" w:hint="eastAsia"/>
          <w:color w:val="383838"/>
          <w:szCs w:val="21"/>
        </w:rPr>
        <w:t>データより解析した。</w:t>
      </w:r>
      <w:r>
        <w:rPr>
          <w:rFonts w:ascii="Segoe UI" w:hAnsi="Segoe UI" w:cs="Segoe UI" w:hint="eastAsia"/>
          <w:color w:val="383838"/>
          <w:szCs w:val="21"/>
        </w:rPr>
        <w:t>1</w:t>
      </w:r>
      <w:r>
        <w:rPr>
          <w:rFonts w:ascii="Segoe UI" w:hAnsi="Segoe UI" w:cs="Segoe UI" w:hint="eastAsia"/>
          <w:color w:val="383838"/>
          <w:szCs w:val="21"/>
        </w:rPr>
        <w:t>次エネルギー消費原単位における部門別消費特性としては、理工系校舎の工学実験棟は文系校舎よりも大きな値となり、理工系校舎の授業棟は文系学舎と似た特性をもつことがわかった。人の活動時間帯においては気温以外の要因が大きく電力消費に影響を与えると考えられるが、深夜帯は人の活動に関係しないベース分とみなすことができ、ベース電力に気温感応が得られることがこの研究によって明らかとなった。</w:t>
      </w:r>
    </w:p>
    <w:p w14:paraId="31361EB4" w14:textId="77777777" w:rsidR="003E074F" w:rsidRPr="00691E89" w:rsidRDefault="003E074F" w:rsidP="003E074F">
      <w:pPr>
        <w:ind w:firstLineChars="100" w:firstLine="210"/>
        <w:rPr>
          <w:rFonts w:ascii="Segoe UI" w:hAnsi="Segoe UI" w:cs="Segoe UI"/>
          <w:color w:val="383838"/>
          <w:szCs w:val="21"/>
        </w:rPr>
      </w:pPr>
      <w:r>
        <w:rPr>
          <w:rFonts w:ascii="Segoe UI" w:hAnsi="Segoe UI" w:cs="Segoe UI" w:hint="eastAsia"/>
          <w:color w:val="383838"/>
          <w:szCs w:val="21"/>
        </w:rPr>
        <w:t>空調システムは夏季・冬季ともに低付加率での運転の割合が大きく占めており、現状の運転方法ではエネルギー効率のよい運用ではないことがわかった。この結果に対し、メイン稼働している空調機の容量を小さくし高負荷率での運転を増やしエネルギー効率を上昇させることでエネルギー消費量の約</w:t>
      </w:r>
      <w:r>
        <w:rPr>
          <w:rFonts w:ascii="Segoe UI" w:hAnsi="Segoe UI" w:cs="Segoe UI" w:hint="eastAsia"/>
          <w:color w:val="383838"/>
          <w:szCs w:val="21"/>
        </w:rPr>
        <w:t>14.5%</w:t>
      </w:r>
      <w:r>
        <w:rPr>
          <w:rFonts w:ascii="Segoe UI" w:hAnsi="Segoe UI" w:cs="Segoe UI" w:hint="eastAsia"/>
          <w:color w:val="383838"/>
          <w:szCs w:val="21"/>
        </w:rPr>
        <w:t>が削減されると見込まれる空調設備運用の改善提案がこの研究でなされた。</w:t>
      </w:r>
    </w:p>
    <w:p w14:paraId="0444AC7F" w14:textId="2592929C" w:rsidR="00756078" w:rsidRDefault="00756078">
      <w:pPr>
        <w:widowControl/>
        <w:jc w:val="left"/>
      </w:pPr>
      <w:r>
        <w:br w:type="page"/>
      </w:r>
    </w:p>
    <w:p w14:paraId="777FD867" w14:textId="520614E1" w:rsidR="00756078" w:rsidRDefault="00756078" w:rsidP="00756078">
      <w:pPr>
        <w:rPr>
          <w:rFonts w:ascii="Arial" w:eastAsia="ＭＳ ゴシック" w:hAnsi="Arial" w:cs="Arial"/>
          <w:sz w:val="22"/>
          <w:szCs w:val="22"/>
        </w:rPr>
      </w:pPr>
      <w:r>
        <w:rPr>
          <w:rFonts w:ascii="Arial" w:eastAsia="ＭＳ ゴシック" w:hAnsi="Arial" w:cs="Arial" w:hint="eastAsia"/>
          <w:sz w:val="22"/>
          <w:szCs w:val="22"/>
        </w:rPr>
        <w:lastRenderedPageBreak/>
        <w:t>2</w:t>
      </w:r>
      <w:r>
        <w:rPr>
          <w:rFonts w:ascii="Arial" w:eastAsia="ＭＳ ゴシック" w:hAnsi="Arial" w:cs="Arial" w:hint="eastAsia"/>
          <w:sz w:val="22"/>
          <w:szCs w:val="22"/>
        </w:rPr>
        <w:t>－</w:t>
      </w:r>
      <w:r w:rsidR="009E005F">
        <w:rPr>
          <w:rFonts w:ascii="Arial" w:eastAsia="ＭＳ ゴシック" w:hAnsi="Arial" w:cs="Arial" w:hint="eastAsia"/>
          <w:sz w:val="22"/>
          <w:szCs w:val="22"/>
        </w:rPr>
        <w:t>3</w:t>
      </w:r>
      <w:r>
        <w:rPr>
          <w:rFonts w:ascii="Arial" w:eastAsia="ＭＳ ゴシック" w:hAnsi="Arial" w:cs="Arial" w:hint="eastAsia"/>
          <w:sz w:val="22"/>
          <w:szCs w:val="22"/>
        </w:rPr>
        <w:t xml:space="preserve">　</w:t>
      </w:r>
      <w:r w:rsidRPr="00756078">
        <w:rPr>
          <w:rFonts w:ascii="Arial" w:eastAsia="ＭＳ ゴシック" w:hAnsi="Arial" w:cs="Arial" w:hint="eastAsia"/>
          <w:sz w:val="22"/>
          <w:szCs w:val="22"/>
        </w:rPr>
        <w:t>大規模総合大学のエネルギー消費実態に関する研究</w:t>
      </w:r>
    </w:p>
    <w:p w14:paraId="7E9DE047" w14:textId="77777777" w:rsidR="00756078" w:rsidRDefault="00756078" w:rsidP="00756078">
      <w:pPr>
        <w:rPr>
          <w:rFonts w:ascii="Arial" w:eastAsia="ＭＳ ゴシック" w:hAnsi="Arial" w:cs="Arial"/>
          <w:sz w:val="22"/>
          <w:szCs w:val="22"/>
        </w:rPr>
      </w:pPr>
    </w:p>
    <w:p w14:paraId="1D46661B" w14:textId="7A676DB6" w:rsidR="00756078" w:rsidRDefault="00756078" w:rsidP="00756078">
      <w:pPr>
        <w:ind w:firstLineChars="100" w:firstLine="210"/>
        <w:rPr>
          <w:rFonts w:ascii="Segoe UI" w:hAnsi="Segoe UI" w:cs="Segoe UI"/>
          <w:color w:val="383838"/>
          <w:szCs w:val="21"/>
        </w:rPr>
      </w:pPr>
      <w:r>
        <w:rPr>
          <w:rFonts w:ascii="Segoe UI" w:hAnsi="Segoe UI" w:cs="Segoe UI" w:hint="eastAsia"/>
          <w:color w:val="383838"/>
          <w:szCs w:val="21"/>
        </w:rPr>
        <w:t>大橋らが大阪大学の主要建物ごとに、</w:t>
      </w:r>
      <w:r>
        <w:rPr>
          <w:rFonts w:ascii="Segoe UI" w:hAnsi="Segoe UI" w:cs="Segoe UI" w:hint="eastAsia"/>
          <w:color w:val="383838"/>
          <w:szCs w:val="21"/>
        </w:rPr>
        <w:t>30</w:t>
      </w:r>
      <w:r>
        <w:rPr>
          <w:rFonts w:ascii="Segoe UI" w:hAnsi="Segoe UI" w:cs="Segoe UI" w:hint="eastAsia"/>
          <w:color w:val="383838"/>
          <w:szCs w:val="21"/>
        </w:rPr>
        <w:t>分単位で電力消費量を計測しそのデータを用いて調査を行った結果、大規模施設、理科系施設、文科系施設のカテゴリーごとの各月における電力消費量の平均値および</w:t>
      </w:r>
      <w:r>
        <w:rPr>
          <w:rFonts w:ascii="Segoe UI" w:hAnsi="Segoe UI" w:cs="Segoe UI" w:hint="eastAsia"/>
          <w:color w:val="383838"/>
          <w:szCs w:val="21"/>
        </w:rPr>
        <w:t>1</w:t>
      </w:r>
      <w:r>
        <w:rPr>
          <w:rFonts w:ascii="Segoe UI" w:hAnsi="Segoe UI" w:cs="Segoe UI" w:hint="eastAsia"/>
          <w:color w:val="383838"/>
          <w:szCs w:val="21"/>
        </w:rPr>
        <w:t>月</w:t>
      </w:r>
      <w:r>
        <w:rPr>
          <w:rFonts w:ascii="Segoe UI" w:hAnsi="Segoe UI" w:cs="Segoe UI" w:hint="eastAsia"/>
          <w:color w:val="383838"/>
          <w:szCs w:val="21"/>
        </w:rPr>
        <w:t>1</w:t>
      </w:r>
      <w:r>
        <w:rPr>
          <w:rFonts w:ascii="Segoe UI" w:hAnsi="Segoe UI" w:cs="Segoe UI" w:hint="eastAsia"/>
          <w:color w:val="383838"/>
          <w:szCs w:val="21"/>
        </w:rPr>
        <w:t>日の電力負荷曲線では時刻別消費電力の最小値（ベース電力）に差異があることがわかった。平日と休日におけるベース電力の差は小さく、</w:t>
      </w:r>
      <w:r>
        <w:rPr>
          <w:rFonts w:ascii="Segoe UI" w:hAnsi="Segoe UI" w:cs="Segoe UI" w:hint="eastAsia"/>
          <w:color w:val="383838"/>
          <w:szCs w:val="21"/>
        </w:rPr>
        <w:t>1</w:t>
      </w:r>
      <w:r>
        <w:rPr>
          <w:rFonts w:ascii="Segoe UI" w:hAnsi="Segoe UI" w:cs="Segoe UI" w:hint="eastAsia"/>
          <w:color w:val="383838"/>
          <w:szCs w:val="21"/>
        </w:rPr>
        <w:t>月</w:t>
      </w:r>
      <w:r>
        <w:rPr>
          <w:rFonts w:ascii="Segoe UI" w:hAnsi="Segoe UI" w:cs="Segoe UI" w:hint="eastAsia"/>
          <w:color w:val="383838"/>
          <w:szCs w:val="21"/>
        </w:rPr>
        <w:t>1</w:t>
      </w:r>
      <w:r>
        <w:rPr>
          <w:rFonts w:ascii="Segoe UI" w:hAnsi="Segoe UI" w:cs="Segoe UI" w:hint="eastAsia"/>
          <w:color w:val="383838"/>
          <w:szCs w:val="21"/>
        </w:rPr>
        <w:t>日は年間で利用者の活動量が最も少ない日であることが考えられるが、</w:t>
      </w:r>
      <w:r>
        <w:rPr>
          <w:rFonts w:ascii="Segoe UI" w:hAnsi="Segoe UI" w:cs="Segoe UI" w:hint="eastAsia"/>
          <w:color w:val="383838"/>
          <w:szCs w:val="21"/>
        </w:rPr>
        <w:t>1</w:t>
      </w:r>
      <w:r>
        <w:rPr>
          <w:rFonts w:ascii="Segoe UI" w:hAnsi="Segoe UI" w:cs="Segoe UI" w:hint="eastAsia"/>
          <w:color w:val="383838"/>
          <w:szCs w:val="21"/>
        </w:rPr>
        <w:t>日を通して、ほぼ一定の消費量があり、年間を通して利用者の活動量にかかわらず一定量の消費電力があることが推察された。また、ベース電力を除く日中の変動分を見ると、建物分類間の差は比較的小さく、夜間の消費電力率と休日の消費電力率には正の相関があることがわかった。</w:t>
      </w:r>
    </w:p>
    <w:p w14:paraId="030F280B" w14:textId="1928E5C6" w:rsidR="00610451" w:rsidRDefault="00756078" w:rsidP="003E074F">
      <w:pPr>
        <w:rPr>
          <w:rFonts w:ascii="Segoe UI" w:hAnsi="Segoe UI" w:cs="Segoe UI"/>
          <w:color w:val="383838"/>
          <w:szCs w:val="21"/>
        </w:rPr>
      </w:pPr>
      <w:r>
        <w:rPr>
          <w:rFonts w:ascii="Segoe UI" w:hAnsi="Segoe UI" w:cs="Segoe UI" w:hint="eastAsia"/>
          <w:color w:val="383838"/>
          <w:szCs w:val="21"/>
        </w:rPr>
        <w:t xml:space="preserve">　夏季最大需要電力のうち文科系施設では、終日稼働していない空調、照明等人の活動で消費される電力が電力消費量全体の</w:t>
      </w:r>
      <w:r>
        <w:rPr>
          <w:rFonts w:ascii="Segoe UI" w:hAnsi="Segoe UI" w:cs="Segoe UI" w:hint="eastAsia"/>
          <w:color w:val="383838"/>
          <w:szCs w:val="21"/>
        </w:rPr>
        <w:t>79</w:t>
      </w:r>
      <w:r>
        <w:rPr>
          <w:rFonts w:ascii="Segoe UI" w:hAnsi="Segoe UI" w:cs="Segoe UI" w:hint="eastAsia"/>
          <w:color w:val="383838"/>
          <w:szCs w:val="21"/>
        </w:rPr>
        <w:t>％を占め、理科系研究施設ではベース分が過半を占めており</w:t>
      </w:r>
      <w:r>
        <w:rPr>
          <w:rFonts w:ascii="Segoe UI" w:hAnsi="Segoe UI" w:cs="Segoe UI" w:hint="eastAsia"/>
          <w:color w:val="383838"/>
          <w:szCs w:val="21"/>
        </w:rPr>
        <w:t>24</w:t>
      </w:r>
      <w:r>
        <w:rPr>
          <w:rFonts w:ascii="Segoe UI" w:hAnsi="Segoe UI" w:cs="Segoe UI" w:hint="eastAsia"/>
          <w:color w:val="383838"/>
          <w:szCs w:val="21"/>
        </w:rPr>
        <w:t>時間稼働している機器の影響が大きいことが分かり、全体でみると約</w:t>
      </w:r>
      <w:r>
        <w:rPr>
          <w:rFonts w:ascii="Segoe UI" w:hAnsi="Segoe UI" w:cs="Segoe UI" w:hint="eastAsia"/>
          <w:color w:val="383838"/>
          <w:szCs w:val="21"/>
        </w:rPr>
        <w:t>80</w:t>
      </w:r>
      <w:r>
        <w:rPr>
          <w:rFonts w:ascii="Segoe UI" w:hAnsi="Segoe UI" w:cs="Segoe UI" w:hint="eastAsia"/>
          <w:color w:val="383838"/>
          <w:szCs w:val="21"/>
        </w:rPr>
        <w:t>％が人の活動に関係しない電力量であったが、人の活動によって生じるエネルギー消費のカテゴリー間の差は比較的小さかった。</w:t>
      </w:r>
    </w:p>
    <w:p w14:paraId="5103A383" w14:textId="77777777" w:rsidR="00756078" w:rsidRDefault="00756078" w:rsidP="003E074F">
      <w:pPr>
        <w:rPr>
          <w:rFonts w:ascii="Segoe UI" w:hAnsi="Segoe UI" w:cs="Segoe UI" w:hint="eastAsia"/>
          <w:color w:val="383838"/>
          <w:szCs w:val="21"/>
        </w:rPr>
      </w:pPr>
    </w:p>
    <w:p w14:paraId="65CE1836" w14:textId="32C19016" w:rsidR="00756078" w:rsidRDefault="00756078" w:rsidP="00756078">
      <w:pPr>
        <w:rPr>
          <w:rFonts w:ascii="Arial" w:eastAsia="ＭＳ ゴシック" w:hAnsi="Arial" w:cs="Arial"/>
          <w:sz w:val="22"/>
          <w:szCs w:val="22"/>
        </w:rPr>
      </w:pPr>
      <w:r>
        <w:rPr>
          <w:rFonts w:ascii="Arial" w:eastAsia="ＭＳ ゴシック" w:hAnsi="Arial" w:cs="Arial" w:hint="eastAsia"/>
          <w:sz w:val="22"/>
          <w:szCs w:val="22"/>
        </w:rPr>
        <w:t>2</w:t>
      </w:r>
      <w:r>
        <w:rPr>
          <w:rFonts w:ascii="Arial" w:eastAsia="ＭＳ ゴシック" w:hAnsi="Arial" w:cs="Arial" w:hint="eastAsia"/>
          <w:sz w:val="22"/>
          <w:szCs w:val="22"/>
        </w:rPr>
        <w:t>－</w:t>
      </w:r>
      <w:r w:rsidR="009E005F">
        <w:rPr>
          <w:rFonts w:ascii="Arial" w:eastAsia="ＭＳ ゴシック" w:hAnsi="Arial" w:cs="Arial"/>
          <w:sz w:val="22"/>
          <w:szCs w:val="22"/>
        </w:rPr>
        <w:t>4</w:t>
      </w:r>
      <w:r>
        <w:rPr>
          <w:rFonts w:ascii="Arial" w:eastAsia="ＭＳ ゴシック" w:hAnsi="Arial" w:cs="Arial" w:hint="eastAsia"/>
          <w:sz w:val="22"/>
          <w:szCs w:val="22"/>
        </w:rPr>
        <w:t xml:space="preserve">　</w:t>
      </w:r>
      <w:r>
        <w:rPr>
          <w:rFonts w:ascii="Arial" w:eastAsia="ＭＳ ゴシック" w:hAnsi="Arial" w:cs="Arial" w:hint="eastAsia"/>
          <w:sz w:val="22"/>
          <w:szCs w:val="22"/>
        </w:rPr>
        <w:t>参考文献</w:t>
      </w:r>
    </w:p>
    <w:p w14:paraId="2E83AF9A" w14:textId="77777777" w:rsidR="00756078" w:rsidRDefault="00756078" w:rsidP="00756078">
      <w:pPr>
        <w:rPr>
          <w:rFonts w:ascii="Arial" w:eastAsia="ＭＳ ゴシック" w:hAnsi="Arial" w:cs="Arial"/>
          <w:sz w:val="22"/>
          <w:szCs w:val="22"/>
        </w:rPr>
      </w:pPr>
    </w:p>
    <w:p w14:paraId="091C84FD" w14:textId="77777777" w:rsidR="009E005F" w:rsidRDefault="009E005F" w:rsidP="009E005F">
      <w:pPr>
        <w:pStyle w:val="ab"/>
        <w:ind w:firstLineChars="0" w:firstLine="0"/>
      </w:pPr>
      <w:r w:rsidRPr="00951C8A">
        <w:rPr>
          <w:rFonts w:hint="eastAsia"/>
        </w:rPr>
        <w:t>大橋巧</w:t>
      </w:r>
      <w:r>
        <w:rPr>
          <w:rFonts w:hint="eastAsia"/>
        </w:rPr>
        <w:t>ら：日本建築学会環境系論文集第</w:t>
      </w:r>
      <w:r>
        <w:rPr>
          <w:rFonts w:hint="eastAsia"/>
        </w:rPr>
        <w:t>78</w:t>
      </w:r>
      <w:r>
        <w:rPr>
          <w:rFonts w:hint="eastAsia"/>
        </w:rPr>
        <w:t>巻第</w:t>
      </w:r>
      <w:r>
        <w:rPr>
          <w:rFonts w:hint="eastAsia"/>
        </w:rPr>
        <w:t>684</w:t>
      </w:r>
      <w:r>
        <w:rPr>
          <w:rFonts w:hint="eastAsia"/>
        </w:rPr>
        <w:t>号</w:t>
      </w:r>
      <w:r>
        <w:rPr>
          <w:rFonts w:hint="eastAsia"/>
        </w:rPr>
        <w:t>pp.193</w:t>
      </w:r>
      <w:r>
        <w:t>-</w:t>
      </w:r>
      <w:r>
        <w:rPr>
          <w:rFonts w:hint="eastAsia"/>
        </w:rPr>
        <w:t>201</w:t>
      </w:r>
      <w:r>
        <w:t>, 2013</w:t>
      </w:r>
    </w:p>
    <w:p w14:paraId="4A599D29" w14:textId="77777777" w:rsidR="009E005F" w:rsidRPr="00951C8A" w:rsidRDefault="009E005F" w:rsidP="009E005F">
      <w:pPr>
        <w:pStyle w:val="ab"/>
        <w:ind w:firstLineChars="0" w:firstLine="0"/>
        <w:rPr>
          <w:rFonts w:hint="eastAsia"/>
        </w:rPr>
      </w:pPr>
      <w:r>
        <w:rPr>
          <w:rFonts w:hint="eastAsia"/>
        </w:rPr>
        <w:t>本間俊貴ら：</w:t>
      </w:r>
      <w:r w:rsidRPr="009D3D32">
        <w:rPr>
          <w:rFonts w:hint="eastAsia"/>
        </w:rPr>
        <w:t>日本建築学会大会学術講演梗概集</w:t>
      </w:r>
      <w:r>
        <w:rPr>
          <w:rFonts w:hint="eastAsia"/>
        </w:rPr>
        <w:t>pp.</w:t>
      </w:r>
      <w:r>
        <w:t>795-796, 2017</w:t>
      </w:r>
    </w:p>
    <w:p w14:paraId="7203E03C" w14:textId="2CA3AB89" w:rsidR="00756078" w:rsidRPr="009E005F" w:rsidRDefault="00756078" w:rsidP="00756078">
      <w:pPr>
        <w:widowControl/>
        <w:jc w:val="left"/>
        <w:rPr>
          <w:rFonts w:ascii="Segoe UI" w:hAnsi="Segoe UI" w:cs="Segoe UI" w:hint="eastAsia"/>
          <w:color w:val="383838"/>
          <w:szCs w:val="21"/>
        </w:rPr>
      </w:pPr>
      <w:bookmarkStart w:id="0" w:name="_GoBack"/>
      <w:bookmarkEnd w:id="0"/>
    </w:p>
    <w:sectPr w:rsidR="00756078" w:rsidRPr="009E005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ED92D" w14:textId="77777777" w:rsidR="00F30C09" w:rsidRDefault="00F30C09" w:rsidP="00756078">
      <w:r>
        <w:separator/>
      </w:r>
    </w:p>
  </w:endnote>
  <w:endnote w:type="continuationSeparator" w:id="0">
    <w:p w14:paraId="5981C9B0" w14:textId="77777777" w:rsidR="00F30C09" w:rsidRDefault="00F30C09" w:rsidP="0075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F5E44" w14:textId="77777777" w:rsidR="00F30C09" w:rsidRDefault="00F30C09" w:rsidP="00756078">
      <w:r>
        <w:separator/>
      </w:r>
    </w:p>
  </w:footnote>
  <w:footnote w:type="continuationSeparator" w:id="0">
    <w:p w14:paraId="76E4CB9E" w14:textId="77777777" w:rsidR="00F30C09" w:rsidRDefault="00F30C09" w:rsidP="007560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4F"/>
    <w:rsid w:val="003E074F"/>
    <w:rsid w:val="005006F1"/>
    <w:rsid w:val="00610451"/>
    <w:rsid w:val="00756078"/>
    <w:rsid w:val="009E005F"/>
    <w:rsid w:val="00DE42D6"/>
    <w:rsid w:val="00F30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36FA38"/>
  <w15:chartTrackingRefBased/>
  <w15:docId w15:val="{88537AA9-7D84-4DC4-9D8F-B9FBBE1D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74F"/>
    <w:pPr>
      <w:widowControl w:val="0"/>
      <w:jc w:val="both"/>
    </w:pPr>
    <w:rPr>
      <w:rFonts w:ascii="Times New Roman" w:eastAsia="ＭＳ 明朝" w:hAnsi="Times New Roman" w:cs="Times New Roman"/>
      <w:color w:val="00000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rsid w:val="003E074F"/>
    <w:rPr>
      <w:rFonts w:ascii="HG丸ｺﾞｼｯｸM-PRO" w:eastAsia="HG丸ｺﾞｼｯｸM-PRO" w:hAnsi="ＭＳ ゴシック" w:cs="Arial"/>
      <w:sz w:val="40"/>
    </w:rPr>
  </w:style>
  <w:style w:type="character" w:customStyle="1" w:styleId="a4">
    <w:name w:val="日付 (文字)"/>
    <w:basedOn w:val="a0"/>
    <w:link w:val="a3"/>
    <w:semiHidden/>
    <w:rsid w:val="003E074F"/>
    <w:rPr>
      <w:rFonts w:ascii="HG丸ｺﾞｼｯｸM-PRO" w:eastAsia="HG丸ｺﾞｼｯｸM-PRO" w:hAnsi="ＭＳ ゴシック" w:cs="Arial"/>
      <w:color w:val="000000"/>
      <w:sz w:val="40"/>
      <w:szCs w:val="20"/>
    </w:rPr>
  </w:style>
  <w:style w:type="paragraph" w:styleId="a5">
    <w:name w:val="header"/>
    <w:basedOn w:val="a"/>
    <w:link w:val="a6"/>
    <w:uiPriority w:val="99"/>
    <w:unhideWhenUsed/>
    <w:rsid w:val="00756078"/>
    <w:pPr>
      <w:tabs>
        <w:tab w:val="center" w:pos="4252"/>
        <w:tab w:val="right" w:pos="8504"/>
      </w:tabs>
      <w:snapToGrid w:val="0"/>
    </w:pPr>
  </w:style>
  <w:style w:type="character" w:customStyle="1" w:styleId="a6">
    <w:name w:val="ヘッダー (文字)"/>
    <w:basedOn w:val="a0"/>
    <w:link w:val="a5"/>
    <w:uiPriority w:val="99"/>
    <w:rsid w:val="00756078"/>
    <w:rPr>
      <w:rFonts w:ascii="Times New Roman" w:eastAsia="ＭＳ 明朝" w:hAnsi="Times New Roman" w:cs="Times New Roman"/>
      <w:color w:val="000000"/>
      <w:szCs w:val="20"/>
    </w:rPr>
  </w:style>
  <w:style w:type="paragraph" w:styleId="a7">
    <w:name w:val="footer"/>
    <w:basedOn w:val="a"/>
    <w:link w:val="a8"/>
    <w:uiPriority w:val="99"/>
    <w:unhideWhenUsed/>
    <w:rsid w:val="00756078"/>
    <w:pPr>
      <w:tabs>
        <w:tab w:val="center" w:pos="4252"/>
        <w:tab w:val="right" w:pos="8504"/>
      </w:tabs>
      <w:snapToGrid w:val="0"/>
    </w:pPr>
  </w:style>
  <w:style w:type="character" w:customStyle="1" w:styleId="a8">
    <w:name w:val="フッター (文字)"/>
    <w:basedOn w:val="a0"/>
    <w:link w:val="a7"/>
    <w:uiPriority w:val="99"/>
    <w:rsid w:val="00756078"/>
    <w:rPr>
      <w:rFonts w:ascii="Times New Roman" w:eastAsia="ＭＳ 明朝" w:hAnsi="Times New Roman" w:cs="Times New Roman"/>
      <w:color w:val="000000"/>
      <w:szCs w:val="20"/>
    </w:rPr>
  </w:style>
  <w:style w:type="paragraph" w:styleId="a9">
    <w:name w:val="Body Text"/>
    <w:basedOn w:val="a"/>
    <w:link w:val="aa"/>
    <w:uiPriority w:val="99"/>
    <w:semiHidden/>
    <w:unhideWhenUsed/>
    <w:rsid w:val="009E005F"/>
  </w:style>
  <w:style w:type="character" w:customStyle="1" w:styleId="aa">
    <w:name w:val="本文 (文字)"/>
    <w:basedOn w:val="a0"/>
    <w:link w:val="a9"/>
    <w:uiPriority w:val="99"/>
    <w:semiHidden/>
    <w:rsid w:val="009E005F"/>
    <w:rPr>
      <w:rFonts w:ascii="Times New Roman" w:eastAsia="ＭＳ 明朝" w:hAnsi="Times New Roman" w:cs="Times New Roman"/>
      <w:color w:val="000000"/>
      <w:szCs w:val="20"/>
    </w:rPr>
  </w:style>
  <w:style w:type="paragraph" w:styleId="ab">
    <w:name w:val="Body Text First Indent"/>
    <w:basedOn w:val="a9"/>
    <w:link w:val="ac"/>
    <w:semiHidden/>
    <w:rsid w:val="009E005F"/>
    <w:pPr>
      <w:adjustRightInd w:val="0"/>
      <w:spacing w:line="280" w:lineRule="atLeast"/>
      <w:ind w:firstLineChars="100" w:firstLine="210"/>
      <w:textAlignment w:val="baseline"/>
    </w:pPr>
    <w:rPr>
      <w:color w:val="auto"/>
      <w:szCs w:val="21"/>
    </w:rPr>
  </w:style>
  <w:style w:type="character" w:customStyle="1" w:styleId="ac">
    <w:name w:val="本文字下げ (文字)"/>
    <w:basedOn w:val="aa"/>
    <w:link w:val="ab"/>
    <w:semiHidden/>
    <w:rsid w:val="009E005F"/>
    <w:rPr>
      <w:rFonts w:ascii="Times New Roman" w:eastAsia="ＭＳ 明朝" w:hAnsi="Times New Roman" w:cs="Times New Roman"/>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Words>
  <Characters>1521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児島 拓磨</dc:creator>
  <cp:keywords/>
  <dc:description/>
  <cp:lastModifiedBy>児島 拓磨</cp:lastModifiedBy>
  <cp:revision>2</cp:revision>
  <dcterms:created xsi:type="dcterms:W3CDTF">2019-07-02T15:44:00Z</dcterms:created>
  <dcterms:modified xsi:type="dcterms:W3CDTF">2019-07-02T15:44:00Z</dcterms:modified>
</cp:coreProperties>
</file>