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60"/>
        <w:jc w:val="center"/>
      </w:pPr>
      <w:r>
        <w:rPr>
          <w:rFonts w:ascii="Arial" w:cs="Arial" w:eastAsia="Arial" w:hAnsi="Arial"/>
          <w:color w:val="666666"/>
          <w:sz w:val="24"/>
          <w:szCs w:val="24"/>
        </w:rPr>
        <w:t xml:space="preserve">きょうしん輸送株式会社</w:t>
      </w:r>
    </w:p>
    <w:p>
      <w:pPr>
        <w:spacing w:after="160"/>
        <w:jc w:val="center"/>
      </w:pPr>
      <w:r>
        <w:rPr>
          <w:rFonts w:ascii="Arial" w:cs="Arial" w:eastAsia="Arial" w:hAnsi="Arial"/>
          <w:b/>
          <w:bCs/>
          <w:color w:val="1A5276"/>
          <w:sz w:val="42"/>
          <w:szCs w:val="42"/>
        </w:rPr>
        <w:t xml:space="preserve">勤怠連動型 給与計算WEBシステム</w:t>
      </w:r>
    </w:p>
    <w:p>
      <w:pPr>
        <w:spacing w:after="400"/>
        <w:jc w:val="center"/>
      </w:pPr>
      <w:r>
        <w:rPr>
          <w:rFonts w:ascii="Arial" w:cs="Arial" w:eastAsia="Arial" w:hAnsi="Arial"/>
          <w:color w:val="2C3E50"/>
          <w:sz w:val="34"/>
          <w:szCs w:val="34"/>
        </w:rPr>
        <w:t xml:space="preserve">要件定義書</w:t>
      </w:r>
    </w:p>
    <w:p>
      <w:pPr>
        <w:spacing w:after="60"/>
        <w:jc w:val="center"/>
      </w:pPr>
      <w:r>
        <w:rPr>
          <w:rFonts w:ascii="Arial" w:cs="Arial" w:eastAsia="Arial" w:hAnsi="Arial"/>
          <w:color w:val="888888"/>
          <w:sz w:val="19"/>
          <w:szCs w:val="19"/>
        </w:rPr>
        <w:t xml:space="preserve">Version 3.0（MF給与データ検証済み・計算ロジック確定版）</w:t>
      </w:r>
    </w:p>
    <w:p>
      <w:pPr>
        <w:spacing w:after="60"/>
        <w:jc w:val="center"/>
      </w:pPr>
      <w:r>
        <w:rPr>
          <w:rFonts w:ascii="Arial" w:cs="Arial" w:eastAsia="Arial" w:hAnsi="Arial"/>
          <w:color w:val="888888"/>
          <w:sz w:val="19"/>
          <w:szCs w:val="19"/>
        </w:rPr>
        <w:t xml:space="preserve">作成日：2026年2月6日</w:t>
      </w:r>
    </w:p>
    <w:p>
      <w:pPr>
        <w:spacing w:after="40"/>
      </w:pPr>
    </w:p>
    <w:p>
      <w:pPr>
        <w:spacing w:after="40"/>
      </w:pPr>
    </w:p>
    <w:p>
      <w:pPr>
        <w:spacing w:after="40"/>
      </w:pPr>
    </w:p>
    <w:p>
      <w:pPr>
        <w:spacing w:after="40"/>
      </w:pPr>
    </w:p>
    <w:p>
      <w:pPr>
        <w:spacing w:after="40"/>
      </w:pPr>
    </w:p>
    <w:p>
      <w:pPr>
        <w:jc w:val="center"/>
      </w:pPr>
      <w:r>
        <w:rPr>
          <w:rFonts w:ascii="Arial" w:cs="Arial" w:eastAsia="Arial" w:hAnsi="Arial"/>
          <w:color w:val="666666"/>
          <w:sz w:val="19"/>
          <w:szCs w:val="19"/>
        </w:rPr>
        <w:t xml:space="preserve">HRMOS勤怠API連携 | 協会けんぽ（北海道）| MF給与4か月分突合検証済み</w:t>
      </w:r>
    </w:p>
    <w:p>
      <w:r>
        <w:br w:type="page"/>
      </w:r>
    </w:p>
    <w:p>
      <w:pPr>
        <w:pStyle w:val="Heading1"/>
      </w:pPr>
      <w:r>
        <w:t xml:space="preserve">1. プロジェクト概要</w:t>
      </w:r>
    </w:p>
    <w:p>
      <w:pPr>
        <w:spacing w:after="80"/>
      </w:pPr>
      <w:r>
        <w:rPr>
          <w:rFonts w:ascii="Arial" w:cs="Arial" w:eastAsia="Arial" w:hAnsi="Arial"/>
          <w:sz w:val="20"/>
          <w:szCs w:val="20"/>
        </w:rPr>
        <w:t xml:space="preserve">本プロジェクトは、きょうしん輸送株式会社で利用中のマネーフォワード クラウド給与を完全に置き換え、HRMOS勤怠管理とAPI連携した自社専用の給与計算WEBシステムを構築するものです。</w:t>
      </w:r>
    </w:p>
    <w:p>
      <w:pPr>
        <w:spacing w:after="80"/>
      </w:pPr>
      <w:r>
        <w:rPr>
          <w:rFonts w:ascii="Arial" w:cs="Arial" w:eastAsia="Arial" w:hAnsi="Arial"/>
          <w:sz w:val="20"/>
          <w:szCs w:val="20"/>
        </w:rPr>
        <w:t xml:space="preserve">MF給与の2025年9月〜12月支給分のCSVデータを用いて計算ロジックを検証済みであり、全項目が一致することを確認しています。</w:t>
      </w:r>
    </w:p>
    <w:p>
      <w:pPr>
        <w:pStyle w:val="Heading1"/>
      </w:pPr>
      <w:r>
        <w:t xml:space="preserve">2. 会社情報</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項目</w:t>
            </w:r>
          </w:p>
        </w:tc>
        <w:tc>
          <w:tcPr>
            <w:tcW w:type="dxa" w:w="70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内容</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会社名</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きょうしん輸送株式会社</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管轄</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北海道</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所轄税務署</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岩見沢</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健康保険</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協会けんぽ事業所（北海道）</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厚生年金</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岩見沢年金事務所（事業所番号：08714）</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従業員数</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現在籍5名以下（退職者含む登録27名）</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締め日・支払日</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末日締め・翌月20日払い（銀行休業日は手動変更）</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社保料徴収</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翌月徴収</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源泉徴収税額</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税額表（月額表）を使用</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利用者</w:t>
            </w:r>
          </w:p>
        </w:tc>
        <w:tc>
          <w:tcPr>
            <w:tcW w:type="dxa" w:w="70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管理者1名のみ（社内ネットワーク）</w:t>
            </w:r>
          </w:p>
        </w:tc>
      </w:tr>
    </w:tbl>
    <w:p>
      <w:pPr>
        <w:pStyle w:val="Heading1"/>
      </w:pPr>
      <w:r>
        <w:t xml:space="preserve">3. 現在籍従業員の給与体系（検証済み）</w:t>
      </w:r>
    </w:p>
    <w:p>
      <w:pPr>
        <w:spacing w:after="80"/>
      </w:pPr>
      <w:r>
        <w:rPr>
          <w:rFonts w:ascii="Arial" w:cs="Arial" w:eastAsia="Arial" w:hAnsi="Arial"/>
          <w:sz w:val="20"/>
          <w:szCs w:val="20"/>
        </w:rPr>
        <w:t xml:space="preserve">MF給与CSVデータとの突合検証により、以下の計算パラメータが確定しています。</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200"/>
        <w:gridCol w:w="1106"/>
        <w:gridCol w:w="1000"/>
        <w:gridCol w:w="1000"/>
        <w:gridCol w:w="1000"/>
      </w:tblGrid>
      <w:tr>
        <w:tc>
          <w:tcPr>
            <w:tcW w:type="dxa" w:w="15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氏名</w:t>
            </w:r>
          </w:p>
        </w:tc>
        <w:tc>
          <w:tcPr>
            <w:tcW w:type="dxa" w:w="15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区分</w:t>
            </w:r>
          </w:p>
        </w:tc>
        <w:tc>
          <w:tcPr>
            <w:tcW w:type="dxa" w:w="1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基本給</w:t>
            </w:r>
          </w:p>
        </w:tc>
        <w:tc>
          <w:tcPr>
            <w:tcW w:type="dxa" w:w="1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職務手当</w:t>
            </w:r>
          </w:p>
        </w:tc>
        <w:tc>
          <w:tcPr>
            <w:tcW w:type="dxa" w:w="11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月平均所定h</w:t>
            </w:r>
          </w:p>
        </w:tc>
        <w:tc>
          <w:tcPr>
            <w:tcW w:type="dxa" w:w="1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標準報酬</w:t>
            </w:r>
          </w:p>
        </w:tc>
        <w:tc>
          <w:tcPr>
            <w:tcW w:type="dxa" w:w="1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介護保険</w:t>
            </w:r>
          </w:p>
        </w:tc>
        <w:tc>
          <w:tcPr>
            <w:tcW w:type="dxa" w:w="1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雇用保険</w:t>
            </w:r>
          </w:p>
        </w:tc>
      </w:tr>
      <w:tr>
        <w:tc>
          <w:tcPr>
            <w:tcW w:type="dxa" w:w="1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渡会流雅</w:t>
            </w:r>
          </w:p>
        </w:tc>
        <w:tc>
          <w:tcPr>
            <w:tcW w:type="dxa" w:w="1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月給(ドライバー)</w:t>
            </w:r>
          </w:p>
        </w:tc>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210,000</w:t>
            </w:r>
          </w:p>
        </w:tc>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10,000</w:t>
            </w:r>
          </w:p>
        </w:tc>
        <w:tc>
          <w:tcPr>
            <w:tcW w:type="dxa" w:w="11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173.0</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260,000</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なし</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0.55%</w:t>
            </w:r>
          </w:p>
        </w:tc>
      </w:tr>
      <w:tr>
        <w:tc>
          <w:tcPr>
            <w:tcW w:type="dxa" w:w="1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渡曾羊一</w:t>
            </w:r>
          </w:p>
        </w:tc>
        <w:tc>
          <w:tcPr>
            <w:tcW w:type="dxa" w:w="1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月給(短時間)</w:t>
            </w:r>
          </w:p>
        </w:tc>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100,000</w:t>
            </w:r>
          </w:p>
        </w:tc>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w:t>
            </w:r>
          </w:p>
        </w:tc>
        <w:tc>
          <w:tcPr>
            <w:tcW w:type="dxa" w:w="11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89.1</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104,000</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なし</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なし</w:t>
            </w:r>
          </w:p>
        </w:tc>
      </w:tr>
      <w:tr>
        <w:tc>
          <w:tcPr>
            <w:tcW w:type="dxa" w:w="1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門馬将太</w:t>
            </w:r>
          </w:p>
        </w:tc>
        <w:tc>
          <w:tcPr>
            <w:tcW w:type="dxa" w:w="1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月給(役員)</w:t>
            </w:r>
          </w:p>
        </w:tc>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370,000</w:t>
            </w:r>
          </w:p>
        </w:tc>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w:t>
            </w:r>
          </w:p>
        </w:tc>
        <w:tc>
          <w:tcPr>
            <w:tcW w:type="dxa" w:w="11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380,000</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color w:val="C0392B"/>
                <w:sz w:val="18"/>
                <w:szCs w:val="18"/>
              </w:rPr>
              <w:t xml:space="preserve">あり</w:t>
            </w:r>
          </w:p>
        </w:tc>
        <w:tc>
          <w:tcPr>
            <w:tcW w:type="dxa" w:w="1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なし</w:t>
            </w:r>
          </w:p>
        </w:tc>
      </w:tr>
    </w:tbl>
    <w:p>
      <w:pPr>
        <w:spacing w:after="40"/>
      </w:pPr>
    </w:p>
    <w:p>
      <w:pPr>
        <w:spacing w:after="80"/>
      </w:pPr>
      <w:r>
        <w:rPr>
          <w:rFonts w:ascii="Arial" w:cs="Arial" w:eastAsia="Arial" w:hAnsi="Arial"/>
          <w:sz w:val="20"/>
          <w:szCs w:val="20"/>
        </w:rPr>
        <w:t xml:space="preserve">※渡曾羊一：年金受給者のため厚生年金なし。短時間勤務で月平均所定労働時間89.1h。</w:t>
      </w:r>
    </w:p>
    <w:p>
      <w:pPr>
        <w:spacing w:after="80"/>
      </w:pPr>
      <w:r>
        <w:rPr>
          <w:rFonts w:ascii="Arial" w:cs="Arial" w:eastAsia="Arial" w:hAnsi="Arial"/>
          <w:sz w:val="20"/>
          <w:szCs w:val="20"/>
        </w:rPr>
        <w:t xml:space="preserve">※門馬将太：2025年11月より役員。雇用保険なし。介護保険料は健保欄に合算（40歳以上）。</w:t>
      </w:r>
    </w:p>
    <w:p>
      <w:r>
        <w:br w:type="page"/>
      </w:r>
    </w:p>
    <w:p>
      <w:pPr>
        <w:pStyle w:val="Heading1"/>
      </w:pPr>
      <w:r>
        <w:t xml:space="preserve">4. 給与計算ロジック（MFデータ検証確定版）</w:t>
      </w:r>
    </w:p>
    <w:p>
      <w:pPr>
        <w:spacing w:after="80"/>
      </w:pPr>
      <w:r>
        <w:rPr>
          <w:rFonts w:ascii="Arial" w:cs="Arial" w:eastAsia="Arial" w:hAnsi="Arial"/>
          <w:sz w:val="20"/>
          <w:szCs w:val="20"/>
        </w:rPr>
        <w:t xml:space="preserve">2025年9月〜12月の4か月分のMF給与CSVデータと突合し、全項目一致を確認済みです。</w:t>
      </w:r>
    </w:p>
    <w:p>
      <w:pPr>
        <w:spacing w:after="40"/>
      </w:pPr>
    </w:p>
    <w:p>
      <w:pPr>
        <w:pStyle w:val="Heading2"/>
      </w:pPr>
      <w:r>
        <w:t xml:space="preserve">4-1. 残業代計算</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306"/>
        <w:gridCol w:w="3000"/>
      </w:tblGrid>
      <w:tr>
        <w:tc>
          <w:tcPr>
            <w:tcW w:type="dxa" w:w="2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計算項目</w:t>
            </w:r>
          </w:p>
        </w:tc>
        <w:tc>
          <w:tcPr>
            <w:tcW w:type="dxa" w:w="43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計算式</w:t>
            </w:r>
          </w:p>
        </w:tc>
        <w:tc>
          <w:tcPr>
            <w:tcW w:type="dxa" w:w="3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丸め</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時間単価</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（基本給 + 職務手当）/ 月平均所定労働時間</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丸めない（生の小数値を保持）</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残業手当（法定外）</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時間単価 × 法定外時間 × 1.25</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color w:val="C0392B"/>
                <w:sz w:val="18"/>
                <w:szCs w:val="18"/>
              </w:rPr>
              <w:t xml:space="preserve">1円未満切り上げ（ceil）</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法定内残業手当</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時間単価 × 所定外時間 × 1.00</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color w:val="C0392B"/>
                <w:sz w:val="18"/>
                <w:szCs w:val="18"/>
              </w:rPr>
              <w:t xml:space="preserve">1円未満切り上げ（ceil）</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深夜残業手当</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時間単価 × 深夜法定外時間 × 1.25</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color w:val="C0392B"/>
                <w:sz w:val="18"/>
                <w:szCs w:val="18"/>
              </w:rPr>
              <w:t xml:space="preserve">1円未満切り上げ（ceil）</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休日出勤手当</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時間単価 × 法定休日時間 × 1.35</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1円未満切り上げ（ceil）※推定</w:t>
            </w:r>
          </w:p>
        </w:tc>
      </w:tr>
    </w:tbl>
    <w:p>
      <w:pPr>
        <w:spacing w:after="40"/>
      </w:pPr>
    </w:p>
    <w:p>
      <w:pPr>
        <w:spacing w:after="80"/>
      </w:pPr>
      <w:r>
        <w:rPr>
          <w:rFonts w:ascii="Arial" w:cs="Arial" w:eastAsia="Arial" w:hAnsi="Arial"/>
          <w:b/>
          <w:bCs/>
          <w:sz w:val="20"/>
          <w:szCs w:val="20"/>
        </w:rPr>
        <w:t xml:space="preserve">【検証例】渡会流雅 2025年9月支給分</w:t>
      </w:r>
    </w:p>
    <w:p>
      <w:pPr>
        <w:spacing w:after="80"/>
      </w:pPr>
      <w:r>
        <w:rPr>
          <w:rFonts w:ascii="Arial" w:cs="Arial" w:eastAsia="Arial" w:hAnsi="Arial"/>
          <w:sz w:val="20"/>
          <w:szCs w:val="20"/>
        </w:rPr>
        <w:t xml:space="preserve">時間単価 = (210,000 + 10,000) / 173.0 = 1,271.6763...円</w:t>
      </w:r>
    </w:p>
    <w:p>
      <w:pPr>
        <w:spacing w:after="80"/>
      </w:pPr>
      <w:r>
        <w:rPr>
          <w:rFonts w:ascii="Arial" w:cs="Arial" w:eastAsia="Arial" w:hAnsi="Arial"/>
          <w:sz w:val="20"/>
          <w:szCs w:val="20"/>
        </w:rPr>
        <w:t xml:space="preserve">残業手当 = 1,271.6763... × 60.0h × 1.25 = 95,375.7225... → ceil → 95,376円 ✓（MF一致）</w:t>
      </w:r>
    </w:p>
    <w:p>
      <w:pPr>
        <w:spacing w:after="40"/>
      </w:pPr>
    </w:p>
    <w:p>
      <w:pPr>
        <w:spacing w:after="80"/>
      </w:pPr>
      <w:r>
        <w:rPr>
          <w:rFonts w:ascii="Arial" w:cs="Arial" w:eastAsia="Arial" w:hAnsi="Arial"/>
          <w:b/>
          <w:bCs/>
          <w:sz w:val="20"/>
          <w:szCs w:val="20"/>
        </w:rPr>
        <w:t xml:space="preserve">【重要】深夜残業手当は残業手当と別途加算</w:t>
      </w:r>
    </w:p>
    <w:p>
      <w:pPr>
        <w:spacing w:after="80"/>
      </w:pPr>
      <w:r>
        <w:rPr>
          <w:rFonts w:ascii="Arial" w:cs="Arial" w:eastAsia="Arial" w:hAnsi="Arial"/>
          <w:sz w:val="20"/>
          <w:szCs w:val="20"/>
        </w:rPr>
        <w:t xml:space="preserve">深夜法定外の時間は、残業手当（法定外×1.25）にも含まれた上で、深夜残業手当として別途×1.25が加算されます。</w:t>
      </w:r>
    </w:p>
    <w:p>
      <w:pPr>
        <w:pStyle w:val="Heading2"/>
      </w:pPr>
      <w:r>
        <w:t xml:space="preserve">4-2. 社会保険料計算</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306"/>
        <w:gridCol w:w="3000"/>
      </w:tblGrid>
      <w:tr>
        <w:tc>
          <w:tcPr>
            <w:tcW w:type="dxa" w:w="2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保険種別</w:t>
            </w:r>
          </w:p>
        </w:tc>
        <w:tc>
          <w:tcPr>
            <w:tcW w:type="dxa" w:w="43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計算式</w:t>
            </w:r>
          </w:p>
        </w:tc>
        <w:tc>
          <w:tcPr>
            <w:tcW w:type="dxa" w:w="3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丸め</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健康保険料</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標準報酬月額 × 51.55‰（協会けんぽ北海道）</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50銭以下切捨・50銭超切上</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介護保険料</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標準報酬月額 × 7.95‰（40歳以上65歳未満）</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50銭以下切捨・50銭超切上</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厚生年金保険料</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標準報酬月額 × 91.5‰</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50銭以下切捨・50銭超切上</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雇用保険料</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総支給額 × 5.5‰（運送業）</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color w:val="C0392B"/>
                <w:sz w:val="18"/>
                <w:szCs w:val="18"/>
              </w:rPr>
              <w:t xml:space="preserve">50銭以下切捨・50銭超切上</w:t>
            </w:r>
          </w:p>
        </w:tc>
      </w:tr>
    </w:tbl>
    <w:p>
      <w:pPr>
        <w:spacing w:after="40"/>
      </w:pPr>
    </w:p>
    <w:p>
      <w:pPr>
        <w:spacing w:after="80"/>
      </w:pPr>
      <w:r>
        <w:rPr>
          <w:rFonts w:ascii="Arial" w:cs="Arial" w:eastAsia="Arial" w:hAnsi="Arial"/>
          <w:b/>
          <w:bCs/>
          <w:sz w:val="20"/>
          <w:szCs w:val="20"/>
        </w:rPr>
        <w:t xml:space="preserve">【検証結果】全4か月・全従業員で一致確認済み</w:t>
      </w:r>
    </w:p>
    <w:p>
      <w:pPr>
        <w:spacing w:after="80"/>
      </w:pPr>
      <w:r>
        <w:rPr>
          <w:rFonts w:ascii="Arial" w:cs="Arial" w:eastAsia="Arial" w:hAnsi="Arial"/>
          <w:sz w:val="20"/>
          <w:szCs w:val="20"/>
        </w:rPr>
        <w:t xml:space="preserve">健康保険：渡会流雅 260,000×51.55‰=13,403円 ✓ / 門馬将太 380,000×59.5‰=22,610円（介護込み）✓</w:t>
      </w:r>
    </w:p>
    <w:p>
      <w:pPr>
        <w:spacing w:after="80"/>
      </w:pPr>
      <w:r>
        <w:rPr>
          <w:rFonts w:ascii="Arial" w:cs="Arial" w:eastAsia="Arial" w:hAnsi="Arial"/>
          <w:sz w:val="20"/>
          <w:szCs w:val="20"/>
        </w:rPr>
        <w:t xml:space="preserve">雇用保険：渡会流雅 9月 315,376×5.5‰=1,734.57→1,735円 ✓（一般事業0.6%ではなく0.55%）</w:t>
      </w:r>
    </w:p>
    <w:p>
      <w:pPr>
        <w:spacing w:after="40"/>
      </w:pPr>
    </w:p>
    <w:p>
      <w:pPr>
        <w:spacing w:after="80"/>
      </w:pPr>
      <w:r>
        <w:rPr>
          <w:rFonts w:ascii="Arial" w:cs="Arial" w:eastAsia="Arial" w:hAnsi="Arial"/>
          <w:b/>
          <w:bCs/>
          <w:sz w:val="20"/>
          <w:szCs w:val="20"/>
        </w:rPr>
        <w:t xml:space="preserve">【注意】介護保険料の表示方法</w:t>
      </w:r>
    </w:p>
    <w:p>
      <w:pPr>
        <w:spacing w:after="80"/>
      </w:pPr>
      <w:r>
        <w:rPr>
          <w:rFonts w:ascii="Arial" w:cs="Arial" w:eastAsia="Arial" w:hAnsi="Arial"/>
          <w:sz w:val="20"/>
          <w:szCs w:val="20"/>
        </w:rPr>
        <w:t xml:space="preserve">門馬将太（40歳以上）：MFでは健康保険料欄に介護保険料を合算表示。新システムでは分離表示を推奨。</w:t>
      </w:r>
    </w:p>
    <w:p>
      <w:pPr>
        <w:spacing w:after="80"/>
      </w:pPr>
      <w:r>
        <w:rPr>
          <w:rFonts w:ascii="Arial" w:cs="Arial" w:eastAsia="Arial" w:hAnsi="Arial"/>
          <w:sz w:val="20"/>
          <w:szCs w:val="20"/>
        </w:rPr>
        <w:t xml:space="preserve">渡曾羊一：厚生年金なし（年金受給者）、雇用保険なし。</w:t>
      </w:r>
    </w:p>
    <w:p>
      <w:pPr>
        <w:spacing w:after="40"/>
      </w:pPr>
    </w:p>
    <w:p>
      <w:pPr>
        <w:spacing w:after="80"/>
      </w:pPr>
      <w:r>
        <w:rPr>
          <w:rFonts w:ascii="Arial" w:cs="Arial" w:eastAsia="Arial" w:hAnsi="Arial"/>
          <w:b/>
          <w:bCs/>
          <w:sz w:val="20"/>
          <w:szCs w:val="20"/>
        </w:rPr>
        <w:t xml:space="preserve">【注意】社会保険料の徴収タイミング</w:t>
      </w:r>
    </w:p>
    <w:p>
      <w:pPr>
        <w:spacing w:after="80"/>
      </w:pPr>
      <w:r>
        <w:rPr>
          <w:rFonts w:ascii="Arial" w:cs="Arial" w:eastAsia="Arial" w:hAnsi="Arial"/>
          <w:sz w:val="20"/>
          <w:szCs w:val="20"/>
        </w:rPr>
        <w:t xml:space="preserve">翌月徴収：例えば1月分の社会保険料は2月支給の給与（翌月20日払い）から控除します。</w:t>
      </w:r>
    </w:p>
    <w:p>
      <w:pPr>
        <w:pStyle w:val="Heading2"/>
      </w:pPr>
      <w:r>
        <w:t xml:space="preserve">4-3. 所得税計算</w:t>
      </w:r>
    </w:p>
    <w:p>
      <w:pPr>
        <w:spacing w:after="80"/>
      </w:pPr>
      <w:r>
        <w:rPr>
          <w:rFonts w:ascii="Arial" w:cs="Arial" w:eastAsia="Arial" w:hAnsi="Arial"/>
          <w:sz w:val="20"/>
          <w:szCs w:val="20"/>
        </w:rPr>
        <w:t xml:space="preserve">源泉徴収税額表（月額表・甲欄）を使用。課税対象額 = 総支給額 - 社会保険料合計 - 非課税通勤手当。</w:t>
      </w:r>
    </w:p>
    <w:p>
      <w:pPr>
        <w:spacing w:after="80"/>
      </w:pPr>
      <w:r>
        <w:rPr>
          <w:rFonts w:ascii="Arial" w:cs="Arial" w:eastAsia="Arial" w:hAnsi="Arial"/>
          <w:sz w:val="20"/>
          <w:szCs w:val="20"/>
        </w:rPr>
        <w:t xml:space="preserve">扶養人数に応じた税額表から所得税額を決定します。税額表データはマスタとして登録し年度更新します。</w:t>
      </w:r>
    </w:p>
    <w:p>
      <w:pPr>
        <w:pStyle w:val="Heading2"/>
      </w:pPr>
      <w:r>
        <w:t xml:space="preserve">4-4. 給与計算フロー</w:t>
      </w:r>
    </w:p>
    <w:p>
      <w:pPr>
        <w:spacing w:after="80"/>
      </w:pPr>
      <w:r>
        <w:rPr>
          <w:rFonts w:ascii="Arial" w:cs="Arial" w:eastAsia="Arial" w:hAnsi="Arial"/>
          <w:sz w:val="20"/>
          <w:szCs w:val="20"/>
        </w:rPr>
        <w:t xml:space="preserve">1) HRMOS勤怠からAPI経由で勤怠データ（残業時間等）を取得</w:t>
      </w:r>
    </w:p>
    <w:p>
      <w:pPr>
        <w:spacing w:after="80"/>
      </w:pPr>
      <w:r>
        <w:rPr>
          <w:rFonts w:ascii="Arial" w:cs="Arial" w:eastAsia="Arial" w:hAnsi="Arial"/>
          <w:sz w:val="20"/>
          <w:szCs w:val="20"/>
        </w:rPr>
        <w:t xml:space="preserve">2) 従業員ごとに残業代を自動計算（時間単価×時間×割増率→ceil）</w:t>
      </w:r>
    </w:p>
    <w:p>
      <w:pPr>
        <w:spacing w:after="80"/>
      </w:pPr>
      <w:r>
        <w:rPr>
          <w:rFonts w:ascii="Arial" w:cs="Arial" w:eastAsia="Arial" w:hAnsi="Arial"/>
          <w:sz w:val="20"/>
          <w:szCs w:val="20"/>
        </w:rPr>
        <w:t xml:space="preserve">3) 総支給額 = 基本給 + 職務手当 + 残業手当 + 法定内残業手当 + 深夜残業手当 + 通勤手当</w:t>
      </w:r>
    </w:p>
    <w:p>
      <w:pPr>
        <w:spacing w:after="80"/>
      </w:pPr>
      <w:r>
        <w:rPr>
          <w:rFonts w:ascii="Arial" w:cs="Arial" w:eastAsia="Arial" w:hAnsi="Arial"/>
          <w:sz w:val="20"/>
          <w:szCs w:val="20"/>
        </w:rPr>
        <w:t xml:space="preserve">4) 社会保険料を標準報酬月額・料率から計算（翌月徴収）</w:t>
      </w:r>
    </w:p>
    <w:p>
      <w:pPr>
        <w:spacing w:after="80"/>
      </w:pPr>
      <w:r>
        <w:rPr>
          <w:rFonts w:ascii="Arial" w:cs="Arial" w:eastAsia="Arial" w:hAnsi="Arial"/>
          <w:sz w:val="20"/>
          <w:szCs w:val="20"/>
        </w:rPr>
        <w:t xml:space="preserve">5) 雇用保険料 = 総支給額 × 5.5‰</w:t>
      </w:r>
    </w:p>
    <w:p>
      <w:pPr>
        <w:spacing w:after="80"/>
      </w:pPr>
      <w:r>
        <w:rPr>
          <w:rFonts w:ascii="Arial" w:cs="Arial" w:eastAsia="Arial" w:hAnsi="Arial"/>
          <w:sz w:val="20"/>
          <w:szCs w:val="20"/>
        </w:rPr>
        <w:t xml:space="preserve">6) 課税対象額 = 総支給額 - 社保料合計 - 非課税通勤手当</w:t>
      </w:r>
    </w:p>
    <w:p>
      <w:pPr>
        <w:spacing w:after="80"/>
      </w:pPr>
      <w:r>
        <w:rPr>
          <w:rFonts w:ascii="Arial" w:cs="Arial" w:eastAsia="Arial" w:hAnsi="Arial"/>
          <w:sz w:val="20"/>
          <w:szCs w:val="20"/>
        </w:rPr>
        <w:t xml:space="preserve">7) 所得税 = 税額表（月額表・甲欄）から算出</w:t>
      </w:r>
    </w:p>
    <w:p>
      <w:pPr>
        <w:spacing w:after="80"/>
      </w:pPr>
      <w:r>
        <w:rPr>
          <w:rFonts w:ascii="Arial" w:cs="Arial" w:eastAsia="Arial" w:hAnsi="Arial"/>
          <w:sz w:val="20"/>
          <w:szCs w:val="20"/>
        </w:rPr>
        <w:t xml:space="preserve">8) 差引支給額 = 総支給額 - 健保 - 介護 - 厚年 - 雇用保険 - 所得税 - 住民税</w:t>
      </w:r>
    </w:p>
    <w:p>
      <w:r>
        <w:br w:type="page"/>
      </w:r>
    </w:p>
    <w:p>
      <w:pPr>
        <w:pStyle w:val="Heading1"/>
      </w:pPr>
      <w:r>
        <w:t xml:space="preserve">5. 所定労働時間・休日設定</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253"/>
        <w:gridCol w:w="3253"/>
      </w:tblGrid>
      <w:tr>
        <w:tc>
          <w:tcPr>
            <w:tcW w:type="dxa" w:w="3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項目</w:t>
            </w:r>
          </w:p>
        </w:tc>
        <w:tc>
          <w:tcPr>
            <w:tcW w:type="dxa" w:w="325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渡会流雅</w:t>
            </w:r>
          </w:p>
        </w:tc>
        <w:tc>
          <w:tcPr>
            <w:tcW w:type="dxa" w:w="325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渡曾羊一</w:t>
            </w:r>
          </w:p>
        </w:tc>
      </w:tr>
      <w:tr>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1日の所定労働時間</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6.7時間</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6.7時間</w:t>
            </w:r>
          </w:p>
        </w:tc>
      </w:tr>
      <w:tr>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月平均所定労働時間</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173.0時間</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color w:val="C0392B"/>
                <w:sz w:val="18"/>
                <w:szCs w:val="18"/>
              </w:rPr>
              <w:t xml:space="preserve">89.1時間（短時間勤務）</w:t>
            </w:r>
          </w:p>
        </w:tc>
      </w:tr>
      <w:tr>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月平均所定労働日数</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26.0日</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（個別設定）</w:t>
            </w:r>
          </w:p>
        </w:tc>
      </w:tr>
      <w:tr>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年間所定労働日数</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307日</w:t>
            </w:r>
          </w:p>
        </w:tc>
        <w:tc>
          <w:tcPr>
            <w:tcW w:type="dxa" w:w="3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w:t>
            </w:r>
          </w:p>
        </w:tc>
      </w:tr>
    </w:tbl>
    <w:p>
      <w:pPr>
        <w:spacing w:after="40"/>
      </w:pPr>
    </w:p>
    <w:p>
      <w:pPr>
        <w:spacing w:after="80"/>
      </w:pPr>
      <w:r>
        <w:rPr>
          <w:rFonts w:ascii="Arial" w:cs="Arial" w:eastAsia="Arial" w:hAnsi="Arial"/>
          <w:sz w:val="20"/>
          <w:szCs w:val="20"/>
        </w:rPr>
        <w:t xml:space="preserve">法定休日：日曜日 / 独自休日：年始（1/1〜1/5）、年末（12/30〜12/31）</w:t>
      </w:r>
    </w:p>
    <w:p>
      <w:pPr>
        <w:spacing w:after="80"/>
      </w:pPr>
      <w:r>
        <w:rPr>
          <w:rFonts w:ascii="Arial" w:cs="Arial" w:eastAsia="Arial" w:hAnsi="Arial"/>
          <w:sz w:val="20"/>
          <w:szCs w:val="20"/>
        </w:rPr>
        <w:t xml:space="preserve">※従業員ごとに月平均所定労働時間を個別設定できる仕組みが必要です。</w:t>
      </w:r>
    </w:p>
    <w:p>
      <w:pPr>
        <w:pStyle w:val="Heading1"/>
      </w:pPr>
      <w:r>
        <w:t xml:space="preserve">6. 社会保険料率（現行・検証済み）</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53"/>
        <w:gridCol w:w="2253"/>
        <w:gridCol w:w="2200"/>
      </w:tblGrid>
      <w:tr>
        <w:tc>
          <w:tcPr>
            <w:tcW w:type="dxa" w:w="28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保険種別（/1,000）</w:t>
            </w:r>
          </w:p>
        </w:tc>
        <w:tc>
          <w:tcPr>
            <w:tcW w:type="dxa" w:w="225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被保険者負担</w:t>
            </w:r>
          </w:p>
        </w:tc>
        <w:tc>
          <w:tcPr>
            <w:tcW w:type="dxa" w:w="225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事業主負担</w:t>
            </w:r>
          </w:p>
        </w:tc>
        <w:tc>
          <w:tcPr>
            <w:tcW w:type="dxa" w:w="2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備考</w:t>
            </w:r>
          </w:p>
        </w:tc>
      </w:tr>
      <w:tr>
        <w:tc>
          <w:tcPr>
            <w:tcW w:type="dxa" w:w="2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健康保険</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51.55</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51.55</w:t>
            </w:r>
          </w:p>
        </w:tc>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協会けんぽ（北海道）</w:t>
            </w:r>
          </w:p>
        </w:tc>
      </w:tr>
      <w:tr>
        <w:tc>
          <w:tcPr>
            <w:tcW w:type="dxa" w:w="2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介護保険</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7.95</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7.95</w:t>
            </w:r>
          </w:p>
        </w:tc>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40歳以上65歳未満</w:t>
            </w:r>
          </w:p>
        </w:tc>
      </w:tr>
      <w:tr>
        <w:tc>
          <w:tcPr>
            <w:tcW w:type="dxa" w:w="2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厚生年金</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91.5</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91.5</w:t>
            </w:r>
          </w:p>
        </w:tc>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雇用保険</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5.5</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9.5</w:t>
            </w:r>
          </w:p>
        </w:tc>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color w:val="C0392B"/>
                <w:sz w:val="18"/>
                <w:szCs w:val="18"/>
              </w:rPr>
              <w:t xml:space="preserve">運送業 ※検証確定</w:t>
            </w:r>
          </w:p>
        </w:tc>
      </w:tr>
      <w:tr>
        <w:tc>
          <w:tcPr>
            <w:tcW w:type="dxa" w:w="2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子ども・子育て拠出金</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0.0</w:t>
            </w:r>
          </w:p>
        </w:tc>
        <w:tc>
          <w:tcPr>
            <w:tcW w:type="dxa" w:w="22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right"/>
            </w:pPr>
            <w:r>
              <w:rPr>
                <w:rFonts w:ascii="Arial" w:cs="Arial" w:eastAsia="Arial" w:hAnsi="Arial"/>
                <w:b w:val="false"/>
                <w:bCs w:val="false"/>
                <w:sz w:val="18"/>
                <w:szCs w:val="18"/>
              </w:rPr>
              <w:t xml:space="preserve">3.6</w:t>
            </w:r>
          </w:p>
        </w:tc>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事業主のみ</w:t>
            </w:r>
          </w:p>
        </w:tc>
      </w:tr>
    </w:tbl>
    <w:p>
      <w:pPr>
        <w:pStyle w:val="Heading1"/>
      </w:pPr>
      <w:r>
        <w:t xml:space="preserve">7. 部門・職種構成</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4053"/>
        <w:gridCol w:w="4053"/>
      </w:tblGrid>
      <w:tr>
        <w:tc>
          <w:tcPr>
            <w:tcW w:type="dxa" w:w="14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区分</w:t>
            </w:r>
          </w:p>
        </w:tc>
        <w:tc>
          <w:tcPr>
            <w:tcW w:type="dxa" w:w="405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分類名</w:t>
            </w:r>
          </w:p>
        </w:tc>
        <w:tc>
          <w:tcPr>
            <w:tcW w:type="dxa" w:w="405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対象者例</w:t>
            </w:r>
          </w:p>
        </w:tc>
      </w:tr>
      <w:tr>
        <w:tc>
          <w:tcPr>
            <w:tcW w:type="dxa" w:w="1400"/>
            <w:tcBorders>
              <w:top w:val="single" w:color="D5D8DC" w:sz="1"/>
              <w:left w:val="single" w:color="D5D8DC" w:sz="1"/>
              <w:bottom w:val="single" w:color="D5D8DC" w:sz="1"/>
              <w:right w:val="single" w:color="D5D8DC" w:sz="1"/>
            </w:tcBorders>
            <w:shd w:fill="EBF5FB" w:val="clear"/>
            <w:tcMar>
              <w:top w:type="dxa" w:w="70"/>
              <w:left w:type="dxa" w:w="100"/>
              <w:bottom w:type="dxa" w:w="70"/>
              <w:right w:type="dxa" w:w="100"/>
            </w:tcMar>
          </w:tcPr>
          <w:p>
            <w:pPr>
              <w:jc w:val="left"/>
            </w:pPr>
            <w:r>
              <w:rPr>
                <w:rFonts w:ascii="Arial" w:cs="Arial" w:eastAsia="Arial" w:hAnsi="Arial"/>
                <w:b/>
                <w:bCs/>
                <w:sz w:val="18"/>
                <w:szCs w:val="18"/>
              </w:rPr>
              <w:t xml:space="preserve">部門</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運送事業</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渡会流雅、渡曾羊一</w:t>
            </w:r>
          </w:p>
        </w:tc>
      </w:tr>
      <w:tr>
        <w:tc>
          <w:tcPr>
            <w:tcW w:type="dxa" w:w="1400"/>
            <w:tcBorders>
              <w:top w:val="single" w:color="D5D8DC" w:sz="1"/>
              <w:left w:val="single" w:color="D5D8DC" w:sz="1"/>
              <w:bottom w:val="single" w:color="D5D8DC" w:sz="1"/>
              <w:right w:val="single" w:color="D5D8DC" w:sz="1"/>
            </w:tcBorders>
            <w:shd w:fill="EBF5FB"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作業受託事業（選果・箱詰め）</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14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left"/>
            </w:pPr>
            <w:r>
              <w:rPr>
                <w:rFonts w:ascii="Arial" w:cs="Arial" w:eastAsia="Arial" w:hAnsi="Arial"/>
                <w:b/>
                <w:bCs/>
                <w:sz w:val="18"/>
                <w:szCs w:val="18"/>
              </w:rPr>
              <w:t xml:space="preserve">職種</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トラックドライバー</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渡会流雅、渡曾羊一</w:t>
            </w:r>
          </w:p>
        </w:tc>
      </w:tr>
      <w:tr>
        <w:tc>
          <w:tcPr>
            <w:tcW w:type="dxa" w:w="14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事務経理・労務管理・運行管理</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門馬将太（役員）</w:t>
            </w:r>
          </w:p>
        </w:tc>
      </w:tr>
      <w:tr>
        <w:tc>
          <w:tcPr>
            <w:tcW w:type="dxa" w:w="14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農産物選果管理・作業 / 一般事務</w:t>
            </w:r>
          </w:p>
        </w:tc>
        <w:tc>
          <w:tcPr>
            <w:tcW w:type="dxa" w:w="405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（現在該当者なし）</w:t>
            </w:r>
          </w:p>
        </w:tc>
      </w:tr>
    </w:tbl>
    <w:p>
      <w:pPr>
        <w:pStyle w:val="Heading1"/>
      </w:pPr>
      <w:r>
        <w:t xml:space="preserve">8. 給与明細PDF設定（MF設定準拠）</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3"/>
        <w:gridCol w:w="3503"/>
      </w:tblGrid>
      <w:tr>
        <w:tc>
          <w:tcPr>
            <w:tcW w:type="dxa" w:w="25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項目</w:t>
            </w:r>
          </w:p>
        </w:tc>
        <w:tc>
          <w:tcPr>
            <w:tcW w:type="dxa" w:w="350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表示設定</w:t>
            </w:r>
          </w:p>
        </w:tc>
        <w:tc>
          <w:tcPr>
            <w:tcW w:type="dxa" w:w="3503"/>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備考</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表示月</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支給日が属する月</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勤怠情報</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color w:val="1A5276"/>
                <w:sz w:val="18"/>
                <w:szCs w:val="18"/>
              </w:rPr>
              <w:t xml:space="preserve">表示する</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出勤日数・残業時間等</w:t>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時給（時間単価）</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color w:val="1A5276"/>
                <w:sz w:val="18"/>
                <w:szCs w:val="18"/>
              </w:rPr>
              <w:t xml:space="preserve">印字する</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扶養人数</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color w:val="1A5276"/>
                <w:sz w:val="18"/>
                <w:szCs w:val="18"/>
              </w:rPr>
              <w:t xml:space="preserve">印字する</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対象期間</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color w:val="1A5276"/>
                <w:sz w:val="18"/>
                <w:szCs w:val="18"/>
              </w:rPr>
              <w:t xml:space="preserve">印字する</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本年累計</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表示しない</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税額表区分</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印字しない</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標準報酬月額</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印字しない</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r>
        <w:tc>
          <w:tcPr>
            <w:tcW w:type="dxa" w:w="2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所属・部門</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印字しない</w:t>
            </w:r>
          </w:p>
        </w:tc>
        <w:tc>
          <w:tcPr>
            <w:tcW w:type="dxa" w:w="3503"/>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r>
    </w:tbl>
    <w:p>
      <w:r>
        <w:br w:type="page"/>
      </w:r>
    </w:p>
    <w:p>
      <w:pPr>
        <w:pStyle w:val="Heading1"/>
      </w:pPr>
      <w:r>
        <w:t xml:space="preserve">9. 機能一覧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706"/>
      </w:tblGrid>
      <w:tr>
        <w:tc>
          <w:tcPr>
            <w:tcW w:type="dxa" w:w="14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分類</w:t>
            </w:r>
          </w:p>
        </w:tc>
        <w:tc>
          <w:tcPr>
            <w:tcW w:type="dxa" w:w="24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機能名</w:t>
            </w:r>
          </w:p>
        </w:tc>
        <w:tc>
          <w:tcPr>
            <w:tcW w:type="dxa" w:w="57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詳細</w:t>
            </w:r>
          </w:p>
        </w:tc>
      </w:tr>
      <w:tr>
        <w:tc>
          <w:tcPr>
            <w:tcW w:type="dxa" w:w="1400"/>
            <w:tcBorders>
              <w:top w:val="single" w:color="D5D8DC" w:sz="1"/>
              <w:left w:val="single" w:color="D5D8DC" w:sz="1"/>
              <w:bottom w:val="single" w:color="D5D8DC" w:sz="1"/>
              <w:right w:val="single" w:color="D5D8DC" w:sz="1"/>
            </w:tcBorders>
            <w:shd w:fill="EBF5FB" w:val="clear"/>
            <w:tcMar>
              <w:top w:type="dxa" w:w="70"/>
              <w:left w:type="dxa" w:w="100"/>
              <w:bottom w:type="dxa" w:w="70"/>
              <w:right w:type="dxa" w:w="100"/>
            </w:tcMar>
          </w:tcPr>
          <w:p>
            <w:pPr>
              <w:jc w:val="left"/>
            </w:pPr>
            <w:r>
              <w:rPr>
                <w:rFonts w:ascii="Arial" w:cs="Arial" w:eastAsia="Arial" w:hAnsi="Arial"/>
                <w:b/>
                <w:bCs/>
                <w:sz w:val="18"/>
                <w:szCs w:val="18"/>
              </w:rPr>
              <w:t xml:space="preserve">HRMOS連携</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勤怠データ取得</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HRMOS勤怠APIから月次レポート取得（法定外・所定外・深夜法定外の残業時間を区分取得）</w:t>
            </w:r>
          </w:p>
        </w:tc>
      </w:tr>
      <w:tr>
        <w:tc>
          <w:tcPr>
            <w:tcW w:type="dxa" w:w="1400"/>
            <w:tcBorders>
              <w:top w:val="single" w:color="D5D8DC" w:sz="1"/>
              <w:left w:val="single" w:color="D5D8DC" w:sz="1"/>
              <w:bottom w:val="single" w:color="D5D8DC" w:sz="1"/>
              <w:right w:val="single" w:color="D5D8DC" w:sz="1"/>
            </w:tcBorders>
            <w:shd w:fill="EBF5FB"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従業員マスタ同期</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HRMOS上の従業員情報を同期</w:t>
            </w:r>
          </w:p>
        </w:tc>
      </w:tr>
      <w:tr>
        <w:tc>
          <w:tcPr>
            <w:tcW w:type="dxa" w:w="14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left"/>
            </w:pPr>
            <w:r>
              <w:rPr>
                <w:rFonts w:ascii="Arial" w:cs="Arial" w:eastAsia="Arial" w:hAnsi="Arial"/>
                <w:b/>
                <w:bCs/>
                <w:sz w:val="18"/>
                <w:szCs w:val="18"/>
              </w:rPr>
              <w:t xml:space="preserve">従業員管理</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従業員情報管理</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基本給・職務手当・標準報酬月額・月平均所定労働時間（個別設定可）・介護保険対象・部門・職種</w:t>
            </w:r>
          </w:p>
        </w:tc>
      </w:tr>
      <w:tr>
        <w:tc>
          <w:tcPr>
            <w:tcW w:type="dxa" w:w="14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有給休暇管理</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付与・取得・残日数管理。年次自動付与</w:t>
            </w:r>
          </w:p>
        </w:tc>
      </w:tr>
      <w:tr>
        <w:tc>
          <w:tcPr>
            <w:tcW w:type="dxa" w:w="1400"/>
            <w:tcBorders>
              <w:top w:val="single" w:color="D5D8DC" w:sz="1"/>
              <w:left w:val="single" w:color="D5D8DC" w:sz="1"/>
              <w:bottom w:val="single" w:color="D5D8DC" w:sz="1"/>
              <w:right w:val="single" w:color="D5D8DC" w:sz="1"/>
            </w:tcBorders>
            <w:shd w:fill="FEF9E7"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退職者管理</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退職者データ保持（27名分の給与履歴）</w:t>
            </w:r>
          </w:p>
        </w:tc>
      </w:tr>
      <w:tr>
        <w:tc>
          <w:tcPr>
            <w:tcW w:type="dxa" w:w="1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pPr>
              <w:jc w:val="left"/>
            </w:pPr>
            <w:r>
              <w:rPr>
                <w:rFonts w:ascii="Arial" w:cs="Arial" w:eastAsia="Arial" w:hAnsi="Arial"/>
                <w:b/>
                <w:bCs/>
                <w:sz w:val="18"/>
                <w:szCs w:val="18"/>
              </w:rPr>
              <w:t xml:space="preserve">給与計算</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月次給与計算</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検証済みロジックで自動計算。残業代ceil・社保50銭処理・雇用保険5.5‰</w:t>
            </w:r>
          </w:p>
        </w:tc>
      </w:tr>
      <w:tr>
        <w:tc>
          <w:tcPr>
            <w:tcW w:type="dxa" w:w="1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残業代自動計算</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法定外×1.25 / 所定外×1.00 / 深夜法定外×1.25（別途加算）→ 全てceil</w:t>
            </w:r>
          </w:p>
        </w:tc>
      </w:tr>
      <w:tr>
        <w:tc>
          <w:tcPr>
            <w:tcW w:type="dxa" w:w="1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社会保険料計算</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協会けんぽ北海道料率。介護保険は40歳以上のみ。翌月徴収</w:t>
            </w:r>
          </w:p>
        </w:tc>
      </w:tr>
      <w:tr>
        <w:tc>
          <w:tcPr>
            <w:tcW w:type="dxa" w:w="1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所得税計算</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月額表（甲欄）。扶養人数考慮</w:t>
            </w:r>
          </w:p>
        </w:tc>
      </w:tr>
      <w:tr>
        <w:tc>
          <w:tcPr>
            <w:tcW w:type="dxa" w:w="1400"/>
            <w:tcBorders>
              <w:top w:val="single" w:color="D5D8DC" w:sz="1"/>
              <w:left w:val="single" w:color="D5D8DC" w:sz="1"/>
              <w:bottom w:val="single" w:color="D5D8DC" w:sz="1"/>
              <w:right w:val="single" w:color="D5D8DC" w:sz="1"/>
            </w:tcBorders>
            <w:shd w:fill="FDEDEC"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賞与計算</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年2回。社保料・所得税自動計算</w:t>
            </w:r>
          </w:p>
        </w:tc>
      </w:tr>
      <w:tr>
        <w:tc>
          <w:tcPr>
            <w:tcW w:type="dxa" w:w="1400"/>
            <w:tcBorders>
              <w:top w:val="single" w:color="D5D8DC" w:sz="1"/>
              <w:left w:val="single" w:color="D5D8DC" w:sz="1"/>
              <w:bottom w:val="single" w:color="D5D8DC" w:sz="1"/>
              <w:right w:val="single" w:color="D5D8DC" w:sz="1"/>
            </w:tcBorders>
            <w:shd w:fill="E8F8F5" w:val="clear"/>
            <w:tcMar>
              <w:top w:type="dxa" w:w="70"/>
              <w:left w:type="dxa" w:w="100"/>
              <w:bottom w:type="dxa" w:w="70"/>
              <w:right w:type="dxa" w:w="100"/>
            </w:tcMar>
          </w:tcPr>
          <w:p>
            <w:pPr>
              <w:jc w:val="left"/>
            </w:pPr>
            <w:r>
              <w:rPr>
                <w:rFonts w:ascii="Arial" w:cs="Arial" w:eastAsia="Arial" w:hAnsi="Arial"/>
                <w:b/>
                <w:bCs/>
                <w:sz w:val="18"/>
                <w:szCs w:val="18"/>
              </w:rPr>
              <w:t xml:space="preserve">出力</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給与明細PDF</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MF設定準拠のレイアウト。勤怠・時給・扶養人数を印字</w:t>
            </w:r>
          </w:p>
        </w:tc>
      </w:tr>
      <w:tr>
        <w:tc>
          <w:tcPr>
            <w:tcW w:type="dxa" w:w="1400"/>
            <w:tcBorders>
              <w:top w:val="single" w:color="D5D8DC" w:sz="1"/>
              <w:left w:val="single" w:color="D5D8DC" w:sz="1"/>
              <w:bottom w:val="single" w:color="D5D8DC" w:sz="1"/>
              <w:right w:val="single" w:color="D5D8DC" w:sz="1"/>
            </w:tcBorders>
            <w:shd w:fill="E8F8F5"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給与台帳</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月別・年間・部門別・職種別。CSV出力対応</w:t>
            </w:r>
          </w:p>
        </w:tc>
      </w:tr>
      <w:tr>
        <w:tc>
          <w:tcPr>
            <w:tcW w:type="dxa" w:w="1400"/>
            <w:tcBorders>
              <w:top w:val="single" w:color="D5D8DC" w:sz="1"/>
              <w:left w:val="single" w:color="D5D8DC" w:sz="1"/>
              <w:bottom w:val="single" w:color="D5D8DC" w:sz="1"/>
              <w:right w:val="single" w:color="D5D8DC" w:sz="1"/>
            </w:tcBorders>
            <w:shd w:fill="F5EEF8" w:val="clear"/>
            <w:tcMar>
              <w:top w:type="dxa" w:w="70"/>
              <w:left w:type="dxa" w:w="100"/>
              <w:bottom w:type="dxa" w:w="70"/>
              <w:right w:type="dxa" w:w="100"/>
            </w:tcMar>
          </w:tcPr>
          <w:p>
            <w:pPr>
              <w:jc w:val="left"/>
            </w:pPr>
            <w:r>
              <w:rPr>
                <w:rFonts w:ascii="Arial" w:cs="Arial" w:eastAsia="Arial" w:hAnsi="Arial"/>
                <w:b/>
                <w:bCs/>
                <w:sz w:val="18"/>
                <w:szCs w:val="18"/>
              </w:rPr>
              <w:t xml:space="preserve">データ移行</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MFデータ取込</w:t>
            </w:r>
          </w:p>
        </w:tc>
        <w:tc>
          <w:tcPr>
            <w:tcW w:type="dxa" w:w="57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MF給与CSVをインポート（27名分・退職者含む）</w:t>
            </w:r>
          </w:p>
        </w:tc>
      </w:tr>
    </w:tbl>
    <w:p>
      <w:pPr>
        <w:pStyle w:val="Heading1"/>
      </w:pPr>
      <w:r>
        <w:t xml:space="preserve">10. 画面一覧（12画面）</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606"/>
      </w:tblGrid>
      <w:tr>
        <w:tc>
          <w:tcPr>
            <w:tcW w:type="dxa" w:w="5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w:t>
            </w:r>
          </w:p>
        </w:tc>
        <w:tc>
          <w:tcPr>
            <w:tcW w:type="dxa" w:w="24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画面名</w:t>
            </w:r>
          </w:p>
        </w:tc>
        <w:tc>
          <w:tcPr>
            <w:tcW w:type="dxa" w:w="66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概要</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1</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ログイン</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管理者ID/パスワード認証</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2</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ダッシュボード</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当月計算状況、未処理件数、支払日、在籍者数</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3</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従業員一覧</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在籍者/退職者切替。部門・職種フィルタ</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4</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従業員詳細・編集</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給与条件・社保・月平均所定時間（個別設定）・介護保険有無</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5</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勤怠データ取込</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HRMOS API経由で月次勤怠を取得・確認</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6</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月次給与計算</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自動計算→確認→修正→確定。部門別表示</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7</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賞与計算</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賞与額入力→社保・所得税自動計算→確定</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8</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給与明細一覧</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月別一覧表示。PDF出力</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9</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有給休暇管理</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付与・取得・残日数管理</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10</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年間給与台帳</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従業員別・部門別・職種別。CSV出力</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11</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マスタ設定</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社保料率・税額表・会社情報・部門職種・休日・月別日数</w:t>
            </w:r>
          </w:p>
        </w:tc>
      </w:tr>
      <w:tr>
        <w:tc>
          <w:tcPr>
            <w:tcW w:type="dxa" w:w="5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val="false"/>
                <w:bCs w:val="false"/>
                <w:sz w:val="18"/>
                <w:szCs w:val="18"/>
              </w:rPr>
              <w:t xml:space="preserve">12</w:t>
            </w:r>
          </w:p>
        </w:tc>
        <w:tc>
          <w:tcPr>
            <w:tcW w:type="dxa" w:w="24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データ移行</w:t>
            </w:r>
          </w:p>
        </w:tc>
        <w:tc>
          <w:tcPr>
            <w:tcW w:type="dxa" w:w="66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MF給与CSVインポート</w:t>
            </w:r>
          </w:p>
        </w:tc>
      </w:tr>
    </w:tbl>
    <w:p>
      <w:r>
        <w:br w:type="page"/>
      </w:r>
    </w:p>
    <w:p>
      <w:pPr>
        <w:pStyle w:val="Heading1"/>
      </w:pPr>
      <w:r>
        <w:t xml:space="preserve">11. システム構成</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6"/>
      </w:tblGrid>
      <w:tr>
        <w:tc>
          <w:tcPr>
            <w:tcW w:type="dxa" w:w="2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レイヤー</w:t>
            </w:r>
          </w:p>
        </w:tc>
        <w:tc>
          <w:tcPr>
            <w:tcW w:type="dxa" w:w="3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技術</w:t>
            </w:r>
          </w:p>
        </w:tc>
        <w:tc>
          <w:tcPr>
            <w:tcW w:type="dxa" w:w="43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選定理由</w:t>
            </w:r>
          </w:p>
        </w:tc>
      </w:tr>
      <w:tr>
        <w:tc>
          <w:tcPr>
            <w:tcW w:type="dxa" w:w="2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フロントエンド</w:t>
            </w:r>
          </w:p>
        </w:tc>
        <w:tc>
          <w:tcPr>
            <w:tcW w:type="dxa" w:w="3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Next.js + React + Tailwind CSS</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モダンUI・シンプル構成・保守しやすい</w:t>
            </w:r>
          </w:p>
        </w:tc>
      </w:tr>
      <w:tr>
        <w:tc>
          <w:tcPr>
            <w:tcW w:type="dxa" w:w="2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バックエンド</w:t>
            </w:r>
          </w:p>
        </w:tc>
        <w:tc>
          <w:tcPr>
            <w:tcW w:type="dxa" w:w="3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Next.js API Routes</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フロントと同一プロジェクト</w:t>
            </w:r>
          </w:p>
        </w:tc>
      </w:tr>
      <w:tr>
        <w:tc>
          <w:tcPr>
            <w:tcW w:type="dxa" w:w="2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データベース</w:t>
            </w:r>
          </w:p>
        </w:tc>
        <w:tc>
          <w:tcPr>
            <w:tcW w:type="dxa" w:w="3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SQLite + Prisma</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サーバー不要・バックアップ容易</w:t>
            </w:r>
          </w:p>
        </w:tc>
      </w:tr>
      <w:tr>
        <w:tc>
          <w:tcPr>
            <w:tcW w:type="dxa" w:w="2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PDF生成</w:t>
            </w:r>
          </w:p>
        </w:tc>
        <w:tc>
          <w:tcPr>
            <w:tcW w:type="dxa" w:w="3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@react-pdf/renderer</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給与明細・賞与明細出力</w:t>
            </w:r>
          </w:p>
        </w:tc>
      </w:tr>
      <w:tr>
        <w:tc>
          <w:tcPr>
            <w:tcW w:type="dxa" w:w="2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認証</w:t>
            </w:r>
          </w:p>
        </w:tc>
        <w:tc>
          <w:tcPr>
            <w:tcW w:type="dxa" w:w="3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NextAuth.js</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管理者ログイン</w:t>
            </w:r>
          </w:p>
        </w:tc>
      </w:tr>
      <w:tr>
        <w:tc>
          <w:tcPr>
            <w:tcW w:type="dxa" w:w="2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実行環境</w:t>
            </w:r>
          </w:p>
        </w:tc>
        <w:tc>
          <w:tcPr>
            <w:tcW w:type="dxa" w:w="3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Node.js（社内PC）</w:t>
            </w:r>
          </w:p>
        </w:tc>
        <w:tc>
          <w:tcPr>
            <w:tcW w:type="dxa" w:w="4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社内ネットワーク内。Docker可</w:t>
            </w:r>
          </w:p>
        </w:tc>
      </w:tr>
    </w:tbl>
    <w:p>
      <w:pPr>
        <w:pStyle w:val="Heading1"/>
      </w:pPr>
      <w:r>
        <w:t xml:space="preserve">12. データベース設計</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テーブル</w:t>
            </w:r>
          </w:p>
        </w:tc>
        <w:tc>
          <w:tcPr>
            <w:tcW w:type="dxa" w:w="73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主なカラム</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employees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社員番号, 氏名, 入社日, 退職日, 基本給, 職務手当, 月平均所定労働時間（個別）, 標準報酬月額, 扶養人数, 介護保険フラグ, 雇用保険フラグ, 厚生年金フラグ, 住民税月額, 部門ID, 職種ID, 役員フラグ</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departments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部門ID, 部門名</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job_types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職種ID, 職種名</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attendance</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従業員ID, 対象年月, 出勤日数, 法定外残業時間, 所定外残業時間, 深夜法定外時間, 休日出勤時間, 有給取得日数</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payroll</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従業員ID, 対象年月, 基本給, 職務手当, 残業手当, 法定内残業手当, 深夜残業手当, 通勤手当, 総支給額, 健保, 介護, 厚年, 雇用保険, 所得税, 住民税, 差引支給額, 確定フラグ</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bonus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従業員ID, 支給日, 賞与額, 健保, 介護, 厚年, 雇用保険, 所得税, 差引支給額</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paid_leave</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従業員ID, 付与日, 付与日数, 取得日数, 残日数, 有効期限</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insurance_rates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適用年度, 健保率, 介護率, 厚年率, 雇用保険率（労働者/事業主）, 子育て拠出金率</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tax_table</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課税対象額範囲, 扶養人数, 税額</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company_settings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会社名, 締め日, 支払日, 社保徴収方法</w:t>
            </w:r>
          </w:p>
        </w:tc>
      </w:tr>
      <w:tr>
        <w:tc>
          <w:tcPr>
            <w:tcW w:type="dxa" w:w="2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holidays</w:t>
            </w:r>
          </w:p>
        </w:tc>
        <w:tc>
          <w:tcPr>
            <w:tcW w:type="dxa" w:w="73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年度, 日付, 名称, 曜日休日設定</w:t>
            </w:r>
          </w:p>
        </w:tc>
      </w:tr>
    </w:tbl>
    <w:p>
      <w:r>
        <w:br w:type="page"/>
      </w:r>
    </w:p>
    <w:p>
      <w:pPr>
        <w:pStyle w:val="Heading1"/>
      </w:pPr>
      <w:r>
        <w:t xml:space="preserve">13. 開発スケジュール</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506"/>
      </w:tblGrid>
      <w:tr>
        <w:tc>
          <w:tcPr>
            <w:tcW w:type="dxa" w:w="12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Phase</w:t>
            </w:r>
          </w:p>
        </w:tc>
        <w:tc>
          <w:tcPr>
            <w:tcW w:type="dxa" w:w="18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期間</w:t>
            </w:r>
          </w:p>
        </w:tc>
        <w:tc>
          <w:tcPr>
            <w:tcW w:type="dxa" w:w="65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内容</w:t>
            </w:r>
          </w:p>
        </w:tc>
      </w:tr>
      <w:tr>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bCs/>
                <w:sz w:val="18"/>
                <w:szCs w:val="18"/>
              </w:rPr>
              <w:t xml:space="preserve">1</w:t>
            </w:r>
          </w:p>
        </w:tc>
        <w:tc>
          <w:tcPr>
            <w:tcW w:type="dxa" w:w="1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2〜3週間</w:t>
            </w:r>
          </w:p>
        </w:tc>
        <w:tc>
          <w:tcPr>
            <w:tcW w:type="dxa" w:w="65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基盤：認証・従業員管理（個別所定時間設定含む）・DB・基本画面</w:t>
            </w:r>
          </w:p>
        </w:tc>
      </w:tr>
      <w:tr>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bCs/>
                <w:sz w:val="18"/>
                <w:szCs w:val="18"/>
              </w:rPr>
              <w:t xml:space="preserve">2</w:t>
            </w:r>
          </w:p>
        </w:tc>
        <w:tc>
          <w:tcPr>
            <w:tcW w:type="dxa" w:w="1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2〜3週間</w:t>
            </w:r>
          </w:p>
        </w:tc>
        <w:tc>
          <w:tcPr>
            <w:tcW w:type="dxa" w:w="65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HRMOS API連携：勤怠データ取得（法定外/所定外/深夜の区分対応）</w:t>
            </w:r>
          </w:p>
        </w:tc>
      </w:tr>
      <w:tr>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bCs/>
                <w:sz w:val="18"/>
                <w:szCs w:val="18"/>
              </w:rPr>
              <w:t xml:space="preserve">3</w:t>
            </w:r>
          </w:p>
        </w:tc>
        <w:tc>
          <w:tcPr>
            <w:tcW w:type="dxa" w:w="1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3〜4週間</w:t>
            </w:r>
          </w:p>
        </w:tc>
        <w:tc>
          <w:tcPr>
            <w:tcW w:type="dxa" w:w="65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給与計算エンジン：検証済みロジック実装（ceil丸め・5.5‰雇用保険・介護保険分離）</w:t>
            </w:r>
          </w:p>
        </w:tc>
      </w:tr>
      <w:tr>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bCs/>
                <w:sz w:val="18"/>
                <w:szCs w:val="18"/>
              </w:rPr>
              <w:t xml:space="preserve">4</w:t>
            </w:r>
          </w:p>
        </w:tc>
        <w:tc>
          <w:tcPr>
            <w:tcW w:type="dxa" w:w="1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1〜2週間</w:t>
            </w:r>
          </w:p>
        </w:tc>
        <w:tc>
          <w:tcPr>
            <w:tcW w:type="dxa" w:w="65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賞与計算・有給管理</w:t>
            </w:r>
          </w:p>
        </w:tc>
      </w:tr>
      <w:tr>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bCs/>
                <w:sz w:val="18"/>
                <w:szCs w:val="18"/>
              </w:rPr>
              <w:t xml:space="preserve">5</w:t>
            </w:r>
          </w:p>
        </w:tc>
        <w:tc>
          <w:tcPr>
            <w:tcW w:type="dxa" w:w="1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1〜2週間</w:t>
            </w:r>
          </w:p>
        </w:tc>
        <w:tc>
          <w:tcPr>
            <w:tcW w:type="dxa" w:w="65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PDF出力（MF設定準拠レイアウト）・帳票</w:t>
            </w:r>
          </w:p>
        </w:tc>
      </w:tr>
      <w:tr>
        <w:tc>
          <w:tcPr>
            <w:tcW w:type="dxa" w:w="12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center"/>
            </w:pPr>
            <w:r>
              <w:rPr>
                <w:rFonts w:ascii="Arial" w:cs="Arial" w:eastAsia="Arial" w:hAnsi="Arial"/>
                <w:b/>
                <w:bCs/>
                <w:sz w:val="18"/>
                <w:szCs w:val="18"/>
              </w:rPr>
              <w:t xml:space="preserve">6</w:t>
            </w:r>
          </w:p>
        </w:tc>
        <w:tc>
          <w:tcPr>
            <w:tcW w:type="dxa" w:w="18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2〜3週間</w:t>
            </w:r>
          </w:p>
        </w:tc>
        <w:tc>
          <w:tcPr>
            <w:tcW w:type="dxa" w:w="65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MFデータ移行（27名分）・MF計算結果との突合テスト</w:t>
            </w:r>
          </w:p>
        </w:tc>
      </w:tr>
    </w:tbl>
    <w:p>
      <w:pPr>
        <w:pStyle w:val="Heading1"/>
      </w:pPr>
      <w:r>
        <w:t xml:space="preserve">14. 年次運用・保守</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906"/>
      </w:tblGrid>
      <w:tr>
        <w:tc>
          <w:tcPr>
            <w:tcW w:type="dxa" w:w="16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時期</w:t>
            </w:r>
          </w:p>
        </w:tc>
        <w:tc>
          <w:tcPr>
            <w:tcW w:type="dxa" w:w="3000"/>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作業</w:t>
            </w:r>
          </w:p>
        </w:tc>
        <w:tc>
          <w:tcPr>
            <w:tcW w:type="dxa" w:w="4906"/>
            <w:tcBorders>
              <w:top w:val="single" w:color="1A5276" w:sz="1"/>
              <w:left w:val="single" w:color="1A5276" w:sz="1"/>
              <w:bottom w:val="single" w:color="1A5276" w:sz="1"/>
              <w:right w:val="single" w:color="1A5276" w:sz="1"/>
            </w:tcBorders>
            <w:shd w:fill="1A5276"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詳細</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毎年3〜4月</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協会けんぽ料率更新</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北海道の健保率・介護率の改定を設定画面で反映</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毎年4月</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雇用保険料率更新</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運送業の労働者負担率を確認・更新</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毎年1月</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税額表確認</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月額表の改定があればマスタ更新</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毎年6月</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住民税更新</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各従業員の特別徴収税額を更新</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毎年9月</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標準報酬月額改定</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算定基礎届後の改定を反映</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毎年12月</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翌年休日・日数設定</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独自休日・月別所定労働日数を登録</w:t>
            </w:r>
          </w:p>
        </w:tc>
      </w:tr>
      <w:tr>
        <w:tc>
          <w:tcPr>
            <w:tcW w:type="dxa" w:w="16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bCs/>
                <w:sz w:val="18"/>
                <w:szCs w:val="18"/>
              </w:rPr>
              <w:t xml:space="preserve">定期</w:t>
            </w:r>
          </w:p>
        </w:tc>
        <w:tc>
          <w:tcPr>
            <w:tcW w:type="dxa" w:w="3000"/>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バックアップ</w:t>
            </w:r>
          </w:p>
        </w:tc>
        <w:tc>
          <w:tcPr>
            <w:tcW w:type="dxa" w:w="4906"/>
            <w:tcBorders>
              <w:top w:val="single" w:color="D5D8DC" w:sz="1"/>
              <w:left w:val="single" w:color="D5D8DC" w:sz="1"/>
              <w:bottom w:val="single" w:color="D5D8DC" w:sz="1"/>
              <w:right w:val="single" w:color="D5D8DC" w:sz="1"/>
            </w:tcBorders>
            <w:tcMar>
              <w:top w:type="dxa" w:w="70"/>
              <w:left w:type="dxa" w:w="100"/>
              <w:bottom w:type="dxa" w:w="70"/>
              <w:right w:type="dxa" w:w="100"/>
            </w:tcMar>
          </w:tcPr>
          <w:p>
            <w:pPr>
              <w:jc w:val="left"/>
            </w:pPr>
            <w:r>
              <w:rPr>
                <w:rFonts w:ascii="Arial" w:cs="Arial" w:eastAsia="Arial" w:hAnsi="Arial"/>
                <w:b w:val="false"/>
                <w:bCs w:val="false"/>
                <w:sz w:val="18"/>
                <w:szCs w:val="18"/>
              </w:rPr>
              <w:t xml:space="preserve">SQLiteファイルの定期バックアップ</w:t>
            </w:r>
          </w:p>
        </w:tc>
      </w:tr>
    </w:tbl>
    <w:p>
      <w:r>
        <w:br w:type="page"/>
      </w:r>
    </w:p>
    <w:p>
      <w:pPr>
        <w:pStyle w:val="Heading1"/>
      </w:pPr>
      <w:r>
        <w:t xml:space="preserve">15. 注意事項・リスク</w:t>
      </w:r>
    </w:p>
    <w:p>
      <w:pPr>
        <w:pStyle w:val="Heading2"/>
      </w:pPr>
      <w:r>
        <w:t xml:space="preserve">15-1. 計算ロジックの信頼性</w:t>
      </w:r>
    </w:p>
    <w:p>
      <w:pPr>
        <w:spacing w:after="80"/>
      </w:pPr>
      <w:r>
        <w:rPr>
          <w:rFonts w:ascii="Arial" w:cs="Arial" w:eastAsia="Arial" w:hAnsi="Arial"/>
          <w:sz w:val="20"/>
          <w:szCs w:val="20"/>
        </w:rPr>
        <w:t xml:space="preserve">4か月分（9月〜12月）のMFデータで検証済みですが、以下のケースは未検証のため、該当時に追加検証が必要です：</w:t>
      </w:r>
    </w:p>
    <w:p>
      <w:pPr>
        <w:spacing w:after="80"/>
      </w:pPr>
      <w:r>
        <w:rPr>
          <w:rFonts w:ascii="Arial" w:cs="Arial" w:eastAsia="Arial" w:hAnsi="Arial"/>
          <w:sz w:val="20"/>
          <w:szCs w:val="20"/>
        </w:rPr>
        <w:t xml:space="preserve">・法定休日出勤（1.35倍）：検証期間中にデータなし。割増率1.35、丸めはceilと推定。</w:t>
      </w:r>
    </w:p>
    <w:p>
      <w:pPr>
        <w:spacing w:after="80"/>
      </w:pPr>
      <w:r>
        <w:rPr>
          <w:rFonts w:ascii="Arial" w:cs="Arial" w:eastAsia="Arial" w:hAnsi="Arial"/>
          <w:sz w:val="20"/>
          <w:szCs w:val="20"/>
        </w:rPr>
        <w:t xml:space="preserve">・賞与計算：検証データなし。社保料の計算方式（標準賞与額）は別途確認が必要。</w:t>
      </w:r>
    </w:p>
    <w:p>
      <w:pPr>
        <w:spacing w:after="80"/>
      </w:pPr>
      <w:r>
        <w:rPr>
          <w:rFonts w:ascii="Arial" w:cs="Arial" w:eastAsia="Arial" w:hAnsi="Arial"/>
          <w:sz w:val="20"/>
          <w:szCs w:val="20"/>
        </w:rPr>
        <w:t xml:space="preserve">・60時間超の法定外残業（1.50倍）：中小企業も2023年4月から適用。対応要否を確認。</w:t>
      </w:r>
    </w:p>
    <w:p>
      <w:pPr>
        <w:pStyle w:val="Heading2"/>
      </w:pPr>
      <w:r>
        <w:t xml:space="preserve">15-2. 法令対応</w:t>
      </w:r>
    </w:p>
    <w:p>
      <w:pPr>
        <w:spacing w:after="80"/>
      </w:pPr>
      <w:r>
        <w:rPr>
          <w:rFonts w:ascii="Arial" w:cs="Arial" w:eastAsia="Arial" w:hAnsi="Arial"/>
          <w:sz w:val="20"/>
          <w:szCs w:val="20"/>
        </w:rPr>
        <w:t xml:space="preserve">社保料率・税額表は毎年改定の可能性あり。設定画面から管理者が更新する運用とします。</w:t>
      </w:r>
    </w:p>
    <w:p>
      <w:pPr>
        <w:pStyle w:val="Heading2"/>
      </w:pPr>
      <w:r>
        <w:t xml:space="preserve">15-3. セキュリティ</w:t>
      </w:r>
    </w:p>
    <w:p>
      <w:pPr>
        <w:spacing w:after="80"/>
      </w:pPr>
      <w:r>
        <w:rPr>
          <w:rFonts w:ascii="Arial" w:cs="Arial" w:eastAsia="Arial" w:hAnsi="Arial"/>
          <w:sz w:val="20"/>
          <w:szCs w:val="20"/>
        </w:rPr>
        <w:t xml:space="preserve">給与情報は重要な個人情報。社内ネットワーク内運用を前提とし、パスワード管理に注意。</w:t>
      </w:r>
    </w:p>
    <w:p>
      <w:pPr>
        <w:pStyle w:val="Heading2"/>
      </w:pPr>
      <w:r>
        <w:t xml:space="preserve">15-4. 退職者データ</w:t>
      </w:r>
    </w:p>
    <w:p>
      <w:pPr>
        <w:spacing w:after="80"/>
      </w:pPr>
      <w:r>
        <w:rPr>
          <w:rFonts w:ascii="Arial" w:cs="Arial" w:eastAsia="Arial" w:hAnsi="Arial"/>
          <w:sz w:val="20"/>
          <w:szCs w:val="20"/>
        </w:rPr>
        <w:t xml:space="preserve">27名分（退職者含む）のMFデータを移行。源泉徴収票確認等のため保持します。</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4"/>
        <w:szCs w:val="14"/>
      </w:rPr>
      <w:t xml:space="preserve">きょうしん輸送株式会社 | 給与計算WEBシステム 要件定義書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5276"/>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2026-02-06T04:32:33.577Z</dcterms:created>
  <dcterms:modified xsi:type="dcterms:W3CDTF">2026-02-06T04:32:33.578Z</dcterms:modified>
</cp:coreProperties>
</file>

<file path=docProps/custom.xml><?xml version="1.0" encoding="utf-8"?>
<Properties xmlns="http://schemas.openxmlformats.org/officeDocument/2006/custom-properties" xmlns:vt="http://schemas.openxmlformats.org/officeDocument/2006/docPropsVTypes"/>
</file>