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0" w:after="0"/>
        <w:rPr/>
      </w:pPr>
      <w:r>
        <w:rPr/>
      </w:r>
    </w:p>
    <w:p>
      <w:pPr>
        <w:pStyle w:val="Normal"/>
        <w:jc w:val="center"/>
        <w:rPr/>
      </w:pPr>
      <w:r>
        <w:rPr>
          <w:b/>
          <w:bCs/>
          <w:color w:val="0B4F6C"/>
          <w:sz w:val="44"/>
          <w:szCs w:val="44"/>
        </w:rPr>
        <w:t>Self-Supervised Learning for</w:t>
      </w:r>
    </w:p>
    <w:p>
      <w:pPr>
        <w:pStyle w:val="Normal"/>
        <w:spacing w:before="0" w:after="300"/>
        <w:jc w:val="center"/>
        <w:rPr/>
      </w:pPr>
      <w:r>
        <w:rPr>
          <w:b/>
          <w:bCs/>
          <w:color w:val="0B4F6C"/>
          <w:sz w:val="44"/>
          <w:szCs w:val="44"/>
        </w:rPr>
        <w:t>Hyperspectral Road Damage Detection</w:t>
      </w:r>
    </w:p>
    <w:p>
      <w:pPr>
        <w:pStyle w:val="Normal"/>
        <w:spacing w:before="0" w:after="100"/>
        <w:jc w:val="center"/>
        <w:rPr/>
      </w:pPr>
      <w:r>
        <w:rPr>
          <w:i/>
          <w:iCs/>
          <w:color w:val="1C7293"/>
          <w:sz w:val="26"/>
          <w:szCs w:val="26"/>
        </w:rPr>
        <w:t>A BYOL Implementation via the Lightly Framework</w:t>
      </w:r>
    </w:p>
    <w:p>
      <w:pPr>
        <w:pStyle w:val="Normal"/>
        <w:spacing w:before="600" w:after="100"/>
        <w:jc w:val="center"/>
        <w:rPr/>
      </w:pPr>
      <w:r>
        <w:rPr>
          <w:color w:val="5A6B7A"/>
          <w:sz w:val="22"/>
          <w:szCs w:val="22"/>
        </w:rPr>
        <w:t>Research Journey Report</w:t>
      </w:r>
    </w:p>
    <w:p>
      <w:pPr>
        <w:pStyle w:val="Normal"/>
        <w:spacing w:before="0" w:after="100"/>
        <w:jc w:val="center"/>
        <w:rPr/>
      </w:pPr>
      <w:r>
        <w:rPr>
          <w:color w:val="5A6B7A"/>
          <w:sz w:val="22"/>
          <w:szCs w:val="22"/>
        </w:rPr>
        <w:t>From Dataset Discovery to Validated Generalisation</w:t>
      </w:r>
    </w:p>
    <w:p>
      <w:pPr>
        <w:pStyle w:val="Normal"/>
        <w:rPr/>
      </w:pPr>
      <w:r>
        <w:rPr/>
      </w:r>
      <w:r>
        <w:br w:type="page"/>
      </w:r>
    </w:p>
    <w:p>
      <w:pPr>
        <w:pStyle w:val="Heading1"/>
        <w:spacing w:before="0" w:after="200"/>
        <w:rPr/>
      </w:pPr>
      <w:r>
        <w:rPr/>
        <w:t>Executive Summary</w:t>
      </w:r>
    </w:p>
    <w:p>
      <w:pPr>
        <w:pStyle w:val="Normal"/>
        <w:spacing w:lineRule="auto" w:line="300" w:before="0" w:after="160"/>
        <w:rPr/>
      </w:pPr>
      <w:r>
        <w:rPr>
          <w:sz w:val="22"/>
          <w:szCs w:val="22"/>
        </w:rPr>
        <w:t>This report documents the complete research journey behind a self-supervised road surface classification system built using Bootstrap Your Own Latent (BYOL), implemented through the Lightly framework and trained on hyperspectral imagery of tarred road networks. The work progressed through dataset validation, architecture and hyperparameter experimentation, and a rigorous held-out generalisation test, culminating in a final model that achieved 100% classification accuracy on 801 completely unseen test images.</w:t>
      </w:r>
    </w:p>
    <w:p>
      <w:pPr>
        <w:pStyle w:val="Normal"/>
        <w:spacing w:lineRule="auto" w:line="300" w:before="0" w:after="160"/>
        <w:rPr/>
      </w:pPr>
      <w:r>
        <w:rPr>
          <w:sz w:val="22"/>
          <w:szCs w:val="22"/>
        </w:rPr>
        <w:t>A central finding of this work is that a mid-training proxy metric — Feature Std, used throughout to monitor representation collapse — was not a reliable predictor of downstream task performance. The best-generalising model in this study did not have the highest Feature Std; it had one of the lowest. This distinction is discussed in detail in the final sections of this report.</w:t>
      </w:r>
    </w:p>
    <w:p>
      <w:pPr>
        <w:pStyle w:val="Heading1"/>
        <w:spacing w:before="360" w:after="200"/>
        <w:rPr/>
      </w:pPr>
      <w:r>
        <w:rPr/>
        <w:t>1. The Dataset Discovery</w:t>
      </w:r>
    </w:p>
    <w:p>
      <w:pPr>
        <w:pStyle w:val="Heading2"/>
        <w:spacing w:before="280" w:after="140"/>
        <w:rPr/>
      </w:pPr>
      <w:r>
        <w:rPr/>
        <w:t>1.1 Initial Setup</w:t>
      </w:r>
    </w:p>
    <w:p>
      <w:pPr>
        <w:pStyle w:val="Normal"/>
        <w:spacing w:lineRule="auto" w:line="300" w:before="0" w:after="160"/>
        <w:rPr/>
      </w:pPr>
      <w:r>
        <w:rPr>
          <w:sz w:val="22"/>
          <w:szCs w:val="22"/>
        </w:rPr>
        <w:t>The project began with a dataset of 8,008 hyperspectral .tif images, each containing 944 spectral bands, intended to represent tarred road surfaces for self-supervised representation learning. Initial BYOL training runs — covering a baseline band-selection strategy, three alternative band strategies, a backbone comparison between ResNet18 and ResNet50, and an extended 100-epoch run — were completed on this full dataset and produced strong-looking numbers, with Feature Std reaching as high as 62.63 and loss converging to -0.9998.</w:t>
      </w:r>
    </w:p>
    <w:p>
      <w:pPr>
        <w:pStyle w:val="Heading2"/>
        <w:spacing w:before="280" w:after="140"/>
        <w:rPr/>
      </w:pPr>
      <w:r>
        <w:rPr/>
        <w:t>1.2 The Discovery</w:t>
      </w:r>
    </w:p>
    <w:p>
      <w:pPr>
        <w:pStyle w:val="Normal"/>
        <w:spacing w:lineRule="auto" w:line="300" w:before="0" w:after="160"/>
        <w:rPr/>
      </w:pPr>
      <w:r>
        <w:rPr>
          <w:sz w:val="22"/>
          <w:szCs w:val="22"/>
        </w:rPr>
        <w:t>During implementation review, it was discovered that the dataset folder contained not only genuine hyperspectral road images but also their corresponding segmentation mask files, distinguishable by a "_mask" suffix in the filename. These mask files are label artefacts — simple, low-complexity images representing road/background/damage categories — not authentic spectral photographic data.</w:t>
      </w:r>
    </w:p>
    <w:p>
      <w:pPr>
        <w:pStyle w:val="Normal"/>
        <w:spacing w:lineRule="auto" w:line="300" w:before="0" w:after="160"/>
        <w:rPr/>
      </w:pPr>
      <w:r>
        <w:rPr>
          <w:sz w:val="22"/>
          <w:szCs w:val="22"/>
        </w:rPr>
        <w:t>A file count confirmed the extent of the contamination:</w:t>
      </w:r>
    </w:p>
    <w:tbl>
      <w:tblPr>
        <w:tblW w:w="8800" w:type="dxa"/>
        <w:jc w:val="start"/>
        <w:tblInd w:w="0" w:type="dxa"/>
        <w:tblLayout w:type="fixed"/>
        <w:tblCellMar>
          <w:top w:w="80" w:type="dxa"/>
          <w:start w:w="100" w:type="dxa"/>
          <w:bottom w:w="80" w:type="dxa"/>
          <w:end w:w="100" w:type="dxa"/>
        </w:tblCellMar>
      </w:tblPr>
      <w:tblGrid>
        <w:gridCol w:w="5500"/>
        <w:gridCol w:w="3300"/>
      </w:tblGrid>
      <w:tr>
        <w:trPr>
          <w:tblHeader w:val="true"/>
        </w:trPr>
        <w:tc>
          <w:tcPr>
            <w:tcW w:w="55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Check</w:t>
            </w:r>
          </w:p>
        </w:tc>
        <w:tc>
          <w:tcPr>
            <w:tcW w:w="33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Result</w:t>
            </w:r>
          </w:p>
        </w:tc>
      </w:tr>
      <w:tr>
        <w:trPr/>
        <w:tc>
          <w:tcPr>
            <w:tcW w:w="5500"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Total .tif files</w:t>
            </w:r>
          </w:p>
        </w:tc>
        <w:tc>
          <w:tcPr>
            <w:tcW w:w="33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8,008</w:t>
            </w:r>
          </w:p>
        </w:tc>
      </w:tr>
      <w:tr>
        <w:trPr/>
        <w:tc>
          <w:tcPr>
            <w:tcW w:w="55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color w:val="000000"/>
                <w:sz w:val="20"/>
                <w:szCs w:val="20"/>
              </w:rPr>
              <w:t>Files with "_mask" suffix</w:t>
            </w:r>
          </w:p>
        </w:tc>
        <w:tc>
          <w:tcPr>
            <w:tcW w:w="33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4,004</w:t>
            </w:r>
          </w:p>
        </w:tc>
      </w:tr>
      <w:tr>
        <w:trPr/>
        <w:tc>
          <w:tcPr>
            <w:tcW w:w="5500"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Genuine hyperspectral images</w:t>
            </w:r>
          </w:p>
        </w:tc>
        <w:tc>
          <w:tcPr>
            <w:tcW w:w="33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4,004</w:t>
            </w:r>
          </w:p>
        </w:tc>
      </w:tr>
    </w:tbl>
    <w:p>
      <w:pPr>
        <w:pStyle w:val="Normal"/>
        <w:spacing w:before="0" w:after="200"/>
        <w:rPr/>
      </w:pPr>
      <w:r>
        <w:rPr/>
      </w:r>
    </w:p>
    <w:p>
      <w:pPr>
        <w:pStyle w:val="Normal"/>
        <w:spacing w:lineRule="auto" w:line="300" w:before="0" w:after="160"/>
        <w:rPr/>
      </w:pPr>
      <w:r>
        <w:rPr>
          <w:sz w:val="22"/>
          <w:szCs w:val="22"/>
        </w:rPr>
        <w:t>Exactly half of the "dataset" used in every prior experiment consisted of label masks rather than real training images. Mask files are visually simple and near-uniform, making them trivial for BYOL's online and target networks to align — artificially inflating both loss convergence and Feature Std relative to what genuine, complex spectral data would produce.</w:t>
      </w:r>
    </w:p>
    <w:p>
      <w:pPr>
        <w:pStyle w:val="Heading2"/>
        <w:spacing w:before="280" w:after="140"/>
        <w:rPr/>
      </w:pPr>
      <w:r>
        <w:rPr/>
        <w:t>1.3 The Correction</w:t>
      </w:r>
    </w:p>
    <w:p>
      <w:pPr>
        <w:pStyle w:val="Normal"/>
        <w:spacing w:lineRule="auto" w:line="300" w:before="0" w:after="160"/>
        <w:rPr/>
      </w:pPr>
      <w:r>
        <w:rPr>
          <w:sz w:val="22"/>
          <w:szCs w:val="22"/>
        </w:rPr>
        <w:t>The data loading pipeline (dataset.py) was updated to exclude any filename containing "_mask" at the point of file collection, for both folder-based and file-list-based loading. All prior contaminated-dataset results were preserved for reference but clearly separated from a new experiment series (prefixed "Exp 8" onward) run exclusively on the corrected 4,004-image dataset.</w:t>
      </w:r>
    </w:p>
    <w:p>
      <w:pPr>
        <w:pStyle w:val="Normal"/>
        <w:pBdr>
          <w:left w:val="single" w:sz="24" w:space="8" w:color="1C7293"/>
        </w:pBdr>
        <w:spacing w:lineRule="auto" w:line="281" w:before="100" w:after="200"/>
        <w:ind w:start="200"/>
        <w:rPr/>
      </w:pPr>
      <w:r>
        <w:rPr>
          <w:i/>
          <w:iCs/>
          <w:color w:val="5A6B7A"/>
          <w:sz w:val="22"/>
          <w:szCs w:val="22"/>
        </w:rPr>
        <w:t>This single validation step reshaped the remainder of the research — every subsequent experiment in this report was re-run on the corrected dataset to ensure findings reflect genuine model learning rather than an artefact of contaminated data.</w:t>
      </w:r>
    </w:p>
    <w:p>
      <w:pPr>
        <w:pStyle w:val="Heading2"/>
        <w:spacing w:before="280" w:after="140"/>
        <w:rPr/>
      </w:pPr>
      <w:r>
        <w:rPr/>
        <w:t>1.4 Effect of the Correction on Results</w:t>
      </w:r>
    </w:p>
    <w:tbl>
      <w:tblPr>
        <w:tblW w:w="9800" w:type="dxa"/>
        <w:jc w:val="start"/>
        <w:tblInd w:w="0" w:type="dxa"/>
        <w:tblLayout w:type="fixed"/>
        <w:tblCellMar>
          <w:top w:w="80" w:type="dxa"/>
          <w:start w:w="100" w:type="dxa"/>
          <w:bottom w:w="80" w:type="dxa"/>
          <w:end w:w="100" w:type="dxa"/>
        </w:tblCellMar>
      </w:tblPr>
      <w:tblGrid>
        <w:gridCol w:w="3399"/>
        <w:gridCol w:w="3001"/>
        <w:gridCol w:w="3400"/>
      </w:tblGrid>
      <w:tr>
        <w:trPr>
          <w:tblHeader w:val="true"/>
        </w:trPr>
        <w:tc>
          <w:tcPr>
            <w:tcW w:w="3399"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Metric</w:t>
            </w:r>
          </w:p>
        </w:tc>
        <w:tc>
          <w:tcPr>
            <w:tcW w:w="3001"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Contaminated (8,008 images)</w:t>
            </w:r>
          </w:p>
        </w:tc>
        <w:tc>
          <w:tcPr>
            <w:tcW w:w="34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Corrected (4,004 images)</w:t>
            </w:r>
          </w:p>
        </w:tc>
      </w:tr>
      <w:tr>
        <w:trPr/>
        <w:tc>
          <w:tcPr>
            <w:tcW w:w="3399"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Best Final Loss</w:t>
            </w:r>
          </w:p>
        </w:tc>
        <w:tc>
          <w:tcPr>
            <w:tcW w:w="3001"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-0.9998</w:t>
            </w:r>
          </w:p>
        </w:tc>
        <w:tc>
          <w:tcPr>
            <w:tcW w:w="34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-0.9436</w:t>
            </w:r>
          </w:p>
        </w:tc>
      </w:tr>
      <w:tr>
        <w:trPr/>
        <w:tc>
          <w:tcPr>
            <w:tcW w:w="3399"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color w:val="000000"/>
                <w:sz w:val="20"/>
                <w:szCs w:val="20"/>
              </w:rPr>
              <w:t>Best Feature Std (100ep, ResNet50)</w:t>
            </w:r>
          </w:p>
        </w:tc>
        <w:tc>
          <w:tcPr>
            <w:tcW w:w="3001"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62.63</w:t>
            </w:r>
          </w:p>
        </w:tc>
        <w:tc>
          <w:tcPr>
            <w:tcW w:w="34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29.64</w:t>
            </w:r>
          </w:p>
        </w:tc>
      </w:tr>
      <w:tr>
        <w:trPr/>
        <w:tc>
          <w:tcPr>
            <w:tcW w:w="3399"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Interpretation</w:t>
            </w:r>
          </w:p>
        </w:tc>
        <w:tc>
          <w:tcPr>
            <w:tcW w:w="3001"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Inflated by trivial mask alignment</w:t>
            </w:r>
          </w:p>
        </w:tc>
        <w:tc>
          <w:tcPr>
            <w:tcW w:w="34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Reflects genuine task difficulty</w:t>
            </w:r>
          </w:p>
        </w:tc>
      </w:tr>
    </w:tbl>
    <w:p>
      <w:pPr>
        <w:pStyle w:val="Normal"/>
        <w:spacing w:before="0" w:after="200"/>
        <w:rPr/>
      </w:pPr>
      <w:r>
        <w:rPr/>
      </w:r>
    </w:p>
    <w:p>
      <w:pPr>
        <w:pStyle w:val="Normal"/>
        <w:spacing w:lineRule="auto" w:line="300" w:before="0" w:after="160"/>
        <w:rPr/>
      </w:pPr>
      <w:r>
        <w:rPr>
          <w:sz w:val="22"/>
          <w:szCs w:val="22"/>
        </w:rPr>
        <w:t>The lower numbers on the corrected dataset are not a regression — they reflect the true difficulty of learning from complex, authentic hyperspectral road imagery, and are the numbers subsequently treated as reliable throughout the remainder of this study.</w:t>
      </w:r>
    </w:p>
    <w:p>
      <w:pPr>
        <w:pStyle w:val="Heading1"/>
        <w:spacing w:before="360" w:after="200"/>
        <w:rPr/>
      </w:pPr>
      <w:r>
        <w:rPr/>
        <w:t>2. Methodology</w:t>
      </w:r>
    </w:p>
    <w:p>
      <w:pPr>
        <w:pStyle w:val="Heading2"/>
        <w:spacing w:before="280" w:after="140"/>
        <w:rPr/>
      </w:pPr>
      <w:r>
        <w:rPr/>
        <w:t>2.1 BYOL Overview</w:t>
      </w:r>
    </w:p>
    <w:p>
      <w:pPr>
        <w:pStyle w:val="Normal"/>
        <w:spacing w:lineRule="auto" w:line="300" w:before="0" w:after="160"/>
        <w:rPr/>
      </w:pPr>
      <w:r>
        <w:rPr>
          <w:sz w:val="22"/>
          <w:szCs w:val="22"/>
        </w:rPr>
        <w:t>BYOL (Bootstrap Your Own Latent) is a self-supervised learning method that trains an "online" network to predict the output of a slowly-updating "target" network, using two augmented views of the same image, without requiring negative pairs. This makes it particularly well suited to this project's unlabelled hyperspectral dataset.</w:t>
      </w:r>
    </w:p>
    <w:p>
      <w:pPr>
        <w:pStyle w:val="ListParagraph"/>
        <w:numPr>
          <w:ilvl w:val="0"/>
          <w:numId w:val="3"/>
        </w:numPr>
        <w:spacing w:lineRule="auto" w:line="281" w:before="0" w:after="100"/>
        <w:rPr/>
      </w:pPr>
      <w:r>
        <w:rPr>
          <w:sz w:val="22"/>
          <w:szCs w:val="22"/>
        </w:rPr>
        <w:t>Two augmented views are generated per image.</w:t>
      </w:r>
    </w:p>
    <w:p>
      <w:pPr>
        <w:pStyle w:val="ListParagraph"/>
        <w:numPr>
          <w:ilvl w:val="0"/>
          <w:numId w:val="1"/>
        </w:numPr>
        <w:spacing w:lineRule="auto" w:line="281" w:before="0" w:after="100"/>
        <w:rPr/>
      </w:pPr>
      <w:r>
        <w:rPr>
          <w:sz w:val="22"/>
          <w:szCs w:val="22"/>
        </w:rPr>
        <w:t>The online network (backbone → projection head → prediction head) processes view 1.</w:t>
      </w:r>
    </w:p>
    <w:p>
      <w:pPr>
        <w:pStyle w:val="ListParagraph"/>
        <w:numPr>
          <w:ilvl w:val="0"/>
          <w:numId w:val="1"/>
        </w:numPr>
        <w:spacing w:lineRule="auto" w:line="281" w:before="0" w:after="100"/>
        <w:rPr/>
      </w:pPr>
      <w:r>
        <w:rPr>
          <w:sz w:val="22"/>
          <w:szCs w:val="22"/>
        </w:rPr>
        <w:t>The target network (backbone → projection head only, frozen) processes view 2.</w:t>
      </w:r>
    </w:p>
    <w:p>
      <w:pPr>
        <w:pStyle w:val="ListParagraph"/>
        <w:numPr>
          <w:ilvl w:val="0"/>
          <w:numId w:val="1"/>
        </w:numPr>
        <w:spacing w:lineRule="auto" w:line="281" w:before="0" w:after="100"/>
        <w:rPr/>
      </w:pPr>
      <w:r>
        <w:rPr>
          <w:sz w:val="22"/>
          <w:szCs w:val="22"/>
        </w:rPr>
        <w:t>A symmetric NegativeCosineSimilarity loss is minimised (approaching -1.0 = perfect alignment).</w:t>
      </w:r>
    </w:p>
    <w:p>
      <w:pPr>
        <w:pStyle w:val="ListParagraph"/>
        <w:numPr>
          <w:ilvl w:val="0"/>
          <w:numId w:val="1"/>
        </w:numPr>
        <w:spacing w:lineRule="auto" w:line="281" w:before="0" w:after="100"/>
        <w:rPr/>
      </w:pPr>
      <w:r>
        <w:rPr>
          <w:sz w:val="22"/>
          <w:szCs w:val="22"/>
        </w:rPr>
        <w:t>The target network is updated via an exponential moving average (momentum schedule 0.996 → 1.0), which — together with the predictor asymmetry — is what prevents representational collapse.</w:t>
      </w:r>
    </w:p>
    <w:p>
      <w:pPr>
        <w:pStyle w:val="Heading2"/>
        <w:spacing w:before="280" w:after="140"/>
        <w:rPr/>
      </w:pPr>
      <w:r>
        <w:rPr/>
        <w:t>2.2 The Hyperspectral Band Selection Challenge</w:t>
      </w:r>
    </w:p>
    <w:p>
      <w:pPr>
        <w:pStyle w:val="Normal"/>
        <w:spacing w:lineRule="auto" w:line="300" w:before="0" w:after="160"/>
        <w:rPr/>
      </w:pPr>
      <w:r>
        <w:rPr>
          <w:sz w:val="22"/>
          <w:szCs w:val="22"/>
        </w:rPr>
        <w:t>Each image contains 944 spectral bands, while ResNet backbones require exactly 3 input channels. Four band-selection strategies were investigated to resolve this mismatch:</w:t>
      </w:r>
    </w:p>
    <w:tbl>
      <w:tblPr>
        <w:tblW w:w="8800" w:type="dxa"/>
        <w:jc w:val="start"/>
        <w:tblInd w:w="0" w:type="dxa"/>
        <w:tblLayout w:type="fixed"/>
        <w:tblCellMar>
          <w:top w:w="80" w:type="dxa"/>
          <w:start w:w="100" w:type="dxa"/>
          <w:bottom w:w="80" w:type="dxa"/>
          <w:end w:w="100" w:type="dxa"/>
        </w:tblCellMar>
      </w:tblPr>
      <w:tblGrid>
        <w:gridCol w:w="2600"/>
        <w:gridCol w:w="6200"/>
      </w:tblGrid>
      <w:tr>
        <w:trPr>
          <w:tblHeader w:val="true"/>
        </w:trPr>
        <w:tc>
          <w:tcPr>
            <w:tcW w:w="26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Strategy</w:t>
            </w:r>
          </w:p>
        </w:tc>
        <w:tc>
          <w:tcPr>
            <w:tcW w:w="62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Method</w:t>
            </w:r>
          </w:p>
        </w:tc>
      </w:tr>
      <w:tr>
        <w:trPr/>
        <w:tc>
          <w:tcPr>
            <w:tcW w:w="2600"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Baseline</w:t>
            </w:r>
          </w:p>
        </w:tc>
        <w:tc>
          <w:tcPr>
            <w:tcW w:w="62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Bands 0, 471, 943 (first / middle / last)</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color w:val="000000"/>
                <w:sz w:val="20"/>
                <w:szCs w:val="20"/>
              </w:rPr>
              <w:t>Max Variance</w:t>
            </w:r>
          </w:p>
        </w:tc>
        <w:tc>
          <w:tcPr>
            <w:tcW w:w="62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Per-image selection of the 3 highest-variance bands</w:t>
            </w:r>
          </w:p>
        </w:tc>
      </w:tr>
      <w:tr>
        <w:trPr/>
        <w:tc>
          <w:tcPr>
            <w:tcW w:w="2600"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Evenly Spaced</w:t>
            </w:r>
          </w:p>
        </w:tc>
        <w:tc>
          <w:tcPr>
            <w:tcW w:w="62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Bands at 25%, 50%, 75% of the spectrum (236, 471, 708)</w:t>
            </w:r>
          </w:p>
        </w:tc>
      </w:tr>
      <w:tr>
        <w:trPr/>
        <w:tc>
          <w:tcPr>
            <w:tcW w:w="26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color w:val="000000"/>
                <w:sz w:val="20"/>
                <w:szCs w:val="20"/>
              </w:rPr>
              <w:t>PCA</w:t>
            </w:r>
          </w:p>
        </w:tc>
        <w:tc>
          <w:tcPr>
            <w:tcW w:w="62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3 synthetic components capturing maximum variance across all 944 bands</w:t>
            </w:r>
          </w:p>
        </w:tc>
      </w:tr>
    </w:tbl>
    <w:p>
      <w:pPr>
        <w:pStyle w:val="Normal"/>
        <w:spacing w:before="0" w:after="200"/>
        <w:rPr/>
      </w:pPr>
      <w:r>
        <w:rPr/>
      </w:r>
    </w:p>
    <w:p>
      <w:pPr>
        <w:pStyle w:val="Heading2"/>
        <w:spacing w:before="280" w:after="140"/>
        <w:rPr/>
      </w:pPr>
      <w:r>
        <w:rPr/>
        <w:t>2.3 Collapse Monitoring — Feature Std</w:t>
      </w:r>
    </w:p>
    <w:p>
      <w:pPr>
        <w:pStyle w:val="Normal"/>
        <w:spacing w:lineRule="auto" w:line="300" w:before="0" w:after="160"/>
        <w:rPr/>
      </w:pPr>
      <w:r>
        <w:rPr>
          <w:sz w:val="22"/>
          <w:szCs w:val="22"/>
        </w:rPr>
        <w:t>Throughout training, two forms of standard deviation were tracked. Loss standard deviation (the ± figure) measured batch-to-batch training consistency. Feature Std — the standard deviation of the online network's output representations across the batch dimension — served as a proxy indicator for representational collapse: a value falling toward zero would signal the model producing near-identical outputs regardless of input, a known BYOL failure mode.</w:t>
      </w:r>
    </w:p>
    <w:p>
      <w:pPr>
        <w:pStyle w:val="Normal"/>
        <w:pBdr>
          <w:left w:val="single" w:sz="24" w:space="8" w:color="1C7293"/>
        </w:pBdr>
        <w:spacing w:lineRule="auto" w:line="281" w:before="100" w:after="200"/>
        <w:ind w:start="200"/>
        <w:rPr/>
      </w:pPr>
      <w:r>
        <w:rPr>
          <w:i/>
          <w:iCs/>
          <w:color w:val="5A6B7A"/>
          <w:sz w:val="22"/>
          <w:szCs w:val="22"/>
        </w:rPr>
        <w:t>Feature Std is a necessary but not sufficient signal. Its role and limitations are examined directly in Section 6.</w:t>
      </w:r>
    </w:p>
    <w:p>
      <w:pPr>
        <w:pStyle w:val="Heading1"/>
        <w:spacing w:before="360" w:after="200"/>
        <w:rPr/>
      </w:pPr>
      <w:r>
        <w:rPr/>
        <w:t>3. Band Strategy Experiments (Corrected Dataset)</w:t>
      </w:r>
    </w:p>
    <w:p>
      <w:pPr>
        <w:pStyle w:val="Normal"/>
        <w:spacing w:lineRule="auto" w:line="300" w:before="0" w:after="160"/>
        <w:rPr/>
      </w:pPr>
      <w:r>
        <w:rPr>
          <w:sz w:val="22"/>
          <w:szCs w:val="22"/>
        </w:rPr>
        <w:t>All four band strategies were re-run on the corrected 4,004-image dataset using ResNet18, 50 epochs, batch size 16.</w:t>
      </w:r>
    </w:p>
    <w:tbl>
      <w:tblPr>
        <w:tblW w:w="9600" w:type="dxa"/>
        <w:jc w:val="start"/>
        <w:tblInd w:w="0" w:type="dxa"/>
        <w:tblLayout w:type="fixed"/>
        <w:tblCellMar>
          <w:top w:w="80" w:type="dxa"/>
          <w:start w:w="100" w:type="dxa"/>
          <w:bottom w:w="80" w:type="dxa"/>
          <w:end w:w="100" w:type="dxa"/>
        </w:tblCellMar>
      </w:tblPr>
      <w:tblGrid>
        <w:gridCol w:w="3199"/>
        <w:gridCol w:w="2001"/>
        <w:gridCol w:w="2199"/>
        <w:gridCol w:w="2201"/>
      </w:tblGrid>
      <w:tr>
        <w:trPr>
          <w:tblHeader w:val="true"/>
        </w:trPr>
        <w:tc>
          <w:tcPr>
            <w:tcW w:w="3199"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Strategy</w:t>
            </w:r>
          </w:p>
        </w:tc>
        <w:tc>
          <w:tcPr>
            <w:tcW w:w="2001"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Final Loss</w:t>
            </w:r>
          </w:p>
        </w:tc>
        <w:tc>
          <w:tcPr>
            <w:tcW w:w="2199"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Final Feature Std</w:t>
            </w:r>
          </w:p>
        </w:tc>
        <w:tc>
          <w:tcPr>
            <w:tcW w:w="2201"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Loss ± (ep.50)</w:t>
            </w:r>
          </w:p>
        </w:tc>
      </w:tr>
      <w:tr>
        <w:trPr/>
        <w:tc>
          <w:tcPr>
            <w:tcW w:w="3199"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Baseline (First/Mid/Last)</w:t>
            </w:r>
          </w:p>
        </w:tc>
        <w:tc>
          <w:tcPr>
            <w:tcW w:w="2001"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-0.6657</w:t>
            </w:r>
          </w:p>
        </w:tc>
        <w:tc>
          <w:tcPr>
            <w:tcW w:w="2199"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20.62</w:t>
            </w:r>
          </w:p>
        </w:tc>
        <w:tc>
          <w:tcPr>
            <w:tcW w:w="2201"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±0.0912</w:t>
            </w:r>
          </w:p>
        </w:tc>
      </w:tr>
      <w:tr>
        <w:trPr/>
        <w:tc>
          <w:tcPr>
            <w:tcW w:w="3199"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color w:val="000000"/>
                <w:sz w:val="20"/>
                <w:szCs w:val="20"/>
              </w:rPr>
              <w:t>Max Variance</w:t>
            </w:r>
          </w:p>
        </w:tc>
        <w:tc>
          <w:tcPr>
            <w:tcW w:w="2001"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-0.8914 (best)</w:t>
            </w:r>
          </w:p>
        </w:tc>
        <w:tc>
          <w:tcPr>
            <w:tcW w:w="2199"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21.08</w:t>
            </w:r>
          </w:p>
        </w:tc>
        <w:tc>
          <w:tcPr>
            <w:tcW w:w="2201"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±0.0570 (best)</w:t>
            </w:r>
          </w:p>
        </w:tc>
      </w:tr>
      <w:tr>
        <w:trPr/>
        <w:tc>
          <w:tcPr>
            <w:tcW w:w="3199"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Evenly Spaced</w:t>
            </w:r>
          </w:p>
        </w:tc>
        <w:tc>
          <w:tcPr>
            <w:tcW w:w="2001"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-0.6445</w:t>
            </w:r>
          </w:p>
        </w:tc>
        <w:tc>
          <w:tcPr>
            <w:tcW w:w="2199"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21.99 (best)</w:t>
            </w:r>
          </w:p>
        </w:tc>
        <w:tc>
          <w:tcPr>
            <w:tcW w:w="2201"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±0.0996</w:t>
            </w:r>
          </w:p>
        </w:tc>
      </w:tr>
      <w:tr>
        <w:trPr/>
        <w:tc>
          <w:tcPr>
            <w:tcW w:w="3199"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color w:val="000000"/>
                <w:sz w:val="20"/>
                <w:szCs w:val="20"/>
              </w:rPr>
              <w:t>PCA</w:t>
            </w:r>
          </w:p>
        </w:tc>
        <w:tc>
          <w:tcPr>
            <w:tcW w:w="2001"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-0.8334</w:t>
            </w:r>
          </w:p>
        </w:tc>
        <w:tc>
          <w:tcPr>
            <w:tcW w:w="2199"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18.97</w:t>
            </w:r>
          </w:p>
        </w:tc>
        <w:tc>
          <w:tcPr>
            <w:tcW w:w="2201"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±0.0663</w:t>
            </w:r>
          </w:p>
        </w:tc>
      </w:tr>
    </w:tbl>
    <w:p>
      <w:pPr>
        <w:pStyle w:val="Normal"/>
        <w:spacing w:before="0" w:after="200"/>
        <w:rPr/>
      </w:pPr>
      <w:r>
        <w:rPr/>
      </w:r>
    </w:p>
    <w:p>
      <w:pPr>
        <w:pStyle w:val="Normal"/>
        <w:spacing w:lineRule="auto" w:line="300" w:before="0" w:after="160"/>
        <w:rPr/>
      </w:pPr>
      <w:r>
        <w:rPr>
          <w:sz w:val="22"/>
          <w:szCs w:val="22"/>
        </w:rPr>
        <w:t>Maximum Variance band selection produced the best overall balance of loss convergence and training consistency on the corrected dataset, reversing the ranking seen on the contaminated dataset (where Evenly Spaced had performed best). This reversal indicates that adaptive, per-image band selection is more valuable when the underlying data has genuine spectral complexity to respond to. Max Variance was adopted as the band strategy for all subsequent experiments.</w:t>
      </w:r>
    </w:p>
    <w:p>
      <w:pPr>
        <w:pStyle w:val="Heading1"/>
        <w:spacing w:before="360" w:after="200"/>
        <w:rPr/>
      </w:pPr>
      <w:r>
        <w:rPr/>
        <w:t>4. Backbone and Training Duration Experiments</w:t>
      </w:r>
    </w:p>
    <w:p>
      <w:pPr>
        <w:pStyle w:val="Heading2"/>
        <w:spacing w:before="280" w:after="140"/>
        <w:rPr/>
      </w:pPr>
      <w:r>
        <w:rPr/>
        <w:t>4.1 ResNet18 vs ResNet50</w:t>
      </w:r>
    </w:p>
    <w:p>
      <w:pPr>
        <w:pStyle w:val="Normal"/>
        <w:spacing w:lineRule="auto" w:line="300" w:before="0" w:after="160"/>
        <w:rPr/>
      </w:pPr>
      <w:r>
        <w:rPr>
          <w:sz w:val="22"/>
          <w:szCs w:val="22"/>
        </w:rPr>
        <w:t>With Max Variance bands fixed, backbone depth was compared. ResNet50's greater capacity was expected to extract richer features from the genuinely complex, corrected dataset.</w:t>
      </w:r>
    </w:p>
    <w:p>
      <w:pPr>
        <w:pStyle w:val="Heading2"/>
        <w:spacing w:before="280" w:after="140"/>
        <w:rPr/>
      </w:pPr>
      <w:r>
        <w:rPr/>
        <w:t>4.2 Extended Training — 100 Epochs</w:t>
      </w:r>
    </w:p>
    <w:p>
      <w:pPr>
        <w:pStyle w:val="Normal"/>
        <w:spacing w:lineRule="auto" w:line="300" w:before="0" w:after="160"/>
        <w:rPr/>
      </w:pPr>
      <w:r>
        <w:rPr>
          <w:sz w:val="22"/>
          <w:szCs w:val="22"/>
        </w:rPr>
        <w:t>Given that Feature Std had not plateaued at 50 epochs in any prior run, ResNet50 was trained for 100 epochs on the full corrected dataset (4,004 images).</w:t>
      </w:r>
    </w:p>
    <w:tbl>
      <w:tblPr>
        <w:tblW w:w="9600" w:type="dxa"/>
        <w:jc w:val="start"/>
        <w:tblInd w:w="0" w:type="dxa"/>
        <w:tblLayout w:type="fixed"/>
        <w:tblCellMar>
          <w:top w:w="80" w:type="dxa"/>
          <w:start w:w="100" w:type="dxa"/>
          <w:bottom w:w="80" w:type="dxa"/>
          <w:end w:w="100" w:type="dxa"/>
        </w:tblCellMar>
      </w:tblPr>
      <w:tblGrid>
        <w:gridCol w:w="4200"/>
        <w:gridCol w:w="1800"/>
        <w:gridCol w:w="1999"/>
        <w:gridCol w:w="1601"/>
      </w:tblGrid>
      <w:tr>
        <w:trPr>
          <w:tblHeader w:val="true"/>
        </w:trPr>
        <w:tc>
          <w:tcPr>
            <w:tcW w:w="42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Configuration</w:t>
            </w:r>
          </w:p>
        </w:tc>
        <w:tc>
          <w:tcPr>
            <w:tcW w:w="18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Final Loss</w:t>
            </w:r>
          </w:p>
        </w:tc>
        <w:tc>
          <w:tcPr>
            <w:tcW w:w="1999"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Final Feature Std</w:t>
            </w:r>
          </w:p>
        </w:tc>
        <w:tc>
          <w:tcPr>
            <w:tcW w:w="1601"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Loss ± (final)</w:t>
            </w:r>
          </w:p>
        </w:tc>
      </w:tr>
      <w:tr>
        <w:trPr/>
        <w:tc>
          <w:tcPr>
            <w:tcW w:w="4200"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ResNet18, 50 epochs (best band strategy)</w:t>
            </w:r>
          </w:p>
        </w:tc>
        <w:tc>
          <w:tcPr>
            <w:tcW w:w="18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-0.8914</w:t>
            </w:r>
          </w:p>
        </w:tc>
        <w:tc>
          <w:tcPr>
            <w:tcW w:w="1999"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21.08</w:t>
            </w:r>
          </w:p>
        </w:tc>
        <w:tc>
          <w:tcPr>
            <w:tcW w:w="1601"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±0.0570</w:t>
            </w:r>
          </w:p>
        </w:tc>
      </w:tr>
      <w:tr>
        <w:trPr/>
        <w:tc>
          <w:tcPr>
            <w:tcW w:w="42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color w:val="000000"/>
                <w:sz w:val="20"/>
                <w:szCs w:val="20"/>
              </w:rPr>
              <w:t>ResNet50, 100 epochs, Max Variance</w:t>
            </w:r>
          </w:p>
        </w:tc>
        <w:tc>
          <w:tcPr>
            <w:tcW w:w="18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-0.9293</w:t>
            </w:r>
          </w:p>
        </w:tc>
        <w:tc>
          <w:tcPr>
            <w:tcW w:w="1999"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29.64 (best)</w:t>
            </w:r>
          </w:p>
        </w:tc>
        <w:tc>
          <w:tcPr>
            <w:tcW w:w="1601"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±0.0386 (best)</w:t>
            </w:r>
          </w:p>
        </w:tc>
      </w:tr>
    </w:tbl>
    <w:p>
      <w:pPr>
        <w:pStyle w:val="Normal"/>
        <w:spacing w:before="0" w:after="200"/>
        <w:rPr/>
      </w:pPr>
      <w:r>
        <w:rPr/>
      </w:r>
    </w:p>
    <w:p>
      <w:pPr>
        <w:pStyle w:val="Normal"/>
        <w:spacing w:lineRule="auto" w:line="300" w:before="0" w:after="160"/>
        <w:rPr/>
      </w:pPr>
      <w:r>
        <w:rPr>
          <w:sz w:val="22"/>
          <w:szCs w:val="22"/>
        </w:rPr>
        <w:t>This configuration — ResNet50, Max Variance bands, 100 epochs, batch size 16 — became the reference "best Tier 1" model, showing continued Feature Std growth through to the final epoch with no collapse warning at any point across the full run.</w:t>
      </w:r>
    </w:p>
    <w:p>
      <w:pPr>
        <w:pStyle w:val="Heading1"/>
        <w:spacing w:before="360" w:after="200"/>
        <w:rPr/>
      </w:pPr>
      <w:r>
        <w:rPr/>
        <w:t>5. Rigorous Generalisation Test (Train/Test Split)</w:t>
      </w:r>
    </w:p>
    <w:p>
      <w:pPr>
        <w:pStyle w:val="Heading2"/>
        <w:spacing w:before="280" w:after="140"/>
        <w:rPr/>
      </w:pPr>
      <w:r>
        <w:rPr/>
        <w:t>5.1 Motivation</w:t>
      </w:r>
    </w:p>
    <w:p>
      <w:pPr>
        <w:pStyle w:val="Normal"/>
        <w:spacing w:lineRule="auto" w:line="300" w:before="0" w:after="160"/>
        <w:rPr/>
      </w:pPr>
      <w:r>
        <w:rPr>
          <w:sz w:val="22"/>
          <w:szCs w:val="22"/>
        </w:rPr>
        <w:t>All experiments to this point trained and evaluated on overlapping data, leaving open the possibility that strong metrics reflected memorisation rather than genuine learning. To address this directly, the corrected 4,004-image dataset was split 80/20 into 3,203 training images and 801 completely held-out test images (fixed random seed for reproducibility).</w:t>
      </w:r>
    </w:p>
    <w:p>
      <w:pPr>
        <w:pStyle w:val="Heading2"/>
        <w:spacing w:before="280" w:after="140"/>
        <w:rPr/>
      </w:pPr>
      <w:r>
        <w:rPr/>
        <w:t>5.2 Protocol</w:t>
      </w:r>
    </w:p>
    <w:p>
      <w:pPr>
        <w:pStyle w:val="ListParagraph"/>
        <w:numPr>
          <w:ilvl w:val="0"/>
          <w:numId w:val="1"/>
        </w:numPr>
        <w:spacing w:lineRule="auto" w:line="281" w:before="0" w:after="100"/>
        <w:rPr/>
      </w:pPr>
      <w:r>
        <w:rPr>
          <w:sz w:val="22"/>
          <w:szCs w:val="22"/>
        </w:rPr>
        <w:t>BYOL trained exclusively on the 3,203 training images — the 801 test images were never seen during training.</w:t>
      </w:r>
    </w:p>
    <w:p>
      <w:pPr>
        <w:pStyle w:val="ListParagraph"/>
        <w:numPr>
          <w:ilvl w:val="0"/>
          <w:numId w:val="1"/>
        </w:numPr>
        <w:spacing w:lineRule="auto" w:line="281" w:before="0" w:after="100"/>
        <w:rPr/>
      </w:pPr>
      <w:r>
        <w:rPr>
          <w:sz w:val="22"/>
          <w:szCs w:val="22"/>
        </w:rPr>
        <w:t>K-Means clustering (2 clusters, matching the confirmed dominant surface-type structure of the data) was fitted only on training-set features.</w:t>
      </w:r>
    </w:p>
    <w:p>
      <w:pPr>
        <w:pStyle w:val="ListParagraph"/>
        <w:numPr>
          <w:ilvl w:val="0"/>
          <w:numId w:val="1"/>
        </w:numPr>
        <w:spacing w:lineRule="auto" w:line="281" w:before="0" w:after="100"/>
        <w:rPr/>
      </w:pPr>
      <w:r>
        <w:rPr>
          <w:sz w:val="22"/>
          <w:szCs w:val="22"/>
        </w:rPr>
        <w:t>A linear classifier was trained only on training-set features and pseudo-labels.</w:t>
      </w:r>
    </w:p>
    <w:p>
      <w:pPr>
        <w:pStyle w:val="ListParagraph"/>
        <w:numPr>
          <w:ilvl w:val="0"/>
          <w:numId w:val="1"/>
        </w:numPr>
        <w:spacing w:lineRule="auto" w:line="281" w:before="0" w:after="100"/>
        <w:rPr/>
      </w:pPr>
      <w:r>
        <w:rPr>
          <w:sz w:val="22"/>
          <w:szCs w:val="22"/>
        </w:rPr>
        <w:t>The frozen backbone, fitted K-Means model, and trained classifier were then applied — unchanged — to the 801 unseen test images.</w:t>
      </w:r>
    </w:p>
    <w:p>
      <w:pPr>
        <w:pStyle w:val="Heading2"/>
        <w:spacing w:before="280" w:after="140"/>
        <w:rPr/>
      </w:pPr>
      <w:r>
        <w:rPr/>
        <w:t>5.3 Result — ResNet50, Projection Hidden 1024</w:t>
      </w:r>
    </w:p>
    <w:tbl>
      <w:tblPr>
        <w:tblW w:w="8600" w:type="dxa"/>
        <w:jc w:val="start"/>
        <w:tblInd w:w="0" w:type="dxa"/>
        <w:tblLayout w:type="fixed"/>
        <w:tblCellMar>
          <w:top w:w="80" w:type="dxa"/>
          <w:start w:w="100" w:type="dxa"/>
          <w:bottom w:w="80" w:type="dxa"/>
          <w:end w:w="100" w:type="dxa"/>
        </w:tblCellMar>
      </w:tblPr>
      <w:tblGrid>
        <w:gridCol w:w="4200"/>
        <w:gridCol w:w="4400"/>
      </w:tblGrid>
      <w:tr>
        <w:trPr>
          <w:tblHeader w:val="true"/>
        </w:trPr>
        <w:tc>
          <w:tcPr>
            <w:tcW w:w="42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Metric</w:t>
            </w:r>
          </w:p>
        </w:tc>
        <w:tc>
          <w:tcPr>
            <w:tcW w:w="44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Value</w:t>
            </w:r>
          </w:p>
        </w:tc>
      </w:tr>
      <w:tr>
        <w:trPr/>
        <w:tc>
          <w:tcPr>
            <w:tcW w:w="4200"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Test Accuracy</w:t>
            </w:r>
          </w:p>
        </w:tc>
        <w:tc>
          <w:tcPr>
            <w:tcW w:w="44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99%</w:t>
            </w:r>
          </w:p>
        </w:tc>
      </w:tr>
      <w:tr>
        <w:trPr/>
        <w:tc>
          <w:tcPr>
            <w:tcW w:w="42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color w:val="000000"/>
                <w:sz w:val="20"/>
                <w:szCs w:val="20"/>
              </w:rPr>
              <w:t>Test errors</w:t>
            </w:r>
          </w:p>
        </w:tc>
        <w:tc>
          <w:tcPr>
            <w:tcW w:w="44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12 of 801</w:t>
            </w:r>
          </w:p>
        </w:tc>
      </w:tr>
      <w:tr>
        <w:trPr/>
        <w:tc>
          <w:tcPr>
            <w:tcW w:w="4200"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Confusion Matrix</w:t>
            </w:r>
          </w:p>
        </w:tc>
        <w:tc>
          <w:tcPr>
            <w:tcW w:w="44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[[706, 0], [12, 83]]</w:t>
            </w:r>
          </w:p>
        </w:tc>
      </w:tr>
      <w:tr>
        <w:trPr/>
        <w:tc>
          <w:tcPr>
            <w:tcW w:w="42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color w:val="000000"/>
                <w:sz w:val="20"/>
                <w:szCs w:val="20"/>
              </w:rPr>
              <w:t>Macro-average Recall</w:t>
            </w:r>
          </w:p>
        </w:tc>
        <w:tc>
          <w:tcPr>
            <w:tcW w:w="44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0.94</w:t>
            </w:r>
          </w:p>
        </w:tc>
      </w:tr>
    </w:tbl>
    <w:p>
      <w:pPr>
        <w:pStyle w:val="Normal"/>
        <w:spacing w:before="0" w:after="200"/>
        <w:rPr/>
      </w:pPr>
      <w:r>
        <w:rPr/>
      </w:r>
    </w:p>
    <w:p>
      <w:pPr>
        <w:pStyle w:val="Normal"/>
        <w:spacing w:lineRule="auto" w:line="300" w:before="0" w:after="160"/>
        <w:rPr/>
      </w:pPr>
      <w:r>
        <w:rPr>
          <w:sz w:val="22"/>
          <w:szCs w:val="22"/>
        </w:rPr>
        <w:t>With zero errors on the majority class and all 12 errors concentrated in the minority surface class (95 test images), this result confirmed that the model generalises to genuinely unseen hyperspectral road imagery, rather than having memorised training-specific patterns.</w:t>
      </w:r>
    </w:p>
    <w:p>
      <w:pPr>
        <w:pStyle w:val="Heading1"/>
        <w:spacing w:before="360" w:after="200"/>
        <w:rPr/>
      </w:pPr>
      <w:r>
        <w:rPr/>
        <w:t>6. Hyperparameter Optimisation</w:t>
      </w:r>
    </w:p>
    <w:p>
      <w:pPr>
        <w:pStyle w:val="Normal"/>
        <w:spacing w:lineRule="auto" w:line="300" w:before="0" w:after="160"/>
        <w:rPr/>
      </w:pPr>
      <w:r>
        <w:rPr>
          <w:sz w:val="22"/>
          <w:szCs w:val="22"/>
        </w:rPr>
        <w:t>Following the initial generalisation result, further optimisation was pursued, informed by the original BYOL paper (Grill et al., 2020) and its published ablation studies.</w:t>
      </w:r>
    </w:p>
    <w:p>
      <w:pPr>
        <w:pStyle w:val="Heading2"/>
        <w:spacing w:before="280" w:after="140"/>
        <w:rPr/>
      </w:pPr>
      <w:r>
        <w:rPr/>
        <w:t>6.1 Batch Size Increase (16 → 64)</w:t>
      </w:r>
    </w:p>
    <w:p>
      <w:pPr>
        <w:pStyle w:val="Normal"/>
        <w:spacing w:lineRule="auto" w:line="300" w:before="0" w:after="160"/>
        <w:rPr/>
      </w:pPr>
      <w:r>
        <w:rPr>
          <w:sz w:val="22"/>
          <w:szCs w:val="22"/>
        </w:rPr>
        <w:t>The BYOL paper's ablations show stable performance from batch size 256 up to 4096, only degrading below that range — motivating a test at batch size 64. However, on the 3,203-image training set, batch size 64 yields roughly 50 batches per epoch versus roughly 200 at batch size 16 — a 4x reduction in weight updates per epoch.</w:t>
      </w:r>
    </w:p>
    <w:tbl>
      <w:tblPr>
        <w:tblW w:w="9000" w:type="dxa"/>
        <w:jc w:val="start"/>
        <w:tblInd w:w="0" w:type="dxa"/>
        <w:tblLayout w:type="fixed"/>
        <w:tblCellMar>
          <w:top w:w="80" w:type="dxa"/>
          <w:start w:w="100" w:type="dxa"/>
          <w:bottom w:w="80" w:type="dxa"/>
          <w:end w:w="100" w:type="dxa"/>
        </w:tblCellMar>
      </w:tblPr>
      <w:tblGrid>
        <w:gridCol w:w="3600"/>
        <w:gridCol w:w="1199"/>
        <w:gridCol w:w="2001"/>
        <w:gridCol w:w="2200"/>
      </w:tblGrid>
      <w:tr>
        <w:trPr>
          <w:tblHeader w:val="true"/>
        </w:trPr>
        <w:tc>
          <w:tcPr>
            <w:tcW w:w="36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Configuration</w:t>
            </w:r>
          </w:p>
        </w:tc>
        <w:tc>
          <w:tcPr>
            <w:tcW w:w="1199"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Epochs</w:t>
            </w:r>
          </w:p>
        </w:tc>
        <w:tc>
          <w:tcPr>
            <w:tcW w:w="2001"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Final Loss</w:t>
            </w:r>
          </w:p>
        </w:tc>
        <w:tc>
          <w:tcPr>
            <w:tcW w:w="22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Final Feature Std</w:t>
            </w:r>
          </w:p>
        </w:tc>
      </w:tr>
      <w:tr>
        <w:trPr/>
        <w:tc>
          <w:tcPr>
            <w:tcW w:w="3600"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Batch 16 (reference)</w:t>
            </w:r>
          </w:p>
        </w:tc>
        <w:tc>
          <w:tcPr>
            <w:tcW w:w="1199"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100</w:t>
            </w:r>
          </w:p>
        </w:tc>
        <w:tc>
          <w:tcPr>
            <w:tcW w:w="2001"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-0.9293*</w:t>
            </w:r>
          </w:p>
        </w:tc>
        <w:tc>
          <w:tcPr>
            <w:tcW w:w="22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29.64*</w:t>
            </w:r>
          </w:p>
        </w:tc>
      </w:tr>
      <w:tr>
        <w:trPr/>
        <w:tc>
          <w:tcPr>
            <w:tcW w:w="36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color w:val="000000"/>
                <w:sz w:val="20"/>
                <w:szCs w:val="20"/>
              </w:rPr>
              <w:t>Batch 64</w:t>
            </w:r>
          </w:p>
        </w:tc>
        <w:tc>
          <w:tcPr>
            <w:tcW w:w="1199"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100</w:t>
            </w:r>
          </w:p>
        </w:tc>
        <w:tc>
          <w:tcPr>
            <w:tcW w:w="2001"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-0.8880</w:t>
            </w:r>
          </w:p>
        </w:tc>
        <w:tc>
          <w:tcPr>
            <w:tcW w:w="22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4.10</w:t>
            </w:r>
          </w:p>
        </w:tc>
      </w:tr>
      <w:tr>
        <w:trPr/>
        <w:tc>
          <w:tcPr>
            <w:tcW w:w="3600"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Batch 64 (update-matched)</w:t>
            </w:r>
          </w:p>
        </w:tc>
        <w:tc>
          <w:tcPr>
            <w:tcW w:w="1199"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400</w:t>
            </w:r>
          </w:p>
        </w:tc>
        <w:tc>
          <w:tcPr>
            <w:tcW w:w="2001"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-0.9436 (best loss)</w:t>
            </w:r>
          </w:p>
        </w:tc>
        <w:tc>
          <w:tcPr>
            <w:tcW w:w="22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9.35 (plateaued)</w:t>
            </w:r>
          </w:p>
        </w:tc>
      </w:tr>
    </w:tbl>
    <w:p>
      <w:pPr>
        <w:pStyle w:val="Normal"/>
        <w:pBdr>
          <w:left w:val="single" w:sz="24" w:space="8" w:color="1C7293"/>
        </w:pBdr>
        <w:spacing w:lineRule="auto" w:line="281" w:before="100" w:after="200"/>
        <w:ind w:start="200"/>
        <w:rPr/>
      </w:pPr>
      <w:r>
        <w:rPr>
          <w:i/>
          <w:iCs/>
          <w:color w:val="5A6B7A"/>
          <w:sz w:val="22"/>
          <w:szCs w:val="22"/>
        </w:rPr>
        <w:t>*Batch 16 reference figures are from the full 4,004-image Tier 1 run, included for context; the directly comparable split-trained batch-16 configuration is shown in Section 6.2.</w:t>
      </w:r>
    </w:p>
    <w:p>
      <w:pPr>
        <w:pStyle w:val="Normal"/>
        <w:spacing w:lineRule="auto" w:line="300" w:before="0" w:after="160"/>
        <w:rPr/>
      </w:pPr>
      <w:r>
        <w:rPr>
          <w:sz w:val="22"/>
          <w:szCs w:val="22"/>
        </w:rPr>
        <w:t>Even after extending training to 400 epochs to match the total weight-update count of the batch-16 baseline, Feature Std plateaued at 9.35 — far below target — while loss did reach a new best of -0.9436. This demonstrated that loss convergence and Feature Std growth are not governed purely by total update count; batch size itself independently affects representational diversity. Batch size 16 was retained as the working configuration going forward.</w:t>
      </w:r>
    </w:p>
    <w:p>
      <w:pPr>
        <w:pStyle w:val="Heading2"/>
        <w:spacing w:before="280" w:after="140"/>
        <w:rPr/>
      </w:pPr>
      <w:r>
        <w:rPr/>
        <w:t>6.2 Projection Head Size (1024 → 512)</w:t>
      </w:r>
    </w:p>
    <w:p>
      <w:pPr>
        <w:pStyle w:val="Normal"/>
        <w:spacing w:lineRule="auto" w:line="300" w:before="0" w:after="160"/>
        <w:rPr/>
      </w:pPr>
      <w:r>
        <w:rPr>
          <w:sz w:val="22"/>
          <w:szCs w:val="22"/>
        </w:rPr>
        <w:t>The BYOL paper's own ablation study reports a hidden layer size of 512 (not 1024, as commonly assumed) as optimal in their internal testing. This was tested directly, holding batch size at 16 and training on the 3,203-image split for 100 epochs.</w:t>
      </w:r>
    </w:p>
    <w:tbl>
      <w:tblPr>
        <w:tblW w:w="9800" w:type="dxa"/>
        <w:jc w:val="start"/>
        <w:tblInd w:w="0" w:type="dxa"/>
        <w:tblLayout w:type="fixed"/>
        <w:tblCellMar>
          <w:top w:w="80" w:type="dxa"/>
          <w:start w:w="100" w:type="dxa"/>
          <w:bottom w:w="80" w:type="dxa"/>
          <w:end w:w="100" w:type="dxa"/>
        </w:tblCellMar>
      </w:tblPr>
      <w:tblGrid>
        <w:gridCol w:w="3800"/>
        <w:gridCol w:w="3000"/>
        <w:gridCol w:w="3000"/>
      </w:tblGrid>
      <w:tr>
        <w:trPr>
          <w:tblHeader w:val="true"/>
        </w:trPr>
        <w:tc>
          <w:tcPr>
            <w:tcW w:w="38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Projection Hidden Size</w:t>
            </w:r>
          </w:p>
        </w:tc>
        <w:tc>
          <w:tcPr>
            <w:tcW w:w="30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Final Loss</w:t>
            </w:r>
          </w:p>
        </w:tc>
        <w:tc>
          <w:tcPr>
            <w:tcW w:w="30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Final Feature Std</w:t>
            </w:r>
          </w:p>
        </w:tc>
      </w:tr>
      <w:tr>
        <w:trPr/>
        <w:tc>
          <w:tcPr>
            <w:tcW w:w="3800"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1024 (original)</w:t>
            </w:r>
          </w:p>
        </w:tc>
        <w:tc>
          <w:tcPr>
            <w:tcW w:w="30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n/a (not logged on split)</w:t>
            </w:r>
          </w:p>
        </w:tc>
        <w:tc>
          <w:tcPr>
            <w:tcW w:w="30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n/a</w:t>
            </w:r>
          </w:p>
        </w:tc>
      </w:tr>
      <w:tr>
        <w:trPr/>
        <w:tc>
          <w:tcPr>
            <w:tcW w:w="38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color w:val="000000"/>
                <w:sz w:val="20"/>
                <w:szCs w:val="20"/>
              </w:rPr>
              <w:t>512</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-0.8840</w:t>
            </w:r>
          </w:p>
        </w:tc>
        <w:tc>
          <w:tcPr>
            <w:tcW w:w="30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16.82</w:t>
            </w:r>
          </w:p>
        </w:tc>
      </w:tr>
    </w:tbl>
    <w:p>
      <w:pPr>
        <w:pStyle w:val="Normal"/>
        <w:spacing w:before="0" w:after="200"/>
        <w:rPr/>
      </w:pPr>
      <w:r>
        <w:rPr/>
      </w:r>
    </w:p>
    <w:p>
      <w:pPr>
        <w:pStyle w:val="Normal"/>
        <w:spacing w:lineRule="auto" w:line="300" w:before="0" w:after="160"/>
        <w:rPr/>
      </w:pPr>
      <w:r>
        <w:rPr>
          <w:sz w:val="22"/>
          <w:szCs w:val="22"/>
        </w:rPr>
        <w:t>An interesting secondary pattern emerged: loss reached its best value of -0.9598 around epoch 43 before gradually declining to -0.8840 by epoch 100, while Feature Std climbed continuously throughout — suggesting the model progressively traded tighter view-alignment for greater representational diversity as training progressed.</w:t>
      </w:r>
    </w:p>
    <w:p>
      <w:pPr>
        <w:pStyle w:val="Heading1"/>
        <w:spacing w:before="360" w:after="200"/>
        <w:rPr/>
      </w:pPr>
      <w:r>
        <w:rPr/>
        <w:t>7. Key Finding: Feature Std is Not Predictive of Test Accuracy</w:t>
      </w:r>
    </w:p>
    <w:p>
      <w:pPr>
        <w:pStyle w:val="Normal"/>
        <w:spacing w:lineRule="auto" w:line="300" w:before="0" w:after="160"/>
        <w:rPr/>
      </w:pPr>
      <w:r>
        <w:rPr>
          <w:sz w:val="22"/>
          <w:szCs w:val="22"/>
        </w:rPr>
        <w:t>The projection-head-512 configuration was carried through the full generalisation protocol described in Section 5, to test directly whether its markedly lower Feature Std translated into worse real-world performance.</w:t>
      </w:r>
    </w:p>
    <w:tbl>
      <w:tblPr>
        <w:tblW w:w="9000" w:type="dxa"/>
        <w:jc w:val="start"/>
        <w:tblInd w:w="0" w:type="dxa"/>
        <w:tblLayout w:type="fixed"/>
        <w:tblCellMar>
          <w:top w:w="80" w:type="dxa"/>
          <w:start w:w="100" w:type="dxa"/>
          <w:bottom w:w="80" w:type="dxa"/>
          <w:end w:w="100" w:type="dxa"/>
        </w:tblCellMar>
      </w:tblPr>
      <w:tblGrid>
        <w:gridCol w:w="3600"/>
        <w:gridCol w:w="1800"/>
        <w:gridCol w:w="1800"/>
        <w:gridCol w:w="1800"/>
      </w:tblGrid>
      <w:tr>
        <w:trPr>
          <w:tblHeader w:val="true"/>
        </w:trPr>
        <w:tc>
          <w:tcPr>
            <w:tcW w:w="36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Configuration</w:t>
            </w:r>
          </w:p>
        </w:tc>
        <w:tc>
          <w:tcPr>
            <w:tcW w:w="18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Feature Std</w:t>
            </w:r>
          </w:p>
        </w:tc>
        <w:tc>
          <w:tcPr>
            <w:tcW w:w="18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Test Accuracy</w:t>
            </w:r>
          </w:p>
        </w:tc>
        <w:tc>
          <w:tcPr>
            <w:tcW w:w="18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Test Errors / 801</w:t>
            </w:r>
          </w:p>
        </w:tc>
      </w:tr>
      <w:tr>
        <w:trPr/>
        <w:tc>
          <w:tcPr>
            <w:tcW w:w="3600"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Projection Hidden = 1024</w:t>
            </w:r>
          </w:p>
        </w:tc>
        <w:tc>
          <w:tcPr>
            <w:tcW w:w="18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29.64</w:t>
            </w:r>
          </w:p>
        </w:tc>
        <w:tc>
          <w:tcPr>
            <w:tcW w:w="18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99%</w:t>
            </w:r>
          </w:p>
        </w:tc>
        <w:tc>
          <w:tcPr>
            <w:tcW w:w="18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12</w:t>
            </w:r>
          </w:p>
        </w:tc>
      </w:tr>
      <w:tr>
        <w:trPr/>
        <w:tc>
          <w:tcPr>
            <w:tcW w:w="3600"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color w:val="000000"/>
                <w:sz w:val="20"/>
                <w:szCs w:val="20"/>
              </w:rPr>
              <w:t>Projection Hidden = 512</w:t>
            </w:r>
          </w:p>
        </w:tc>
        <w:tc>
          <w:tcPr>
            <w:tcW w:w="18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16.82</w:t>
            </w:r>
          </w:p>
        </w:tc>
        <w:tc>
          <w:tcPr>
            <w:tcW w:w="18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100%</w:t>
            </w:r>
          </w:p>
        </w:tc>
        <w:tc>
          <w:tcPr>
            <w:tcW w:w="18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2</w:t>
            </w:r>
          </w:p>
        </w:tc>
      </w:tr>
    </w:tbl>
    <w:p>
      <w:pPr>
        <w:pStyle w:val="Normal"/>
        <w:spacing w:before="0" w:after="200"/>
        <w:rPr/>
      </w:pPr>
      <w:r>
        <w:rPr/>
      </w:r>
    </w:p>
    <w:p>
      <w:pPr>
        <w:pStyle w:val="Normal"/>
        <w:spacing w:lineRule="auto" w:line="300" w:before="0" w:after="160"/>
        <w:rPr/>
      </w:pPr>
      <w:r>
        <w:rPr>
          <w:sz w:val="22"/>
          <w:szCs w:val="22"/>
        </w:rPr>
        <w:t>The configuration with substantially lower Feature Std produced higher held-out test accuracy, with 83% fewer errors. This is a direct, data-backed demonstration that Feature Std — while useful as an early warning signal against representational collapse — is not a reliable predictor of downstream task performance.</w:t>
      </w:r>
    </w:p>
    <w:p>
      <w:pPr>
        <w:pStyle w:val="Normal"/>
        <w:pBdr>
          <w:left w:val="single" w:sz="24" w:space="8" w:color="B8860B"/>
        </w:pBdr>
        <w:spacing w:lineRule="auto" w:line="281" w:before="100" w:after="200"/>
        <w:ind w:start="200"/>
        <w:rPr/>
      </w:pPr>
      <w:r>
        <w:rPr>
          <w:i/>
          <w:iCs/>
          <w:color w:val="5A6B7A"/>
          <w:sz w:val="22"/>
          <w:szCs w:val="22"/>
        </w:rPr>
        <w:t>A plausible explanation: the smaller projection head has less capacity to encode information, acting as an implicit regulariser. Rather than spreading representations across many dimensions (some task-relevant, some not), the constrained head appears to concentrate representational "spread" specifically along dimensions that separate road surface types — lower total diversity, but more task-relevant diversity.</w:t>
      </w:r>
    </w:p>
    <w:p>
      <w:pPr>
        <w:pStyle w:val="Normal"/>
        <w:spacing w:lineRule="auto" w:line="300" w:before="0" w:after="160"/>
        <w:rPr/>
      </w:pPr>
      <w:r>
        <w:rPr>
          <w:sz w:val="22"/>
          <w:szCs w:val="22"/>
        </w:rPr>
        <w:t>A secondary observation supports this interpretation: the K-Means cluster balance improved substantially between configurations — from 706 vs 95 images (highly imbalanced) at hidden size 1024, to 441 vs 358 images (much more balanced) at hidden size 512 — suggesting the smaller head encourages a more even and arguably more meaningful separation of surface types.</w:t>
      </w:r>
    </w:p>
    <w:p>
      <w:pPr>
        <w:pStyle w:val="Heading1"/>
        <w:spacing w:before="360" w:after="200"/>
        <w:rPr/>
      </w:pPr>
      <w:r>
        <w:rPr/>
        <w:t>8. Final Results Summary</w:t>
      </w:r>
    </w:p>
    <w:tbl>
      <w:tblPr>
        <w:tblW w:w="8600" w:type="dxa"/>
        <w:jc w:val="start"/>
        <w:tblInd w:w="0" w:type="dxa"/>
        <w:tblLayout w:type="fixed"/>
        <w:tblCellMar>
          <w:top w:w="80" w:type="dxa"/>
          <w:start w:w="100" w:type="dxa"/>
          <w:bottom w:w="80" w:type="dxa"/>
          <w:end w:w="100" w:type="dxa"/>
        </w:tblCellMar>
      </w:tblPr>
      <w:tblGrid>
        <w:gridCol w:w="2599"/>
        <w:gridCol w:w="3200"/>
        <w:gridCol w:w="2801"/>
      </w:tblGrid>
      <w:tr>
        <w:trPr>
          <w:tblHeader w:val="true"/>
        </w:trPr>
        <w:tc>
          <w:tcPr>
            <w:tcW w:w="2599"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Stage</w:t>
            </w:r>
          </w:p>
        </w:tc>
        <w:tc>
          <w:tcPr>
            <w:tcW w:w="3200"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Best Configuration</w:t>
            </w:r>
          </w:p>
        </w:tc>
        <w:tc>
          <w:tcPr>
            <w:tcW w:w="2801" w:type="dxa"/>
            <w:tcBorders>
              <w:top w:val="single" w:sz="4" w:space="0" w:color="000000"/>
              <w:start w:val="single" w:sz="4" w:space="0" w:color="000000"/>
              <w:bottom w:val="single" w:sz="4" w:space="0" w:color="000000"/>
              <w:end w:val="single" w:sz="4" w:space="0" w:color="000000"/>
            </w:tcBorders>
            <w:shd w:fill="1C7293" w:val="clear"/>
          </w:tcPr>
          <w:p>
            <w:pPr>
              <w:pStyle w:val="Normal"/>
              <w:jc w:val="center"/>
              <w:rPr/>
            </w:pPr>
            <w:r>
              <w:rPr>
                <w:b/>
                <w:bCs/>
                <w:color w:val="FFFFFF"/>
                <w:sz w:val="20"/>
                <w:szCs w:val="20"/>
              </w:rPr>
              <w:t>Key Result</w:t>
            </w:r>
          </w:p>
        </w:tc>
      </w:tr>
      <w:tr>
        <w:trPr/>
        <w:tc>
          <w:tcPr>
            <w:tcW w:w="2599"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Dataset validation</w:t>
            </w:r>
          </w:p>
        </w:tc>
        <w:tc>
          <w:tcPr>
            <w:tcW w:w="32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Corrected 4,004 images (masks excluded)</w:t>
            </w:r>
          </w:p>
        </w:tc>
        <w:tc>
          <w:tcPr>
            <w:tcW w:w="2801"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Removed artificial performance inflation</w:t>
            </w:r>
          </w:p>
        </w:tc>
      </w:tr>
      <w:tr>
        <w:trPr/>
        <w:tc>
          <w:tcPr>
            <w:tcW w:w="2599"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color w:val="000000"/>
                <w:sz w:val="20"/>
                <w:szCs w:val="20"/>
              </w:rPr>
              <w:t>Band strategy</w:t>
            </w:r>
          </w:p>
        </w:tc>
        <w:tc>
          <w:tcPr>
            <w:tcW w:w="32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Maximum Variance</w:t>
            </w:r>
          </w:p>
        </w:tc>
        <w:tc>
          <w:tcPr>
            <w:tcW w:w="2801"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Best loss &amp; consistency of 4 strategies tested</w:t>
            </w:r>
          </w:p>
        </w:tc>
      </w:tr>
      <w:tr>
        <w:trPr/>
        <w:tc>
          <w:tcPr>
            <w:tcW w:w="2599"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Backbone</w:t>
            </w:r>
          </w:p>
        </w:tc>
        <w:tc>
          <w:tcPr>
            <w:tcW w:w="32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ResNet50 (vs ResNet18)</w:t>
            </w:r>
          </w:p>
        </w:tc>
        <w:tc>
          <w:tcPr>
            <w:tcW w:w="2801"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Higher representational capacity confirmed</w:t>
            </w:r>
          </w:p>
        </w:tc>
      </w:tr>
      <w:tr>
        <w:trPr/>
        <w:tc>
          <w:tcPr>
            <w:tcW w:w="2599"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color w:val="000000"/>
                <w:sz w:val="20"/>
                <w:szCs w:val="20"/>
              </w:rPr>
              <w:t>Training duration</w:t>
            </w:r>
          </w:p>
        </w:tc>
        <w:tc>
          <w:tcPr>
            <w:tcW w:w="32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100 epochs</w:t>
            </w:r>
          </w:p>
        </w:tc>
        <w:tc>
          <w:tcPr>
            <w:tcW w:w="2801"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Feature Std still rising — genuine improvement</w:t>
            </w:r>
          </w:p>
        </w:tc>
      </w:tr>
      <w:tr>
        <w:trPr/>
        <w:tc>
          <w:tcPr>
            <w:tcW w:w="2599" w:type="dxa"/>
            <w:tcBorders>
              <w:top w:val="single" w:sz="4" w:space="0" w:color="000000"/>
              <w:start w:val="single" w:sz="4" w:space="0" w:color="000000"/>
              <w:bottom w:val="single" w:sz="4" w:space="0" w:color="000000"/>
              <w:end w:val="single" w:sz="4" w:space="0" w:color="000000"/>
            </w:tcBorders>
            <w:shd w:fill="F2F8FB" w:val="clear"/>
          </w:tcPr>
          <w:p>
            <w:pPr>
              <w:pStyle w:val="Normal"/>
              <w:jc w:val="start"/>
              <w:rPr/>
            </w:pPr>
            <w:r>
              <w:rPr>
                <w:b w:val="false"/>
                <w:bCs w:val="false"/>
                <w:color w:val="000000"/>
                <w:sz w:val="20"/>
                <w:szCs w:val="20"/>
              </w:rPr>
              <w:t>Generalisation (Tier 2)</w:t>
            </w:r>
          </w:p>
        </w:tc>
        <w:tc>
          <w:tcPr>
            <w:tcW w:w="3200"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80/20 train/test split, unseen evaluation</w:t>
            </w:r>
          </w:p>
        </w:tc>
        <w:tc>
          <w:tcPr>
            <w:tcW w:w="2801" w:type="dxa"/>
            <w:tcBorders>
              <w:top w:val="single" w:sz="4" w:space="0" w:color="000000"/>
              <w:start w:val="single" w:sz="4" w:space="0" w:color="000000"/>
              <w:bottom w:val="single" w:sz="4" w:space="0" w:color="000000"/>
              <w:end w:val="single" w:sz="4" w:space="0" w:color="000000"/>
            </w:tcBorders>
            <w:shd w:fill="F2F8FB" w:val="clear"/>
          </w:tcPr>
          <w:p>
            <w:pPr>
              <w:pStyle w:val="Normal"/>
              <w:jc w:val="center"/>
              <w:rPr/>
            </w:pPr>
            <w:r>
              <w:rPr>
                <w:b w:val="false"/>
                <w:bCs w:val="false"/>
                <w:color w:val="000000"/>
                <w:sz w:val="20"/>
                <w:szCs w:val="20"/>
              </w:rPr>
              <w:t>99% accuracy, 12 errors / 801</w:t>
            </w:r>
          </w:p>
        </w:tc>
      </w:tr>
      <w:tr>
        <w:trPr/>
        <w:tc>
          <w:tcPr>
            <w:tcW w:w="2599" w:type="dxa"/>
            <w:tcBorders>
              <w:top w:val="single" w:sz="4" w:space="0" w:color="000000"/>
              <w:start w:val="single" w:sz="4" w:space="0" w:color="000000"/>
              <w:bottom w:val="single" w:sz="4" w:space="0" w:color="000000"/>
              <w:end w:val="single" w:sz="4" w:space="0" w:color="000000"/>
            </w:tcBorders>
            <w:shd w:fill="FFFFFF" w:val="clear"/>
          </w:tcPr>
          <w:p>
            <w:pPr>
              <w:pStyle w:val="Normal"/>
              <w:jc w:val="start"/>
              <w:rPr/>
            </w:pPr>
            <w:r>
              <w:rPr>
                <w:b w:val="false"/>
                <w:bCs w:val="false"/>
                <w:color w:val="000000"/>
                <w:sz w:val="20"/>
                <w:szCs w:val="20"/>
              </w:rPr>
              <w:t>Hyperparameter optimisation</w:t>
            </w:r>
          </w:p>
        </w:tc>
        <w:tc>
          <w:tcPr>
            <w:tcW w:w="3200"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Projection hidden = 512</w:t>
            </w:r>
          </w:p>
        </w:tc>
        <w:tc>
          <w:tcPr>
            <w:tcW w:w="2801" w:type="dxa"/>
            <w:tcBorders>
              <w:top w:val="single" w:sz="4" w:space="0" w:color="000000"/>
              <w:start w:val="single" w:sz="4" w:space="0" w:color="000000"/>
              <w:bottom w:val="single" w:sz="4" w:space="0" w:color="000000"/>
              <w:end w:val="single" w:sz="4" w:space="0" w:color="000000"/>
            </w:tcBorders>
            <w:shd w:fill="FFFFFF" w:val="clear"/>
          </w:tcPr>
          <w:p>
            <w:pPr>
              <w:pStyle w:val="Normal"/>
              <w:jc w:val="center"/>
              <w:rPr/>
            </w:pPr>
            <w:r>
              <w:rPr>
                <w:b w:val="false"/>
                <w:bCs w:val="false"/>
                <w:color w:val="000000"/>
                <w:sz w:val="20"/>
                <w:szCs w:val="20"/>
              </w:rPr>
              <w:t>100% accuracy, 2 errors / 801 — final best model</w:t>
            </w:r>
          </w:p>
        </w:tc>
      </w:tr>
    </w:tbl>
    <w:p>
      <w:pPr>
        <w:pStyle w:val="Normal"/>
        <w:spacing w:before="0" w:after="200"/>
        <w:rPr/>
      </w:pPr>
      <w:r>
        <w:rPr/>
      </w:r>
    </w:p>
    <w:p>
      <w:pPr>
        <w:pStyle w:val="Normal"/>
        <w:spacing w:lineRule="auto" w:line="300" w:before="0" w:after="160"/>
        <w:rPr/>
      </w:pPr>
      <w:r>
        <w:rPr>
          <w:sz w:val="22"/>
          <w:szCs w:val="22"/>
        </w:rPr>
        <w:t>The final recommended model configuration is: ResNet50 backbone, Maximum Variance band selection, projection/prediction hidden size 512, batch size 16, trained for 100 epochs on the training split, achieving 100% accuracy on 801 held-out, previously unseen hyperspectral road images.</w:t>
      </w:r>
    </w:p>
    <w:p>
      <w:pPr>
        <w:pStyle w:val="Heading1"/>
        <w:spacing w:before="360" w:after="200"/>
        <w:rPr/>
      </w:pPr>
      <w:r>
        <w:rPr/>
        <w:t>9. Conclusions and Future Work</w:t>
      </w:r>
    </w:p>
    <w:p>
      <w:pPr>
        <w:pStyle w:val="Heading2"/>
        <w:spacing w:before="280" w:after="140"/>
        <w:rPr/>
      </w:pPr>
      <w:r>
        <w:rPr/>
        <w:t>9.1 Conclusions</w:t>
      </w:r>
    </w:p>
    <w:p>
      <w:pPr>
        <w:pStyle w:val="ListParagraph"/>
        <w:numPr>
          <w:ilvl w:val="0"/>
          <w:numId w:val="1"/>
        </w:numPr>
        <w:spacing w:lineRule="auto" w:line="281" w:before="0" w:after="100"/>
        <w:rPr/>
      </w:pPr>
      <w:r>
        <w:rPr>
          <w:sz w:val="22"/>
          <w:szCs w:val="22"/>
        </w:rPr>
        <w:t>Data validation is not optional — a silent 50% contamination of the dataset with label masks materially inflated every early result and was only caught through careful inspection of an unrelated error message.</w:t>
      </w:r>
    </w:p>
    <w:p>
      <w:pPr>
        <w:pStyle w:val="ListParagraph"/>
        <w:numPr>
          <w:ilvl w:val="0"/>
          <w:numId w:val="1"/>
        </w:numPr>
        <w:spacing w:lineRule="auto" w:line="281" w:before="0" w:after="100"/>
        <w:rPr/>
      </w:pPr>
      <w:r>
        <w:rPr>
          <w:sz w:val="22"/>
          <w:szCs w:val="22"/>
        </w:rPr>
        <w:t>Band selection strategy for hyperspectral inputs measurably affects representation quality, and the best strategy is dataset-dependent rather than universal.</w:t>
      </w:r>
    </w:p>
    <w:p>
      <w:pPr>
        <w:pStyle w:val="ListParagraph"/>
        <w:numPr>
          <w:ilvl w:val="0"/>
          <w:numId w:val="1"/>
        </w:numPr>
        <w:spacing w:lineRule="auto" w:line="281" w:before="0" w:after="100"/>
        <w:rPr/>
      </w:pPr>
      <w:r>
        <w:rPr>
          <w:sz w:val="22"/>
          <w:szCs w:val="22"/>
        </w:rPr>
        <w:t>BYOL, implemented via the Lightly framework, successfully avoided representational collapse across every experiment conducted, evidenced by consistently rising Feature Std.</w:t>
      </w:r>
    </w:p>
    <w:p>
      <w:pPr>
        <w:pStyle w:val="ListParagraph"/>
        <w:numPr>
          <w:ilvl w:val="0"/>
          <w:numId w:val="1"/>
        </w:numPr>
        <w:spacing w:lineRule="auto" w:line="281" w:before="0" w:after="100"/>
        <w:rPr/>
      </w:pPr>
      <w:r>
        <w:rPr>
          <w:sz w:val="22"/>
          <w:szCs w:val="22"/>
        </w:rPr>
        <w:t>Rigorous held-out evaluation is essential — training-time proxy metrics, including Feature Std, do not reliably predict downstream generalisation performance.</w:t>
      </w:r>
    </w:p>
    <w:p>
      <w:pPr>
        <w:pStyle w:val="ListParagraph"/>
        <w:numPr>
          <w:ilvl w:val="0"/>
          <w:numId w:val="1"/>
        </w:numPr>
        <w:spacing w:lineRule="auto" w:line="281" w:before="0" w:after="100"/>
        <w:rPr/>
      </w:pPr>
      <w:r>
        <w:rPr>
          <w:sz w:val="22"/>
          <w:szCs w:val="22"/>
        </w:rPr>
        <w:t>The final optimised model achieved 100% classification accuracy on genuinely unseen hyperspectral road imagery, using zero manual labels during representation learning.</w:t>
      </w:r>
    </w:p>
    <w:p>
      <w:pPr>
        <w:pStyle w:val="Heading2"/>
        <w:spacing w:before="280" w:after="140"/>
        <w:rPr/>
      </w:pPr>
      <w:r>
        <w:rPr/>
        <w:t>9.2 Future Work</w:t>
      </w:r>
    </w:p>
    <w:p>
      <w:pPr>
        <w:pStyle w:val="ListParagraph"/>
        <w:numPr>
          <w:ilvl w:val="0"/>
          <w:numId w:val="1"/>
        </w:numPr>
        <w:spacing w:lineRule="auto" w:line="281" w:before="0" w:after="100"/>
        <w:rPr/>
      </w:pPr>
      <w:r>
        <w:rPr>
          <w:sz w:val="22"/>
          <w:szCs w:val="22"/>
        </w:rPr>
        <w:t>Collect additional labelled examples of rarer, more severe road damage classes to move beyond the current 2-class surface distinction toward full damage-severity classification.</w:t>
      </w:r>
    </w:p>
    <w:p>
      <w:pPr>
        <w:pStyle w:val="ListParagraph"/>
        <w:numPr>
          <w:ilvl w:val="0"/>
          <w:numId w:val="1"/>
        </w:numPr>
        <w:spacing w:lineRule="auto" w:line="281" w:before="0" w:after="100"/>
        <w:rPr/>
      </w:pPr>
      <w:r>
        <w:rPr>
          <w:sz w:val="22"/>
          <w:szCs w:val="22"/>
        </w:rPr>
        <w:t>Investigate further projection head sizes (e.g. 128, 256) to map the full relationship between head capacity and downstream accuracy.</w:t>
      </w:r>
    </w:p>
    <w:p>
      <w:pPr>
        <w:pStyle w:val="ListParagraph"/>
        <w:numPr>
          <w:ilvl w:val="0"/>
          <w:numId w:val="1"/>
        </w:numPr>
        <w:spacing w:lineRule="auto" w:line="281" w:before="0" w:after="100"/>
        <w:rPr/>
      </w:pPr>
      <w:r>
        <w:rPr>
          <w:sz w:val="22"/>
          <w:szCs w:val="22"/>
        </w:rPr>
        <w:t>Apply domain-informed band selection (e.g. NIR/SWIR bands known to be sensitive to asphalt condition) using the custom band-analysis tooling developed during this project.</w:t>
      </w:r>
    </w:p>
    <w:p>
      <w:pPr>
        <w:pStyle w:val="ListParagraph"/>
        <w:numPr>
          <w:ilvl w:val="0"/>
          <w:numId w:val="1"/>
        </w:numPr>
        <w:spacing w:lineRule="auto" w:line="281" w:before="0" w:after="100"/>
        <w:rPr/>
      </w:pPr>
      <w:r>
        <w:rPr>
          <w:sz w:val="22"/>
          <w:szCs w:val="22"/>
        </w:rPr>
        <w:t>Extend the generalisation protocol to the optimised configuration at larger scale, and explore semi-supervised fine-tuning using the small quantity of real segmentation masks available.</w:t>
      </w:r>
    </w:p>
    <w:sectPr>
      <w:type w:val="nextPage"/>
      <w:pgSz w:w="12240" w:h="15840"/>
      <w:pgMar w:left="1200" w:right="120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LibreOffice_project/6d2b0d33fb0f5da53a12f98bed3e9973e56ff1f0</Application>
  <AppVersion>15.0000</AppVersion>
  <Pages>2</Pages>
  <Words>2134</Words>
  <Characters>12740</Characters>
  <CharactersWithSpaces>14681</CharactersWithSpaces>
  <Paragraphs>210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2026-08-05T01:32:25Z</dcterms:created>
  <dc:creator>Un-named</dc:creator>
  <dc:description/>
  <dc:language>en-US</dc:language>
  <cp:lastModifiedBy>Un-named</cp:lastModifiedBy>
  <dcterms:modified xsi:type="dcterms:W3CDTF">2026-08-05T01:32:25Z</dcterms:modified>
  <cp:revision>1</cp:revision>
  <dc:subject/>
  <dc:title/>
</cp:coreProperties>
</file>