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20" w:rsidRPr="003A352E" w:rsidRDefault="007D5320" w:rsidP="007D5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マネジメント評価</w:t>
      </w:r>
    </w:p>
    <w:p w:rsidR="007D5320" w:rsidRPr="003A352E" w:rsidRDefault="007D5320" w:rsidP="007D5320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7D5320" w:rsidRPr="003A352E" w:rsidRDefault="007D5320" w:rsidP="007D5320">
      <w:pPr>
        <w:jc w:val="center"/>
      </w:pP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8</w:t>
      </w:r>
      <w:r w:rsidRPr="003A352E">
        <w:rPr>
          <w:rFonts w:hint="eastAsia"/>
          <w:sz w:val="28"/>
          <w:szCs w:val="28"/>
        </w:rPr>
        <w:t>日</w:t>
      </w: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</w:t>
      </w:r>
      <w:r w:rsidRPr="003A352E">
        <w:rPr>
          <w:rFonts w:hint="eastAsia"/>
          <w:sz w:val="28"/>
          <w:szCs w:val="28"/>
        </w:rPr>
        <w:t>C</w:t>
      </w:r>
      <w:r w:rsidRPr="003A352E">
        <w:rPr>
          <w:rFonts w:hint="eastAsia"/>
          <w:sz w:val="28"/>
          <w:szCs w:val="28"/>
        </w:rPr>
        <w:t>班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　星ひかる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7D5320" w:rsidRPr="003A352E" w:rsidRDefault="007D5320" w:rsidP="007D5320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7D5320" w:rsidRDefault="007D5320" w:rsidP="007D5320">
      <w:pPr>
        <w:jc w:val="center"/>
        <w:rPr>
          <w:sz w:val="32"/>
          <w:szCs w:val="32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7D5320" w:rsidRPr="003A352E" w:rsidTr="005C4E31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5C4E31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8C60BA" w:rsidRDefault="007D5320" w:rsidP="005C4E31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5C4E31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7D5320" w:rsidRPr="003A352E" w:rsidTr="005C4E31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5C4E31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5C4E31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5C4E31"/>
        </w:tc>
      </w:tr>
    </w:tbl>
    <w:p w:rsidR="007D5320" w:rsidRDefault="007D5320" w:rsidP="007D5320">
      <w:pPr>
        <w:widowControl/>
        <w:jc w:val="left"/>
      </w:pPr>
      <w:r>
        <w:br w:type="page"/>
      </w:r>
    </w:p>
    <w:p w:rsidR="007D5320" w:rsidRDefault="007D5320" w:rsidP="00B979CD">
      <w:pPr>
        <w:pStyle w:val="a6"/>
        <w:widowControl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QCD</w:t>
      </w:r>
      <w:r>
        <w:rPr>
          <w:rFonts w:hint="eastAsia"/>
        </w:rPr>
        <w:t>の定量評価および教訓</w:t>
      </w:r>
    </w:p>
    <w:p w:rsidR="007D5320" w:rsidRDefault="007D5320" w:rsidP="007D5320">
      <w:pPr>
        <w:pStyle w:val="a6"/>
        <w:widowControl/>
        <w:ind w:leftChars="0" w:left="425"/>
        <w:jc w:val="left"/>
        <w:rPr>
          <w:rFonts w:hint="eastAsia"/>
        </w:rPr>
      </w:pPr>
    </w:p>
    <w:p w:rsidR="007D5320" w:rsidRDefault="007D5320" w:rsidP="00B979CD">
      <w:pPr>
        <w:pStyle w:val="a6"/>
        <w:widowControl/>
        <w:numPr>
          <w:ilvl w:val="1"/>
          <w:numId w:val="3"/>
        </w:numPr>
        <w:ind w:leftChars="0"/>
        <w:jc w:val="left"/>
      </w:pPr>
      <w:r>
        <w:rPr>
          <w:rFonts w:hint="eastAsia"/>
        </w:rPr>
        <w:t>品質</w:t>
      </w:r>
    </w:p>
    <w:p w:rsidR="00B979CD" w:rsidRDefault="00B979CD" w:rsidP="00B979CD">
      <w:pPr>
        <w:pStyle w:val="a6"/>
        <w:widowControl/>
        <w:ind w:leftChars="0" w:left="425"/>
        <w:jc w:val="left"/>
        <w:rPr>
          <w:rFonts w:hint="eastAsia"/>
        </w:rPr>
      </w:pPr>
      <w:r>
        <w:rPr>
          <w:rFonts w:hint="eastAsia"/>
        </w:rPr>
        <w:t>品質は下記のような品質チェックシートに基づき管理していく</w:t>
      </w:r>
      <w:r>
        <w:rPr>
          <w:rFonts w:hint="eastAsia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1134"/>
        <w:gridCol w:w="992"/>
        <w:gridCol w:w="1553"/>
      </w:tblGrid>
      <w:tr w:rsidR="007D5320" w:rsidTr="005C4E31">
        <w:tc>
          <w:tcPr>
            <w:tcW w:w="1129" w:type="dxa"/>
          </w:tcPr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品質特性</w:t>
            </w:r>
          </w:p>
        </w:tc>
        <w:tc>
          <w:tcPr>
            <w:tcW w:w="1560" w:type="dxa"/>
          </w:tcPr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品質副特性</w:t>
            </w:r>
          </w:p>
        </w:tc>
        <w:tc>
          <w:tcPr>
            <w:tcW w:w="2126" w:type="dxa"/>
          </w:tcPr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ヒアリングの要旨</w:t>
            </w:r>
          </w:p>
        </w:tc>
        <w:tc>
          <w:tcPr>
            <w:tcW w:w="1134" w:type="dxa"/>
          </w:tcPr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顧客に</w:t>
            </w:r>
          </w:p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とっての</w:t>
            </w:r>
          </w:p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重要度</w:t>
            </w:r>
          </w:p>
        </w:tc>
        <w:tc>
          <w:tcPr>
            <w:tcW w:w="992" w:type="dxa"/>
          </w:tcPr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1553" w:type="dxa"/>
          </w:tcPr>
          <w:p w:rsidR="007D5320" w:rsidRDefault="007D5320" w:rsidP="005C4E31">
            <w:pPr>
              <w:jc w:val="center"/>
            </w:pPr>
            <w:r>
              <w:rPr>
                <w:rFonts w:hint="eastAsia"/>
              </w:rPr>
              <w:t>備考・顧客感想など</w:t>
            </w:r>
          </w:p>
        </w:tc>
      </w:tr>
      <w:tr w:rsidR="007D5320" w:rsidTr="005C4E31">
        <w:tc>
          <w:tcPr>
            <w:tcW w:w="1129" w:type="dxa"/>
            <w:vMerge w:val="restart"/>
          </w:tcPr>
          <w:p w:rsidR="007D5320" w:rsidRDefault="007D5320" w:rsidP="005C4E31">
            <w:r>
              <w:rPr>
                <w:rFonts w:hint="eastAsia"/>
              </w:rPr>
              <w:t>機能性</w:t>
            </w:r>
          </w:p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合目的性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必要な機能はそろっているか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正確性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施設までのルート間違い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標準適合性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デバイスでも使用できるか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 w:val="restart"/>
          </w:tcPr>
          <w:p w:rsidR="007D5320" w:rsidRDefault="007D5320" w:rsidP="005C4E31">
            <w:r>
              <w:rPr>
                <w:rFonts w:hint="eastAsia"/>
              </w:rPr>
              <w:t>信頼性</w:t>
            </w:r>
          </w:p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成熟性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同一機能の不具合の減少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回復性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トラブル時の対応のはやさ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 w:val="restart"/>
          </w:tcPr>
          <w:p w:rsidR="007D5320" w:rsidRDefault="007D5320" w:rsidP="005C4E31">
            <w:r>
              <w:rPr>
                <w:rFonts w:hint="eastAsia"/>
              </w:rPr>
              <w:t>使用性</w:t>
            </w:r>
          </w:p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理解性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使い方が想像できたか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習得性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すぐ慣れたか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運用性</w:t>
            </w:r>
          </w:p>
        </w:tc>
        <w:tc>
          <w:tcPr>
            <w:tcW w:w="2126" w:type="dxa"/>
          </w:tcPr>
          <w:p w:rsidR="007D5320" w:rsidRDefault="007D5320" w:rsidP="005C4E31"/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魅力性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システムのデザインなど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 w:val="restart"/>
          </w:tcPr>
          <w:p w:rsidR="007D5320" w:rsidRDefault="007D5320" w:rsidP="005C4E31">
            <w:r>
              <w:rPr>
                <w:rFonts w:hint="eastAsia"/>
              </w:rPr>
              <w:t>効率性</w:t>
            </w:r>
          </w:p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時間効率性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動作の速さ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資源効率性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コスト超過や作業遅延はしなかったか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 w:val="restart"/>
          </w:tcPr>
          <w:p w:rsidR="007D5320" w:rsidRDefault="007D5320" w:rsidP="005C4E31">
            <w:r>
              <w:rPr>
                <w:rFonts w:hint="eastAsia"/>
              </w:rPr>
              <w:t>保守性</w:t>
            </w:r>
          </w:p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解析性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トラブル時の理由の理解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変更性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システムの変更が正しいか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安定性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安定しているイメージがあるか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  <w:tr w:rsidR="007D5320" w:rsidTr="005C4E31">
        <w:tc>
          <w:tcPr>
            <w:tcW w:w="1129" w:type="dxa"/>
            <w:vMerge/>
          </w:tcPr>
          <w:p w:rsidR="007D5320" w:rsidRDefault="007D5320" w:rsidP="005C4E31"/>
        </w:tc>
        <w:tc>
          <w:tcPr>
            <w:tcW w:w="1560" w:type="dxa"/>
          </w:tcPr>
          <w:p w:rsidR="007D5320" w:rsidRDefault="007D5320" w:rsidP="005C4E31">
            <w:r>
              <w:rPr>
                <w:rFonts w:hint="eastAsia"/>
              </w:rPr>
              <w:t>試験性</w:t>
            </w:r>
          </w:p>
        </w:tc>
        <w:tc>
          <w:tcPr>
            <w:tcW w:w="2126" w:type="dxa"/>
          </w:tcPr>
          <w:p w:rsidR="007D5320" w:rsidRDefault="007D5320" w:rsidP="005C4E31">
            <w:r>
              <w:rPr>
                <w:rFonts w:hint="eastAsia"/>
              </w:rPr>
              <w:t>要望を試してみることができるか</w:t>
            </w:r>
          </w:p>
        </w:tc>
        <w:tc>
          <w:tcPr>
            <w:tcW w:w="1134" w:type="dxa"/>
          </w:tcPr>
          <w:p w:rsidR="007D5320" w:rsidRDefault="007D5320" w:rsidP="005C4E31"/>
        </w:tc>
        <w:tc>
          <w:tcPr>
            <w:tcW w:w="992" w:type="dxa"/>
          </w:tcPr>
          <w:p w:rsidR="007D5320" w:rsidRDefault="007D5320" w:rsidP="005C4E31"/>
        </w:tc>
        <w:tc>
          <w:tcPr>
            <w:tcW w:w="1553" w:type="dxa"/>
          </w:tcPr>
          <w:p w:rsidR="007D5320" w:rsidRDefault="007D5320" w:rsidP="005C4E31"/>
        </w:tc>
      </w:tr>
    </w:tbl>
    <w:p w:rsidR="007D5320" w:rsidRDefault="007D5320" w:rsidP="007D5320">
      <w:pPr>
        <w:pStyle w:val="a6"/>
        <w:ind w:leftChars="0" w:left="425"/>
        <w:rPr>
          <w:rFonts w:hint="eastAsia"/>
        </w:rPr>
      </w:pPr>
    </w:p>
    <w:p w:rsidR="007D5320" w:rsidRPr="007D5320" w:rsidRDefault="007D5320" w:rsidP="007D5320">
      <w:pPr>
        <w:widowControl/>
        <w:ind w:left="425"/>
        <w:jc w:val="left"/>
      </w:pPr>
    </w:p>
    <w:p w:rsidR="00B979CD" w:rsidRDefault="007D5320" w:rsidP="00B979CD">
      <w:pPr>
        <w:pStyle w:val="a6"/>
        <w:widowControl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コスト</w:t>
      </w:r>
    </w:p>
    <w:p w:rsidR="00B979CD" w:rsidRDefault="00B979CD" w:rsidP="00B979CD">
      <w:pPr>
        <w:pStyle w:val="a6"/>
        <w:widowControl/>
        <w:numPr>
          <w:ilvl w:val="1"/>
          <w:numId w:val="3"/>
        </w:numPr>
        <w:ind w:leftChars="0"/>
        <w:jc w:val="left"/>
      </w:pPr>
      <w:r>
        <w:rPr>
          <w:rFonts w:hint="eastAsia"/>
        </w:rPr>
        <w:t>EVM</w:t>
      </w:r>
      <w:r>
        <w:rPr>
          <w:rFonts w:hint="eastAsia"/>
        </w:rPr>
        <w:t>バーンアップ</w:t>
      </w:r>
    </w:p>
    <w:p w:rsidR="00B979CD" w:rsidRDefault="00B979CD" w:rsidP="007D5320">
      <w:pPr>
        <w:pStyle w:val="a6"/>
        <w:widowControl/>
        <w:ind w:leftChars="0" w:left="992"/>
        <w:jc w:val="left"/>
      </w:pPr>
    </w:p>
    <w:p w:rsidR="007D5320" w:rsidRDefault="00B979CD" w:rsidP="00B979CD">
      <w:pPr>
        <w:pStyle w:val="a6"/>
        <w:widowControl/>
        <w:ind w:leftChars="0" w:left="567"/>
        <w:jc w:val="left"/>
      </w:pP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979CD">
        <w:t>0.928571428571429</w:t>
      </w:r>
    </w:p>
    <w:p w:rsidR="00B979CD" w:rsidRDefault="00B979CD" w:rsidP="00B979CD">
      <w:pPr>
        <w:pStyle w:val="a6"/>
        <w:widowControl/>
        <w:ind w:leftChars="0" w:left="567"/>
        <w:jc w:val="left"/>
      </w:pPr>
      <w:r>
        <w:rPr>
          <w:rFonts w:hint="eastAsia"/>
        </w:rPr>
        <w:t>コスト超過</w:t>
      </w:r>
      <w:bookmarkStart w:id="0" w:name="_GoBack"/>
      <w:bookmarkEnd w:id="0"/>
    </w:p>
    <w:p w:rsidR="00B979CD" w:rsidRDefault="00B979CD" w:rsidP="007D5320">
      <w:pPr>
        <w:pStyle w:val="a6"/>
        <w:widowControl/>
        <w:ind w:leftChars="0" w:left="992"/>
        <w:jc w:val="left"/>
        <w:rPr>
          <w:rFonts w:hint="eastAsia"/>
        </w:rPr>
      </w:pPr>
    </w:p>
    <w:p w:rsidR="007D5320" w:rsidRDefault="007D5320" w:rsidP="00B979CD">
      <w:pPr>
        <w:pStyle w:val="a6"/>
        <w:widowControl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納期</w:t>
      </w:r>
    </w:p>
    <w:p w:rsidR="007D5320" w:rsidRDefault="007D5320" w:rsidP="007D5320"/>
    <w:p w:rsidR="007D5320" w:rsidRDefault="007D5320" w:rsidP="00B979C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チーム課題の実施結果と教訓</w:t>
      </w:r>
    </w:p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アジャイル開発</w:t>
      </w:r>
    </w:p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外部</w:t>
      </w:r>
      <w:r>
        <w:rPr>
          <w:rFonts w:hint="eastAsia"/>
        </w:rPr>
        <w:t>API</w:t>
      </w:r>
      <w:r>
        <w:rPr>
          <w:rFonts w:hint="eastAsia"/>
        </w:rPr>
        <w:t>の利用</w:t>
      </w:r>
    </w:p>
    <w:p w:rsidR="00B979CD" w:rsidRPr="007D5320" w:rsidRDefault="00B979CD" w:rsidP="00B979CD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デバイスの利用</w:t>
      </w:r>
    </w:p>
    <w:sectPr w:rsidR="00B979CD" w:rsidRPr="007D53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256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C1C1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3802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F2B7266"/>
    <w:multiLevelType w:val="hybridMultilevel"/>
    <w:tmpl w:val="EB303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0"/>
    <w:rsid w:val="00793280"/>
    <w:rsid w:val="007D5320"/>
    <w:rsid w:val="00B979CD"/>
    <w:rsid w:val="00E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24F517-FF25-4E77-8420-87EC95D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32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32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7D5320"/>
    <w:pPr>
      <w:widowControl w:val="0"/>
      <w:jc w:val="both"/>
    </w:pPr>
    <w:rPr>
      <w:rFonts w:ascii="Century" w:eastAsia="ＭＳ 明朝" w:hAnsi="Century" w:cs="Times New Roman"/>
    </w:rPr>
  </w:style>
  <w:style w:type="paragraph" w:styleId="a4">
    <w:name w:val="caption"/>
    <w:basedOn w:val="a"/>
    <w:next w:val="a"/>
    <w:uiPriority w:val="35"/>
    <w:unhideWhenUsed/>
    <w:qFormat/>
    <w:rsid w:val="007D5320"/>
    <w:rPr>
      <w:b/>
      <w:bCs/>
      <w:szCs w:val="21"/>
    </w:rPr>
  </w:style>
  <w:style w:type="table" w:styleId="a5">
    <w:name w:val="Table Grid"/>
    <w:basedOn w:val="a1"/>
    <w:uiPriority w:val="39"/>
    <w:rsid w:val="007D5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5"/>
    <w:uiPriority w:val="59"/>
    <w:rsid w:val="007D53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532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Hoshi</dc:creator>
  <cp:keywords/>
  <dc:description/>
  <cp:lastModifiedBy>Hikaru Hoshi</cp:lastModifiedBy>
  <cp:revision>2</cp:revision>
  <dcterms:created xsi:type="dcterms:W3CDTF">2017-07-18T06:05:00Z</dcterms:created>
  <dcterms:modified xsi:type="dcterms:W3CDTF">2017-07-18T06:32:00Z</dcterms:modified>
</cp:coreProperties>
</file>